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rPr>
      </w:pPr>
      <w:r>
        <w:rPr>
          <w:rFonts w:cs="Arial" w:ascii="Arial" w:hAnsi="Arial"/>
          <w:b/>
          <w:bCs/>
        </w:rPr>
        <w:t>ESTUDO TÉCNICO PRELIMINAR</w:t>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fill="DDDDDD" w:val="clear"/>
          </w:tcPr>
          <w:p>
            <w:pPr>
              <w:pStyle w:val="Normal"/>
              <w:widowControl/>
              <w:suppressAutoHyphens w:val="true"/>
              <w:spacing w:lineRule="auto" w:line="240" w:before="57" w:after="57"/>
              <w:jc w:val="both"/>
              <w:rPr>
                <w:rFonts w:ascii="Arial" w:hAnsi="Arial" w:eastAsia="Calibri"/>
              </w:rPr>
            </w:pPr>
            <w:r>
              <w:rPr>
                <w:rFonts w:eastAsia="Calibri" w:cs="Arial" w:ascii="Arial" w:hAnsi="Arial"/>
                <w:b/>
                <w:bCs/>
                <w:kern w:val="2"/>
                <w:sz w:val="22"/>
                <w:szCs w:val="22"/>
                <w:lang w:val="pt-BR" w:eastAsia="en-US" w:bidi="ar-SA"/>
              </w:rPr>
              <w:t>1 IDENTIFICAÇÃO DO PROCESSO</w:t>
            </w:r>
          </w:p>
        </w:tc>
      </w:tr>
      <w:tr>
        <w:trPr/>
        <w:tc>
          <w:tcPr>
            <w:tcW w:w="9061" w:type="dxa"/>
            <w:tcBorders/>
          </w:tcPr>
          <w:p>
            <w:pPr>
              <w:pStyle w:val="Normal"/>
              <w:widowControl/>
              <w:suppressAutoHyphens w:val="true"/>
              <w:spacing w:lineRule="auto" w:line="360" w:before="57" w:after="57"/>
              <w:jc w:val="both"/>
              <w:rPr>
                <w:sz w:val="22"/>
              </w:rPr>
            </w:pPr>
            <w:r>
              <w:rPr>
                <w:rFonts w:eastAsia="Calibri" w:cs="Arial" w:ascii="Arial" w:hAnsi="Arial"/>
                <w:b/>
                <w:bCs/>
                <w:kern w:val="2"/>
                <w:sz w:val="22"/>
                <w:szCs w:val="22"/>
                <w:lang w:val="pt-BR" w:eastAsia="en-US" w:bidi="ar-SA"/>
              </w:rPr>
              <w:t>Unidade requisitante:</w:t>
            </w:r>
            <w:r>
              <w:rPr>
                <w:rFonts w:eastAsia="Calibri" w:cs="" w:ascii="Arial" w:hAnsi="Arial"/>
                <w:b/>
                <w:bCs/>
                <w:kern w:val="2"/>
                <w:sz w:val="22"/>
                <w:szCs w:val="22"/>
                <w:lang w:val="pt-BR" w:eastAsia="en-US" w:bidi="ar-SA"/>
              </w:rPr>
              <w:t xml:space="preserve"> </w:t>
            </w:r>
            <w:r>
              <w:rPr>
                <w:rFonts w:eastAsia="Calibri" w:cs="" w:ascii="Arial" w:hAnsi="Arial"/>
                <w:kern w:val="2"/>
                <w:sz w:val="22"/>
                <w:szCs w:val="22"/>
                <w:lang w:val="pt-BR" w:eastAsia="en-US" w:bidi="ar-SA"/>
              </w:rPr>
              <w:t>DERS - Departamento de Resíduos Sólidos</w:t>
            </w:r>
          </w:p>
        </w:tc>
      </w:tr>
      <w:tr>
        <w:trPr/>
        <w:tc>
          <w:tcPr>
            <w:tcW w:w="9061" w:type="dxa"/>
            <w:tcBorders/>
          </w:tcPr>
          <w:p>
            <w:pPr>
              <w:pStyle w:val="Normal"/>
              <w:widowControl/>
              <w:suppressAutoHyphens w:val="true"/>
              <w:spacing w:lineRule="auto" w:line="360" w:before="57" w:after="57"/>
              <w:jc w:val="both"/>
              <w:rPr>
                <w:sz w:val="22"/>
              </w:rPr>
            </w:pPr>
            <w:r>
              <w:rPr>
                <w:rFonts w:eastAsia="Calibri" w:cs="Arial" w:ascii="Arial" w:hAnsi="Arial"/>
                <w:b/>
                <w:bCs/>
                <w:kern w:val="2"/>
                <w:sz w:val="22"/>
                <w:szCs w:val="22"/>
                <w:lang w:val="pt-BR" w:eastAsia="en-US" w:bidi="ar-SA"/>
              </w:rPr>
              <w:t xml:space="preserve">Objeto da contratação: </w:t>
            </w:r>
            <w:r>
              <w:rPr>
                <w:rFonts w:eastAsia="Calibri" w:cs="Arial" w:ascii="Arial" w:hAnsi="Arial"/>
                <w:kern w:val="2"/>
                <w:sz w:val="22"/>
                <w:szCs w:val="22"/>
                <w:lang w:val="pt-BR" w:eastAsia="en-US" w:bidi="ar-SA"/>
              </w:rPr>
              <w:t>Contratação de empresa especializada para a execução dos serviços de transporte de resíduo sólido urbano (RSU), classe II, desde a Estação de Transbordo de Pelotas até o aterro sanitário contratado para a destinação final; e Contratação de aterro sanitário licenciado para a disposição final de resíduo sólido urbano (RSU), classe II, pelo período de 12 (doze) meses, prorrogável por iguais e sucessivos períodos, até o limite previsto em lei e respeitada a vigência decenal, conforme legislação vigente.</w:t>
            </w:r>
          </w:p>
        </w:tc>
      </w:tr>
      <w:tr>
        <w:trPr/>
        <w:tc>
          <w:tcPr>
            <w:tcW w:w="9061" w:type="dxa"/>
            <w:tcBorders/>
          </w:tcPr>
          <w:p>
            <w:pPr>
              <w:pStyle w:val="Normal"/>
              <w:widowControl/>
              <w:suppressAutoHyphens w:val="true"/>
              <w:spacing w:lineRule="auto" w:line="240" w:before="57" w:after="57"/>
              <w:jc w:val="both"/>
              <w:rPr>
                <w:rFonts w:ascii="Arial" w:hAnsi="Arial" w:eastAsia="Calibri"/>
              </w:rPr>
            </w:pPr>
            <w:r>
              <w:rPr>
                <w:rFonts w:eastAsia="Calibri" w:cs="Arial" w:ascii="Arial" w:hAnsi="Arial"/>
                <w:b/>
                <w:bCs/>
                <w:kern w:val="2"/>
                <w:sz w:val="22"/>
                <w:szCs w:val="22"/>
                <w:lang w:val="pt-BR" w:eastAsia="en-US" w:bidi="ar-SA"/>
              </w:rPr>
              <w:t xml:space="preserve">Nº do processo: </w:t>
            </w:r>
            <w:r>
              <w:rPr>
                <w:rFonts w:eastAsia="Calibri" w:cs="Arial" w:ascii="Arial" w:hAnsi="Arial"/>
                <w:b/>
                <w:bCs/>
                <w:color w:val="000000"/>
                <w:kern w:val="2"/>
                <w:sz w:val="22"/>
                <w:szCs w:val="22"/>
                <w:lang w:val="pt-BR" w:eastAsia="en-US" w:bidi="ar-SA"/>
              </w:rPr>
              <w:t>Memorando Especial nº 13/2025</w:t>
            </w:r>
          </w:p>
        </w:tc>
      </w:tr>
    </w:tbl>
    <w:p>
      <w:pPr>
        <w:pStyle w:val="Normal"/>
        <w:spacing w:lineRule="auto" w:line="276"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fill="DDDDDD" w:val="clear"/>
          </w:tcPr>
          <w:p>
            <w:pPr>
              <w:pStyle w:val="Normal"/>
              <w:widowControl/>
              <w:suppressAutoHyphens w:val="true"/>
              <w:spacing w:lineRule="auto" w:line="360" w:before="57" w:after="57"/>
              <w:jc w:val="both"/>
              <w:rPr>
                <w:rFonts w:ascii="Arial" w:hAnsi="Arial" w:eastAsia="Calibri"/>
              </w:rPr>
            </w:pPr>
            <w:r>
              <w:rPr>
                <w:rFonts w:eastAsia="Calibri" w:cs="Arial" w:ascii="Arial" w:hAnsi="Arial"/>
                <w:b/>
                <w:bCs/>
                <w:kern w:val="2"/>
                <w:sz w:val="22"/>
                <w:szCs w:val="22"/>
                <w:lang w:val="pt-BR" w:eastAsia="en-US" w:bidi="ar-SA"/>
              </w:rPr>
              <w:t>2 DESCRIÇÃO DE NECESSIDADE</w:t>
            </w:r>
          </w:p>
        </w:tc>
      </w:tr>
      <w:tr>
        <w:trPr/>
        <w:tc>
          <w:tcPr>
            <w:tcW w:w="9061" w:type="dxa"/>
            <w:tcBorders/>
          </w:tcPr>
          <w:p>
            <w:pPr>
              <w:pStyle w:val="Normal"/>
              <w:widowControl/>
              <w:suppressAutoHyphens w:val="true"/>
              <w:spacing w:lineRule="auto" w:line="360" w:before="114" w:after="114"/>
              <w:jc w:val="center"/>
              <w:rPr>
                <w:sz w:val="22"/>
              </w:rPr>
            </w:pPr>
            <w:r>
              <w:rPr>
                <w:rFonts w:eastAsia="Calibri" w:cs="Arial" w:ascii="Arial" w:hAnsi="Arial"/>
                <w:b/>
                <w:bCs/>
                <w:kern w:val="2"/>
                <w:sz w:val="22"/>
                <w:szCs w:val="22"/>
                <w:lang w:val="pt-BR" w:eastAsia="en-US" w:bidi="ar-SA"/>
              </w:rPr>
              <w:t>Histórico – A preocupação com o destino final dos resíduos no Município de Pelotas</w:t>
            </w:r>
          </w:p>
          <w:p>
            <w:pPr>
              <w:pStyle w:val="Normal"/>
              <w:widowControl/>
              <w:suppressAutoHyphens w:val="true"/>
              <w:spacing w:lineRule="auto" w:line="360" w:before="57" w:after="57"/>
              <w:jc w:val="both"/>
              <w:rPr>
                <w:sz w:val="22"/>
              </w:rPr>
            </w:pPr>
            <w:r>
              <w:rPr>
                <w:rFonts w:eastAsia="Calibri" w:cs="Arial" w:ascii="Arial" w:hAnsi="Arial"/>
                <w:kern w:val="2"/>
                <w:sz w:val="22"/>
                <w:szCs w:val="22"/>
                <w:lang w:val="pt-BR" w:eastAsia="en-US" w:bidi="ar-SA"/>
              </w:rPr>
              <w:t xml:space="preserve">Muito antes do encerramento das operações do </w:t>
            </w:r>
            <w:r>
              <w:rPr>
                <w:rFonts w:eastAsia="Calibri" w:cs="Arial" w:ascii="Arial" w:hAnsi="Arial"/>
                <w:b w:val="false"/>
                <w:bCs w:val="false"/>
                <w:kern w:val="2"/>
                <w:sz w:val="22"/>
                <w:szCs w:val="22"/>
                <w:lang w:val="pt-BR" w:eastAsia="en-US" w:bidi="ar-SA"/>
              </w:rPr>
              <w:t>Aterro Municipal Colina do Sol, ocorrido em junho de 2012, o Sanep já tratava o tema do destino final dos resíduos sólidos urbanos como prioridade, promovendo estudos e buscando alternativas viáveis para o Município de Pelotas.</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Em 1997, ou seja, mais de uma década antes do encerramento do aterro, o Sanep contratou a empresa MRS Estudos Ambientais Ltda. para a elaboração de estudos voltados à escolha de área destinada à implantação de um Complexo de Destino Final de Resíduos Sólidos, incluindo a elaboração do Estudo de Impacto Ambiental e Relatório de Impacto Ambiental (EIA/RIMA).</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Esses estudos foram apresentados à FEPAM em 1997 (primeiro EIA/RIMA) e em 1999 (segundo EIA/RIMA), mas ambos não obtiveram aprovação, evidenciando desde então a dificuldade em identificar áreas ambientalmente adequadas à implantação de um aterro sanitário no território municipal.</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Mesmo após as negativas, o Sanep manteve-se empenhado na busca por alternativas.</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 xml:space="preserve">Em 2003, por meio de convênio com o Instituto de Pesquisas Hidráulicas da UFRGS (IPH/UFRGS), novos estudos foram realizados com a mesma finalidade. Esses estudos também apontaram as limitações encontradas no município: a única área com potencial identificada situava-se na Colônia de Pelotas, composta por minifúndios produtivos, o que implicaria a necessidade de desapropriação de diversos produtores rurais. Além disso, a área localizava-se a mais de </w:t>
            </w:r>
            <w:r>
              <w:rPr>
                <w:rStyle w:val="Strong"/>
                <w:rFonts w:eastAsia="Calibri" w:cs="Arial" w:ascii="Arial" w:hAnsi="Arial"/>
                <w:b w:val="false"/>
                <w:bCs w:val="false"/>
                <w:kern w:val="2"/>
                <w:sz w:val="22"/>
                <w:szCs w:val="22"/>
                <w:lang w:val="pt-BR" w:eastAsia="en-US" w:bidi="ar-SA"/>
              </w:rPr>
              <w:t>15 km da zona urbana</w:t>
            </w:r>
            <w:r>
              <w:rPr>
                <w:rFonts w:eastAsia="Calibri" w:cs="Arial" w:ascii="Arial" w:hAnsi="Arial"/>
                <w:b w:val="false"/>
                <w:bCs w:val="false"/>
                <w:kern w:val="2"/>
                <w:sz w:val="22"/>
                <w:szCs w:val="22"/>
                <w:lang w:val="pt-BR" w:eastAsia="en-US" w:bidi="ar-SA"/>
              </w:rPr>
              <w:t>, o que demandaria a construção de pontes e de uma nova via capaz de suportar o tráfego intenso de veículos pesados em operação contínua.</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Essas análises constam dos documentos internos do Sanep:</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w:t>
            </w:r>
            <w:r>
              <w:rPr>
                <w:rFonts w:eastAsia="Calibri" w:cs="Arial" w:ascii="Arial" w:hAnsi="Arial"/>
                <w:b w:val="false"/>
                <w:bCs w:val="false"/>
                <w:kern w:val="2"/>
                <w:sz w:val="22"/>
                <w:szCs w:val="22"/>
                <w:lang w:val="pt-BR" w:eastAsia="en-US" w:bidi="ar-SA"/>
              </w:rPr>
              <w:tab/>
              <w:t>“Estudos e Relatório para Implantação de Aterro Sanitário” (2003);</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w:t>
            </w:r>
            <w:r>
              <w:rPr>
                <w:rFonts w:eastAsia="Calibri" w:cs="Arial" w:ascii="Arial" w:hAnsi="Arial"/>
                <w:b w:val="false"/>
                <w:bCs w:val="false"/>
                <w:kern w:val="2"/>
                <w:sz w:val="22"/>
                <w:szCs w:val="22"/>
                <w:lang w:val="pt-BR" w:eastAsia="en-US" w:bidi="ar-SA"/>
              </w:rPr>
              <w:tab/>
              <w:t>“Relatório Técnico – Disposição Final de Resíduos Sólidos Urbanos no Município de Pelotas (2005)”.</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Ambos foram elaborados com base em critérios georreferenciados e atenderam às exigências mínimas definidas pela FEPAM para esse tipo de empreendimento.</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No total, entre os três estudos realizados (1997, 1999 e 2003), mais de 20 áreas foram visitadas e analisadas. É importante destacar que Pelotas é um município cercado por importantes recursos hídricos — como a Lagoa dos Patos, o Canal São Gonçalo, o Arroio Pelotas e o Arroio Fragata — e suas respectivas bacias de drenagem. Embora essa condição represente uma vantagem ambiental e paisagística, ela impõe severas restrições à implantação de aterros sanitários. Soma-se a isso o fato de grande parte do território municipal apresentar lençol freático superficial e características de solo inadequadas para tal finalidade.</w:t>
            </w:r>
          </w:p>
          <w:p>
            <w:pPr>
              <w:pStyle w:val="Normal"/>
              <w:widowControl/>
              <w:suppressAutoHyphens w:val="true"/>
              <w:spacing w:lineRule="auto" w:line="360" w:before="57" w:after="57"/>
              <w:jc w:val="both"/>
              <w:rPr>
                <w:sz w:val="22"/>
              </w:rPr>
            </w:pPr>
            <w:r>
              <w:rPr>
                <w:rFonts w:eastAsia="Calibri" w:cs="Arial" w:ascii="Arial" w:hAnsi="Arial"/>
                <w:b w:val="false"/>
                <w:bCs w:val="false"/>
                <w:kern w:val="2"/>
                <w:sz w:val="22"/>
                <w:szCs w:val="22"/>
                <w:lang w:val="pt-BR" w:eastAsia="en-US" w:bidi="ar-SA"/>
              </w:rPr>
              <w:t>Por fim, reforçando a complexidade envolvida na obtenção de área ambientalmente viável, em 2017 a empresa CRVR adquiriu um terreno na zona rural de Pelotas e chegou a obter Licença Prévia junto ao órgão ambiental estadual. Entretanto, em 2018, após</w:t>
            </w:r>
            <w:r>
              <w:rPr>
                <w:rFonts w:eastAsia="Calibri" w:cs="Arial" w:ascii="Arial" w:hAnsi="Arial"/>
                <w:kern w:val="2"/>
                <w:sz w:val="22"/>
                <w:szCs w:val="22"/>
                <w:lang w:val="pt-BR" w:eastAsia="en-US" w:bidi="ar-SA"/>
              </w:rPr>
              <w:t xml:space="preserve"> Audiência Pública, a licença foi cassada, e o empreendimento definitivamente suspenso.</w:t>
            </w:r>
          </w:p>
          <w:p>
            <w:pPr>
              <w:pStyle w:val="Heading1"/>
              <w:widowControl/>
              <w:suppressAutoHyphens w:val="true"/>
              <w:spacing w:lineRule="auto" w:line="360" w:before="57" w:after="57"/>
              <w:jc w:val="center"/>
              <w:rPr>
                <w:rStyle w:val="Strong"/>
                <w:rFonts w:ascii="Arial" w:hAnsi="Arial" w:eastAsia="Calibri" w:cs="Arial"/>
                <w:b/>
                <w:bCs/>
                <w:kern w:val="2"/>
                <w:sz w:val="22"/>
                <w:szCs w:val="22"/>
                <w:lang w:val="pt-BR" w:eastAsia="en-US" w:bidi="ar-SA"/>
              </w:rPr>
            </w:pPr>
            <w:r>
              <w:rPr>
                <w:rFonts w:eastAsia="Calibri" w:cs="Arial" w:ascii="Arial" w:hAnsi="Arial"/>
                <w:b/>
                <w:bCs/>
                <w:kern w:val="2"/>
                <w:sz w:val="22"/>
                <w:szCs w:val="22"/>
                <w:lang w:val="pt-BR" w:eastAsia="en-US" w:bidi="ar-SA"/>
              </w:rPr>
            </w:r>
          </w:p>
          <w:p>
            <w:pPr>
              <w:pStyle w:val="Heading1"/>
              <w:widowControl/>
              <w:suppressAutoHyphens w:val="true"/>
              <w:spacing w:lineRule="auto" w:line="360" w:before="57" w:after="57"/>
              <w:jc w:val="center"/>
              <w:rPr/>
            </w:pPr>
            <w:r>
              <w:rPr>
                <w:rStyle w:val="Strong"/>
                <w:rFonts w:eastAsia="Calibri" w:cs="Arial" w:ascii="Arial" w:hAnsi="Arial"/>
                <w:b/>
                <w:bCs/>
                <w:kern w:val="2"/>
                <w:sz w:val="22"/>
                <w:szCs w:val="22"/>
                <w:lang w:val="pt-BR" w:eastAsia="en-US" w:bidi="ar-SA"/>
              </w:rPr>
              <w:t>O Fechamento do Aterro Municipal – Colina do Sol</w:t>
            </w:r>
          </w:p>
          <w:p>
            <w:pPr>
              <w:pStyle w:val="BodyText"/>
              <w:spacing w:lineRule="auto" w:line="360" w:before="57" w:after="57"/>
              <w:jc w:val="both"/>
              <w:rPr/>
            </w:pPr>
            <w:r>
              <w:rPr>
                <w:rFonts w:cs="Arial" w:ascii="Arial" w:hAnsi="Arial"/>
              </w:rPr>
              <w:t xml:space="preserve">Com a previsão de encerramento das operações do Aterro Colina do Sol, em 2012, e sem a perspectiva de identificação de nova área no município, tornou-se necessária a busca de alternativas para o destino final dos resíduos sólidos urbanos de Pelotas. Para isso, considerou-se essencial a utilização de aterros sanitários </w:t>
            </w:r>
            <w:r>
              <w:rPr>
                <w:rStyle w:val="Strong"/>
                <w:rFonts w:cs="Arial" w:ascii="Arial" w:hAnsi="Arial"/>
              </w:rPr>
              <w:t>devidamente licenciados</w:t>
            </w:r>
            <w:r>
              <w:rPr>
                <w:rFonts w:cs="Arial" w:ascii="Arial" w:hAnsi="Arial"/>
              </w:rPr>
              <w:t xml:space="preserve"> pelo órgão ambiental competente e que apresentassem capacidade de recebimento compatível com a geração de resíduos do município.</w:t>
            </w:r>
          </w:p>
          <w:p>
            <w:pPr>
              <w:pStyle w:val="BodyText"/>
              <w:spacing w:lineRule="auto" w:line="360" w:before="57" w:after="57"/>
              <w:jc w:val="both"/>
              <w:rPr/>
            </w:pPr>
            <w:r>
              <w:rPr>
                <w:rFonts w:cs="Arial" w:ascii="Arial" w:hAnsi="Arial"/>
              </w:rPr>
              <w:t>As alternativas que atenderam a esses critérios se restringiam a duas opções:</w:t>
            </w:r>
          </w:p>
          <w:p>
            <w:pPr>
              <w:pStyle w:val="BodyText"/>
              <w:numPr>
                <w:ilvl w:val="0"/>
                <w:numId w:val="1"/>
              </w:numPr>
              <w:tabs>
                <w:tab w:val="clear" w:pos="708"/>
                <w:tab w:val="left" w:pos="0" w:leader="none"/>
              </w:tabs>
              <w:spacing w:lineRule="auto" w:line="360" w:before="57" w:after="57"/>
              <w:ind w:hanging="283" w:left="709"/>
              <w:jc w:val="both"/>
              <w:rPr/>
            </w:pPr>
            <w:r>
              <w:rPr>
                <w:rStyle w:val="Strong"/>
                <w:rFonts w:cs="Arial" w:ascii="Arial" w:hAnsi="Arial"/>
              </w:rPr>
              <w:t>Aterro da Metade Sul – Candiota</w:t>
            </w:r>
            <w:r>
              <w:rPr>
                <w:rFonts w:cs="Arial" w:ascii="Arial" w:hAnsi="Arial"/>
              </w:rPr>
              <w:t xml:space="preserve">, distante aproximadamente </w:t>
            </w:r>
            <w:r>
              <w:rPr>
                <w:rStyle w:val="Strong"/>
                <w:rFonts w:cs="Arial" w:ascii="Arial" w:hAnsi="Arial"/>
              </w:rPr>
              <w:t>150 km</w:t>
            </w:r>
            <w:r>
              <w:rPr>
                <w:rFonts w:cs="Arial" w:ascii="Arial" w:hAnsi="Arial"/>
              </w:rPr>
              <w:t xml:space="preserve"> de Pelotas;</w:t>
            </w:r>
          </w:p>
          <w:p>
            <w:pPr>
              <w:pStyle w:val="BodyText"/>
              <w:numPr>
                <w:ilvl w:val="0"/>
                <w:numId w:val="1"/>
              </w:numPr>
              <w:tabs>
                <w:tab w:val="clear" w:pos="708"/>
                <w:tab w:val="left" w:pos="0" w:leader="none"/>
              </w:tabs>
              <w:spacing w:lineRule="auto" w:line="360" w:before="57" w:after="57"/>
              <w:ind w:hanging="283" w:left="709"/>
              <w:jc w:val="both"/>
              <w:rPr/>
            </w:pPr>
            <w:r>
              <w:rPr>
                <w:rStyle w:val="Strong"/>
                <w:rFonts w:cs="Arial" w:ascii="Arial" w:hAnsi="Arial"/>
              </w:rPr>
              <w:t>Aterro Minas do Leão</w:t>
            </w:r>
            <w:r>
              <w:rPr>
                <w:rFonts w:cs="Arial" w:ascii="Arial" w:hAnsi="Arial"/>
              </w:rPr>
              <w:t xml:space="preserve">, distante aproximadamente </w:t>
            </w:r>
            <w:r>
              <w:rPr>
                <w:rStyle w:val="Strong"/>
                <w:rFonts w:cs="Arial" w:ascii="Arial" w:hAnsi="Arial"/>
              </w:rPr>
              <w:t>300 km</w:t>
            </w:r>
            <w:r>
              <w:rPr>
                <w:rFonts w:cs="Arial" w:ascii="Arial" w:hAnsi="Arial"/>
              </w:rPr>
              <w:t xml:space="preserve"> de Pelotas.</w:t>
            </w:r>
          </w:p>
          <w:p>
            <w:pPr>
              <w:pStyle w:val="Heading1"/>
              <w:widowControl/>
              <w:suppressAutoHyphens w:val="true"/>
              <w:spacing w:lineRule="auto" w:line="360" w:before="57" w:after="57"/>
              <w:jc w:val="both"/>
              <w:rPr>
                <w:rFonts w:ascii="Arial" w:hAnsi="Arial" w:eastAsia="Calibri"/>
                <w:sz w:val="22"/>
                <w:szCs w:val="22"/>
              </w:rPr>
            </w:pPr>
            <w:r>
              <w:rPr>
                <w:rFonts w:eastAsia="Calibri" w:ascii="Arial" w:hAnsi="Arial"/>
                <w:sz w:val="22"/>
                <w:szCs w:val="22"/>
              </w:rPr>
            </w:r>
          </w:p>
          <w:p>
            <w:pPr>
              <w:pStyle w:val="Heading1"/>
              <w:widowControl/>
              <w:suppressAutoHyphens w:val="true"/>
              <w:spacing w:lineRule="auto" w:line="360" w:before="114" w:after="114"/>
              <w:jc w:val="center"/>
              <w:rPr/>
            </w:pPr>
            <w:r>
              <w:rPr>
                <w:rStyle w:val="Strong"/>
                <w:rFonts w:eastAsia="Calibri" w:cs="Arial" w:ascii="Arial" w:hAnsi="Arial"/>
                <w:b/>
                <w:bCs/>
                <w:kern w:val="2"/>
                <w:sz w:val="22"/>
                <w:szCs w:val="22"/>
                <w:lang w:val="pt-BR" w:eastAsia="en-US" w:bidi="ar-SA"/>
              </w:rPr>
              <w:t>Implantação da Unidade de Transbordo de Pelotas – ETP</w:t>
            </w:r>
          </w:p>
          <w:p>
            <w:pPr>
              <w:pStyle w:val="BodyText"/>
              <w:spacing w:lineRule="auto" w:line="360" w:before="57" w:after="57"/>
              <w:jc w:val="both"/>
              <w:rPr/>
            </w:pPr>
            <w:r>
              <w:rPr>
                <w:rFonts w:cs="Arial" w:ascii="Arial" w:hAnsi="Arial"/>
              </w:rPr>
              <w:t>Independent</w:t>
            </w:r>
            <w:r>
              <w:rPr>
                <w:rFonts w:cs="Arial" w:ascii="Arial" w:hAnsi="Arial"/>
                <w:b w:val="false"/>
                <w:bCs w:val="false"/>
              </w:rPr>
              <w:t xml:space="preserve">emente da alternativa escolhida para o envio dos resíduos, era indispensável a implantação de uma </w:t>
            </w:r>
            <w:r>
              <w:rPr>
                <w:rStyle w:val="Strong"/>
                <w:rFonts w:cs="Arial" w:ascii="Arial" w:hAnsi="Arial"/>
                <w:b w:val="false"/>
                <w:bCs w:val="false"/>
              </w:rPr>
              <w:t>Unidade de Transbordo</w:t>
            </w:r>
            <w:r>
              <w:rPr>
                <w:rFonts w:cs="Arial" w:ascii="Arial" w:hAnsi="Arial"/>
                <w:b w:val="false"/>
                <w:bCs w:val="false"/>
              </w:rPr>
              <w:t xml:space="preserve">, tendo em vista a racionalização do transporte e a economia de recursos em escala. Estudos técnicos demonstram que, para </w:t>
            </w:r>
            <w:r>
              <w:rPr>
                <w:rStyle w:val="Strong"/>
                <w:rFonts w:cs="Arial" w:ascii="Arial" w:hAnsi="Arial"/>
                <w:b w:val="false"/>
                <w:bCs w:val="false"/>
              </w:rPr>
              <w:t>distâncias superiores a 20 km</w:t>
            </w:r>
            <w:r>
              <w:rPr>
                <w:rFonts w:cs="Arial" w:ascii="Arial" w:hAnsi="Arial"/>
                <w:b w:val="false"/>
                <w:bCs w:val="false"/>
              </w:rPr>
              <w:t xml:space="preserve"> entre o centro gerador de resíduos e o destino final, a operação com transbordo passa a ser a alternativa mais eficiente.</w:t>
            </w:r>
          </w:p>
          <w:p>
            <w:pPr>
              <w:pStyle w:val="BodyText"/>
              <w:spacing w:lineRule="auto" w:line="360" w:before="57" w:after="57"/>
              <w:jc w:val="both"/>
              <w:rPr/>
            </w:pPr>
            <w:r>
              <w:rPr>
                <w:rFonts w:cs="Arial" w:ascii="Arial" w:hAnsi="Arial"/>
                <w:b w:val="false"/>
                <w:bCs w:val="false"/>
              </w:rPr>
              <w:t>Considerando o volume de resíduos gerados pelo município, tanto sob responsabilidade do Sanep quanto da Prefeitura, e a perspectiva de aumento progressivo da produção de resíduos (tendência confirmada tanto em Pelotas quanto no cenário nacional), o Sanep iniciou o desenvolvimento de um projeto para implantação da ETP.</w:t>
            </w:r>
          </w:p>
          <w:p>
            <w:pPr>
              <w:pStyle w:val="BodyText"/>
              <w:spacing w:lineRule="auto" w:line="360" w:before="57" w:after="57"/>
              <w:jc w:val="both"/>
              <w:rPr/>
            </w:pPr>
            <w:r>
              <w:rPr>
                <w:rFonts w:cs="Arial" w:ascii="Arial" w:hAnsi="Arial"/>
                <w:b w:val="false"/>
                <w:bCs w:val="false"/>
              </w:rPr>
              <w:t xml:space="preserve">Estimou-se a necessidade de uma área aproximada de </w:t>
            </w:r>
            <w:r>
              <w:rPr>
                <w:rStyle w:val="Strong"/>
                <w:rFonts w:cs="Arial" w:ascii="Arial" w:hAnsi="Arial"/>
                <w:b w:val="false"/>
                <w:bCs w:val="false"/>
              </w:rPr>
              <w:t>4 hectares</w:t>
            </w:r>
            <w:r>
              <w:rPr>
                <w:rFonts w:cs="Arial" w:ascii="Arial" w:hAnsi="Arial"/>
                <w:b w:val="false"/>
                <w:bCs w:val="false"/>
              </w:rPr>
              <w:t>, contemplando escritório, balança, sanitários, plataforma de descarga, plataforma de carga, área de armazenamento temporário, pátio de manobra e área de espera. Contudo, o município não dispunha d</w:t>
            </w:r>
            <w:r>
              <w:rPr>
                <w:rFonts w:cs="Arial" w:ascii="Arial" w:hAnsi="Arial"/>
              </w:rPr>
              <w:t>e área própria que atendesse às exigências operacionais e ambientais, especialmente quanto à distância de lindeiros, potencial geração de ruídos e odores, e normas específicas aplicáveis ao Distrito Industrial.</w:t>
            </w:r>
          </w:p>
          <w:p>
            <w:pPr>
              <w:pStyle w:val="BodyText"/>
              <w:spacing w:lineRule="auto" w:line="360" w:before="57" w:after="57"/>
              <w:jc w:val="both"/>
              <w:rPr/>
            </w:pPr>
            <w:r>
              <w:rPr>
                <w:rFonts w:cs="Arial" w:ascii="Arial" w:hAnsi="Arial"/>
              </w:rPr>
              <w:t>Assim, seria necessário adquirir uma área adequada e dispor de recursos para a execução das obras. Soma-se a isso a burocracia e o elevado custo do processo de licenciamento ambiental.</w:t>
            </w:r>
          </w:p>
          <w:p>
            <w:pPr>
              <w:pStyle w:val="Heading3"/>
              <w:spacing w:lineRule="auto" w:line="360" w:before="57" w:after="57"/>
              <w:jc w:val="center"/>
              <w:rPr/>
            </w:pPr>
            <w:r>
              <w:rPr>
                <w:rStyle w:val="Strong"/>
                <w:rFonts w:eastAsia="Calibri" w:cs="Arial" w:ascii="Arial" w:hAnsi="Arial"/>
                <w:b/>
                <w:bCs/>
                <w:sz w:val="22"/>
                <w:szCs w:val="22"/>
              </w:rPr>
              <w:t>Considerações sobre custos</w:t>
            </w:r>
          </w:p>
          <w:p>
            <w:pPr>
              <w:pStyle w:val="BodyText"/>
              <w:spacing w:lineRule="auto" w:line="360" w:before="57" w:after="57"/>
              <w:jc w:val="both"/>
              <w:rPr/>
            </w:pPr>
            <w:r>
              <w:rPr>
                <w:rFonts w:cs="Arial" w:ascii="Arial" w:hAnsi="Arial"/>
                <w:b w:val="false"/>
                <w:bCs w:val="false"/>
              </w:rPr>
              <w:t xml:space="preserve">A desapropriação de área para implantação de nova ETP custaria entre </w:t>
            </w:r>
            <w:r>
              <w:rPr>
                <w:rStyle w:val="Strong"/>
                <w:rFonts w:cs="Arial" w:ascii="Arial" w:hAnsi="Arial"/>
                <w:b w:val="false"/>
                <w:bCs w:val="false"/>
              </w:rPr>
              <w:t>R$ 2 milhões e R$ 3 milhões</w:t>
            </w:r>
            <w:r>
              <w:rPr>
                <w:rFonts w:cs="Arial" w:ascii="Arial" w:hAnsi="Arial"/>
                <w:b w:val="false"/>
                <w:bCs w:val="false"/>
              </w:rPr>
              <w:t xml:space="preserve">, além de valor similar para a execução das obras civis. O investimento inicial mínimo seria, portanto, entre </w:t>
            </w:r>
            <w:r>
              <w:rPr>
                <w:rStyle w:val="Strong"/>
                <w:rFonts w:cs="Arial" w:ascii="Arial" w:hAnsi="Arial"/>
                <w:b w:val="false"/>
                <w:bCs w:val="false"/>
              </w:rPr>
              <w:t>R$ 5 milhões e R$ 6 milhões</w:t>
            </w:r>
            <w:r>
              <w:rPr>
                <w:rFonts w:cs="Arial" w:ascii="Arial" w:hAnsi="Arial"/>
                <w:b w:val="false"/>
                <w:bCs w:val="false"/>
              </w:rPr>
              <w:t>.</w:t>
            </w:r>
          </w:p>
          <w:p>
            <w:pPr>
              <w:pStyle w:val="BodyText"/>
              <w:spacing w:lineRule="auto" w:line="360" w:before="57" w:after="57"/>
              <w:jc w:val="both"/>
              <w:rPr/>
            </w:pPr>
            <w:r>
              <w:rPr>
                <w:rFonts w:cs="Arial" w:ascii="Arial" w:hAnsi="Arial"/>
                <w:b w:val="false"/>
                <w:bCs w:val="false"/>
              </w:rPr>
              <w:t xml:space="preserve">O prazo mínimo para construção, somado ao processo de licenciamento, seria de </w:t>
            </w:r>
            <w:r>
              <w:rPr>
                <w:rStyle w:val="Strong"/>
                <w:rFonts w:cs="Arial" w:ascii="Arial" w:hAnsi="Arial"/>
                <w:b w:val="false"/>
                <w:bCs w:val="false"/>
              </w:rPr>
              <w:t>um ano</w:t>
            </w:r>
            <w:r>
              <w:rPr>
                <w:rFonts w:cs="Arial" w:ascii="Arial" w:hAnsi="Arial"/>
                <w:b w:val="false"/>
                <w:bCs w:val="false"/>
              </w:rPr>
              <w:t xml:space="preserve">, caso o município já possuísse área própria. Caso o empreendimento fosse desenvolvido pela iniciativa privada, esse prazo poderia ser reduzido para cerca de </w:t>
            </w:r>
            <w:r>
              <w:rPr>
                <w:rStyle w:val="Strong"/>
                <w:rFonts w:cs="Arial" w:ascii="Arial" w:hAnsi="Arial"/>
                <w:b w:val="false"/>
                <w:bCs w:val="false"/>
              </w:rPr>
              <w:t>6 meses</w:t>
            </w:r>
            <w:r>
              <w:rPr>
                <w:rFonts w:cs="Arial" w:ascii="Arial" w:hAnsi="Arial"/>
                <w:b w:val="false"/>
                <w:bCs w:val="false"/>
              </w:rPr>
              <w:t>.</w:t>
            </w:r>
          </w:p>
          <w:p>
            <w:pPr>
              <w:pStyle w:val="BodyText"/>
              <w:spacing w:lineRule="auto" w:line="360" w:before="57" w:after="57"/>
              <w:jc w:val="both"/>
              <w:rPr/>
            </w:pPr>
            <w:r>
              <w:rPr>
                <w:rFonts w:cs="Arial" w:ascii="Arial" w:hAnsi="Arial"/>
                <w:b w:val="false"/>
                <w:bCs w:val="false"/>
              </w:rPr>
              <w:t>Além disso, seria necessária a realização de concurso público para prover mais de 20 cargos operacionais, bem como a aquisição ou locação de maquinários (retroescavadeiras, geradores, entre outros).</w:t>
            </w:r>
          </w:p>
          <w:p>
            <w:pPr>
              <w:pStyle w:val="BodyText"/>
              <w:spacing w:lineRule="auto" w:line="360" w:before="57" w:after="57"/>
              <w:jc w:val="both"/>
              <w:rPr/>
            </w:pPr>
            <w:r>
              <w:rPr>
                <w:rFonts w:cs="Arial" w:ascii="Arial" w:hAnsi="Arial"/>
                <w:b w:val="false"/>
                <w:bCs w:val="false"/>
              </w:rPr>
              <w:t xml:space="preserve">Diante desse cenário, a administração municipal lançou, em 2012, processo licitatório para contratação da </w:t>
            </w:r>
            <w:r>
              <w:rPr>
                <w:rStyle w:val="Strong"/>
                <w:rFonts w:cs="Arial" w:ascii="Arial" w:hAnsi="Arial"/>
                <w:b w:val="false"/>
                <w:bCs w:val="false"/>
              </w:rPr>
              <w:t>implantação e operação de uma Estação de Transbordo, Transporte e Destino Final dos Resíduos Sólidos</w:t>
            </w:r>
            <w:r>
              <w:rPr>
                <w:rFonts w:cs="Arial" w:ascii="Arial" w:hAnsi="Arial"/>
                <w:b w:val="false"/>
                <w:bCs w:val="false"/>
              </w:rPr>
              <w:t>, cabendo ao Sanep o controle operacional: pesagens, emissão de tickets, fiscalização e acompanhamento das plataformas.</w:t>
            </w:r>
          </w:p>
          <w:p>
            <w:pPr>
              <w:pStyle w:val="BodyText"/>
              <w:spacing w:lineRule="auto" w:line="360" w:before="57" w:after="57"/>
              <w:jc w:val="both"/>
              <w:rPr/>
            </w:pPr>
            <w:r>
              <w:rPr>
                <w:rFonts w:cs="Arial" w:ascii="Arial" w:hAnsi="Arial"/>
                <w:b w:val="false"/>
                <w:bCs w:val="false"/>
              </w:rPr>
              <w:t xml:space="preserve">A Estação de Transbordo foi </w:t>
            </w:r>
            <w:r>
              <w:rPr>
                <w:rStyle w:val="Strong"/>
                <w:rFonts w:cs="Arial" w:ascii="Arial" w:hAnsi="Arial"/>
                <w:b w:val="false"/>
                <w:bCs w:val="false"/>
              </w:rPr>
              <w:t>implantada por iniciativa privada</w:t>
            </w:r>
            <w:r>
              <w:rPr>
                <w:rFonts w:cs="Arial" w:ascii="Arial" w:hAnsi="Arial"/>
                <w:b w:val="false"/>
                <w:bCs w:val="false"/>
              </w:rPr>
              <w:t xml:space="preserve"> pelo Sr. Jaime Arthur da Silveira e locada à empresa </w:t>
            </w:r>
            <w:r>
              <w:rPr>
                <w:rStyle w:val="Strong"/>
                <w:rFonts w:cs="Arial" w:ascii="Arial" w:hAnsi="Arial"/>
                <w:b w:val="false"/>
                <w:bCs w:val="false"/>
              </w:rPr>
              <w:t>Meio Oeste</w:t>
            </w:r>
            <w:r>
              <w:rPr>
                <w:rFonts w:cs="Arial" w:ascii="Arial" w:hAnsi="Arial"/>
                <w:b w:val="false"/>
                <w:bCs w:val="false"/>
              </w:rPr>
              <w:t>, vencedora da licitação, que passou a executar os três serviços: operação do transbordo, transporte e disposição final no Aterro de Candiota.</w:t>
            </w:r>
          </w:p>
          <w:p>
            <w:pPr>
              <w:pStyle w:val="BodyText"/>
              <w:spacing w:lineRule="auto" w:line="360" w:before="57" w:after="57"/>
              <w:jc w:val="both"/>
              <w:rPr/>
            </w:pPr>
            <w:r>
              <w:rPr>
                <w:rFonts w:cs="Arial" w:ascii="Arial" w:hAnsi="Arial"/>
                <w:b w:val="false"/>
                <w:bCs w:val="false"/>
              </w:rPr>
              <w:t>Em 2017, nova licitação foi realizada nos mesmos moldes, sendo novamente vencedora a empresa Meio Oeste.</w:t>
            </w:r>
          </w:p>
          <w:p>
            <w:pPr>
              <w:pStyle w:val="Heading1"/>
              <w:widowControl/>
              <w:suppressAutoHyphens w:val="true"/>
              <w:spacing w:lineRule="auto" w:line="360" w:before="57" w:after="57"/>
              <w:jc w:val="center"/>
              <w:rPr/>
            </w:pPr>
            <w:r>
              <w:rPr>
                <w:rStyle w:val="Strong"/>
                <w:rFonts w:eastAsia="Calibri" w:cs="Arial" w:ascii="Arial" w:hAnsi="Arial"/>
                <w:b/>
                <w:bCs/>
                <w:kern w:val="2"/>
                <w:sz w:val="22"/>
                <w:szCs w:val="22"/>
                <w:lang w:val="pt-BR" w:eastAsia="en-US" w:bidi="ar-SA"/>
              </w:rPr>
              <w:t>Pregão Eletrônico nº 79/2024 – Suspensão Judicial</w:t>
            </w:r>
          </w:p>
          <w:p>
            <w:pPr>
              <w:pStyle w:val="BodyText"/>
              <w:spacing w:lineRule="auto" w:line="360" w:before="57" w:after="57"/>
              <w:jc w:val="both"/>
              <w:rPr/>
            </w:pPr>
            <w:r>
              <w:rPr>
                <w:rFonts w:cs="Arial" w:ascii="Arial" w:hAnsi="Arial"/>
                <w:b w:val="false"/>
                <w:bCs w:val="false"/>
              </w:rPr>
              <w:t xml:space="preserve">Em dezembro de 2024, a gestão anterior do Sanep publicou o </w:t>
            </w:r>
            <w:r>
              <w:rPr>
                <w:rStyle w:val="Strong"/>
                <w:rFonts w:cs="Arial" w:ascii="Arial" w:hAnsi="Arial"/>
                <w:b w:val="false"/>
                <w:bCs w:val="false"/>
              </w:rPr>
              <w:t>Pregão Eletrônico nº 79/2024</w:t>
            </w:r>
            <w:r>
              <w:rPr>
                <w:rFonts w:cs="Arial" w:ascii="Arial" w:hAnsi="Arial"/>
                <w:b w:val="false"/>
                <w:bCs w:val="false"/>
              </w:rPr>
              <w:t xml:space="preserve"> para contratação dos mesmos serviços.</w:t>
              <w:br/>
              <w:t xml:space="preserve">O certame foi suspenso por decisão liminar, a pedido da empresa </w:t>
            </w:r>
            <w:r>
              <w:rPr>
                <w:rStyle w:val="Strong"/>
                <w:rFonts w:cs="Arial" w:ascii="Arial" w:hAnsi="Arial"/>
                <w:b w:val="false"/>
                <w:bCs w:val="false"/>
              </w:rPr>
              <w:t>Tazay Transportes Ltda.</w:t>
            </w:r>
            <w:r>
              <w:rPr>
                <w:rFonts w:cs="Arial" w:ascii="Arial" w:hAnsi="Arial"/>
                <w:b w:val="false"/>
                <w:bCs w:val="false"/>
              </w:rPr>
              <w:t xml:space="preserve"> (Agravo de Instrumento nº 5364635-79.2024.8.21.7000/RS), sobretudo porque o prazo de </w:t>
            </w:r>
            <w:r>
              <w:rPr>
                <w:rStyle w:val="Strong"/>
                <w:rFonts w:cs="Arial" w:ascii="Arial" w:hAnsi="Arial"/>
                <w:b w:val="false"/>
                <w:bCs w:val="false"/>
              </w:rPr>
              <w:t>30 dias</w:t>
            </w:r>
            <w:r>
              <w:rPr>
                <w:rFonts w:cs="Arial" w:ascii="Arial" w:hAnsi="Arial"/>
                <w:b w:val="false"/>
                <w:bCs w:val="false"/>
              </w:rPr>
              <w:t xml:space="preserve"> para apresentação de uma ETP licenciada foi considerado insuficiente.</w:t>
            </w:r>
          </w:p>
          <w:p>
            <w:pPr>
              <w:pStyle w:val="BodyText"/>
              <w:spacing w:lineRule="auto" w:line="360" w:before="57" w:after="57"/>
              <w:jc w:val="both"/>
              <w:rPr/>
            </w:pPr>
            <w:r>
              <w:rPr>
                <w:rFonts w:cs="Arial" w:ascii="Arial" w:hAnsi="Arial"/>
                <w:b w:val="false"/>
                <w:bCs w:val="false"/>
              </w:rPr>
              <w:t xml:space="preserve">Em </w:t>
            </w:r>
            <w:r>
              <w:rPr>
                <w:rStyle w:val="Strong"/>
                <w:rFonts w:cs="Arial" w:ascii="Arial" w:hAnsi="Arial"/>
                <w:b w:val="false"/>
                <w:bCs w:val="false"/>
              </w:rPr>
              <w:t>10 de junho de 2025</w:t>
            </w:r>
            <w:r>
              <w:rPr>
                <w:rFonts w:cs="Arial" w:ascii="Arial" w:hAnsi="Arial"/>
                <w:b w:val="false"/>
                <w:bCs w:val="false"/>
              </w:rPr>
              <w:t xml:space="preserve">, o Tribunal de Justiça do RS decidiu pela </w:t>
            </w:r>
            <w:r>
              <w:rPr>
                <w:rStyle w:val="Strong"/>
                <w:rFonts w:cs="Arial" w:ascii="Arial" w:hAnsi="Arial"/>
                <w:b w:val="false"/>
                <w:bCs w:val="false"/>
              </w:rPr>
              <w:t>anulação do processo licitatório</w:t>
            </w:r>
            <w:r>
              <w:rPr>
                <w:rFonts w:cs="Arial" w:ascii="Arial" w:hAnsi="Arial"/>
                <w:b w:val="false"/>
                <w:bCs w:val="false"/>
              </w:rPr>
              <w:t>, destacando, entre outros pontos:</w:t>
            </w:r>
          </w:p>
          <w:p>
            <w:pPr>
              <w:pStyle w:val="BodyText"/>
              <w:numPr>
                <w:ilvl w:val="0"/>
                <w:numId w:val="2"/>
              </w:numPr>
              <w:tabs>
                <w:tab w:val="clear" w:pos="708"/>
                <w:tab w:val="left" w:pos="0" w:leader="none"/>
              </w:tabs>
              <w:spacing w:lineRule="auto" w:line="360" w:before="57" w:after="57"/>
              <w:ind w:hanging="283" w:left="709"/>
              <w:jc w:val="both"/>
              <w:rPr/>
            </w:pPr>
            <w:r>
              <w:rPr>
                <w:rFonts w:cs="Arial" w:ascii="Arial" w:hAnsi="Arial"/>
                <w:b w:val="false"/>
                <w:bCs w:val="false"/>
              </w:rPr>
              <w:t xml:space="preserve">O edital impunha </w:t>
            </w:r>
            <w:r>
              <w:rPr>
                <w:rStyle w:val="Strong"/>
                <w:rFonts w:cs="Arial" w:ascii="Arial" w:hAnsi="Arial"/>
                <w:b w:val="false"/>
                <w:bCs w:val="false"/>
              </w:rPr>
              <w:t>dispêndios prévios</w:t>
            </w:r>
            <w:r>
              <w:rPr>
                <w:rFonts w:cs="Arial" w:ascii="Arial" w:hAnsi="Arial"/>
                <w:b w:val="false"/>
                <w:bCs w:val="false"/>
              </w:rPr>
              <w:t xml:space="preserve"> e exigências ambientais custosas, restringindo a competitividade.</w:t>
            </w:r>
          </w:p>
          <w:p>
            <w:pPr>
              <w:pStyle w:val="BodyText"/>
              <w:numPr>
                <w:ilvl w:val="0"/>
                <w:numId w:val="2"/>
              </w:numPr>
              <w:tabs>
                <w:tab w:val="clear" w:pos="708"/>
                <w:tab w:val="left" w:pos="0" w:leader="none"/>
              </w:tabs>
              <w:spacing w:lineRule="auto" w:line="360" w:before="57" w:after="57"/>
              <w:ind w:hanging="283" w:left="709"/>
              <w:jc w:val="both"/>
              <w:rPr/>
            </w:pPr>
            <w:r>
              <w:rPr>
                <w:rFonts w:cs="Arial" w:ascii="Arial" w:hAnsi="Arial"/>
                <w:b w:val="false"/>
                <w:bCs w:val="false"/>
              </w:rPr>
              <w:t xml:space="preserve">A modalidade </w:t>
            </w:r>
            <w:r>
              <w:rPr>
                <w:rStyle w:val="Strong"/>
                <w:rFonts w:cs="Arial" w:ascii="Arial" w:hAnsi="Arial"/>
                <w:b w:val="false"/>
                <w:bCs w:val="false"/>
              </w:rPr>
              <w:t>Pregão</w:t>
            </w:r>
            <w:r>
              <w:rPr>
                <w:rFonts w:cs="Arial" w:ascii="Arial" w:hAnsi="Arial"/>
                <w:b w:val="false"/>
                <w:bCs w:val="false"/>
              </w:rPr>
              <w:t xml:space="preserve"> era inadequada para serviço de alta complexidade técnica, contrariando a </w:t>
            </w:r>
            <w:r>
              <w:rPr>
                <w:rStyle w:val="Strong"/>
                <w:rFonts w:cs="Arial" w:ascii="Arial" w:hAnsi="Arial"/>
                <w:b w:val="false"/>
                <w:bCs w:val="false"/>
              </w:rPr>
              <w:t>Lei nº 14.133/2021</w:t>
            </w:r>
            <w:r>
              <w:rPr>
                <w:rFonts w:cs="Arial" w:ascii="Arial" w:hAnsi="Arial"/>
                <w:b w:val="false"/>
                <w:bCs w:val="false"/>
              </w:rPr>
              <w:t>.</w:t>
            </w:r>
          </w:p>
          <w:p>
            <w:pPr>
              <w:pStyle w:val="BodyText"/>
              <w:numPr>
                <w:ilvl w:val="0"/>
                <w:numId w:val="2"/>
              </w:numPr>
              <w:tabs>
                <w:tab w:val="clear" w:pos="708"/>
                <w:tab w:val="left" w:pos="0" w:leader="none"/>
              </w:tabs>
              <w:spacing w:lineRule="auto" w:line="360" w:before="57" w:after="57"/>
              <w:ind w:hanging="283" w:left="709"/>
              <w:jc w:val="both"/>
              <w:rPr/>
            </w:pPr>
            <w:r>
              <w:rPr>
                <w:rFonts w:cs="Arial" w:ascii="Arial" w:hAnsi="Arial"/>
                <w:b w:val="false"/>
                <w:bCs w:val="false"/>
              </w:rPr>
              <w:t xml:space="preserve">O edital exigia </w:t>
            </w:r>
            <w:r>
              <w:rPr>
                <w:rStyle w:val="Strong"/>
                <w:rFonts w:cs="Arial" w:ascii="Arial" w:hAnsi="Arial"/>
                <w:b w:val="false"/>
                <w:bCs w:val="false"/>
              </w:rPr>
              <w:t>protocolo de licenciamento ambiental prévio</w:t>
            </w:r>
            <w:r>
              <w:rPr>
                <w:rFonts w:cs="Arial" w:ascii="Arial" w:hAnsi="Arial"/>
                <w:b w:val="false"/>
                <w:bCs w:val="false"/>
              </w:rPr>
              <w:t xml:space="preserve">, o que é ilegal, pois cabe ao </w:t>
            </w:r>
            <w:r>
              <w:rPr>
                <w:rStyle w:val="Strong"/>
                <w:rFonts w:cs="Arial" w:ascii="Arial" w:hAnsi="Arial"/>
                <w:b w:val="false"/>
                <w:bCs w:val="false"/>
              </w:rPr>
              <w:t>ente público</w:t>
            </w:r>
            <w:r>
              <w:rPr>
                <w:rFonts w:cs="Arial" w:ascii="Arial" w:hAnsi="Arial"/>
                <w:b w:val="false"/>
                <w:bCs w:val="false"/>
              </w:rPr>
              <w:t xml:space="preserve"> promover e custear essa etapa (art. 115, §4º).</w:t>
            </w:r>
          </w:p>
          <w:p>
            <w:pPr>
              <w:pStyle w:val="BodyText"/>
              <w:numPr>
                <w:ilvl w:val="0"/>
                <w:numId w:val="2"/>
              </w:numPr>
              <w:tabs>
                <w:tab w:val="clear" w:pos="708"/>
                <w:tab w:val="left" w:pos="0" w:leader="none"/>
              </w:tabs>
              <w:spacing w:lineRule="auto" w:line="360" w:before="57" w:after="57"/>
              <w:ind w:hanging="283" w:left="709"/>
              <w:jc w:val="both"/>
              <w:rPr/>
            </w:pPr>
            <w:r>
              <w:rPr>
                <w:rFonts w:cs="Arial" w:ascii="Arial" w:hAnsi="Arial"/>
                <w:b w:val="false"/>
                <w:bCs w:val="false"/>
              </w:rPr>
              <w:t xml:space="preserve">O prazo de </w:t>
            </w:r>
            <w:r>
              <w:rPr>
                <w:rStyle w:val="Strong"/>
                <w:rFonts w:cs="Arial" w:ascii="Arial" w:hAnsi="Arial"/>
                <w:b w:val="false"/>
                <w:bCs w:val="false"/>
              </w:rPr>
              <w:t>30 dias</w:t>
            </w:r>
            <w:r>
              <w:rPr>
                <w:rFonts w:cs="Arial" w:ascii="Arial" w:hAnsi="Arial"/>
                <w:b w:val="false"/>
                <w:bCs w:val="false"/>
              </w:rPr>
              <w:t xml:space="preserve"> para início da operação era manifestamente inexequível.</w:t>
            </w:r>
          </w:p>
          <w:p>
            <w:pPr>
              <w:pStyle w:val="Heading1"/>
              <w:widowControl/>
              <w:suppressAutoHyphens w:val="true"/>
              <w:spacing w:lineRule="auto" w:line="360" w:before="57" w:after="57"/>
              <w:jc w:val="both"/>
              <w:rPr>
                <w:rFonts w:ascii="Arial" w:hAnsi="Arial" w:eastAsia="Calibri"/>
                <w:b w:val="false"/>
                <w:bCs w:val="false"/>
                <w:sz w:val="22"/>
                <w:szCs w:val="22"/>
              </w:rPr>
            </w:pPr>
            <w:r>
              <w:rPr>
                <w:rFonts w:eastAsia="Calibri" w:ascii="Arial" w:hAnsi="Arial"/>
                <w:b w:val="false"/>
                <w:bCs w:val="false"/>
                <w:sz w:val="22"/>
                <w:szCs w:val="22"/>
              </w:rPr>
            </w:r>
          </w:p>
          <w:p>
            <w:pPr>
              <w:pStyle w:val="Heading1"/>
              <w:widowControl/>
              <w:suppressAutoHyphens w:val="true"/>
              <w:spacing w:lineRule="auto" w:line="360" w:before="57" w:after="57"/>
              <w:jc w:val="center"/>
              <w:rPr/>
            </w:pPr>
            <w:r>
              <w:rPr>
                <w:rStyle w:val="Strong"/>
                <w:rFonts w:eastAsia="Calibri" w:cs="Arial" w:ascii="Arial" w:hAnsi="Arial"/>
                <w:b/>
                <w:bCs/>
                <w:kern w:val="2"/>
                <w:sz w:val="22"/>
                <w:szCs w:val="22"/>
                <w:lang w:val="pt-BR" w:eastAsia="en-US" w:bidi="ar-SA"/>
              </w:rPr>
              <w:t>Decisão do Tribunal de Contas do Estado – Processo nº 021944-02.00/24-9</w:t>
            </w:r>
          </w:p>
          <w:p>
            <w:pPr>
              <w:pStyle w:val="BodyText"/>
              <w:spacing w:lineRule="auto" w:line="360" w:before="57" w:after="57"/>
              <w:jc w:val="both"/>
              <w:rPr/>
            </w:pPr>
            <w:r>
              <w:rPr>
                <w:rFonts w:cs="Arial" w:ascii="Arial" w:hAnsi="Arial"/>
              </w:rPr>
              <w:t>O TCE/RS analisou representação pedindo a anulação do PE 79/2024, decidindo:</w:t>
            </w:r>
          </w:p>
          <w:p>
            <w:pPr>
              <w:pStyle w:val="BodyText"/>
              <w:numPr>
                <w:ilvl w:val="0"/>
                <w:numId w:val="3"/>
              </w:numPr>
              <w:tabs>
                <w:tab w:val="clear" w:pos="708"/>
                <w:tab w:val="left" w:pos="0" w:leader="none"/>
              </w:tabs>
              <w:spacing w:lineRule="auto" w:line="360" w:before="57" w:after="57"/>
              <w:ind w:hanging="283" w:left="709"/>
              <w:jc w:val="both"/>
              <w:rPr/>
            </w:pPr>
            <w:r>
              <w:rPr>
                <w:rStyle w:val="Strong"/>
                <w:rFonts w:cs="Arial" w:ascii="Arial" w:hAnsi="Arial"/>
                <w:b w:val="false"/>
                <w:bCs w:val="false"/>
              </w:rPr>
              <w:t>Extinguir o processo com julgamento do mérito.</w:t>
            </w:r>
          </w:p>
          <w:p>
            <w:pPr>
              <w:pStyle w:val="BodyText"/>
              <w:numPr>
                <w:ilvl w:val="0"/>
                <w:numId w:val="3"/>
              </w:numPr>
              <w:tabs>
                <w:tab w:val="clear" w:pos="708"/>
                <w:tab w:val="left" w:pos="0" w:leader="none"/>
              </w:tabs>
              <w:spacing w:lineRule="auto" w:line="360" w:before="57" w:after="57"/>
              <w:ind w:hanging="283" w:left="709"/>
              <w:jc w:val="both"/>
              <w:rPr/>
            </w:pPr>
            <w:r>
              <w:rPr>
                <w:rStyle w:val="Strong"/>
                <w:rFonts w:cs="Arial" w:ascii="Arial" w:hAnsi="Arial"/>
                <w:b w:val="false"/>
                <w:bCs w:val="false"/>
              </w:rPr>
              <w:t>Determinar ao Sanep</w:t>
            </w:r>
            <w:r>
              <w:rPr>
                <w:rFonts w:cs="Arial" w:ascii="Arial" w:hAnsi="Arial"/>
                <w:b w:val="false"/>
                <w:bCs w:val="false"/>
              </w:rPr>
              <w:t xml:space="preserve"> que:</w:t>
            </w:r>
          </w:p>
          <w:p>
            <w:pPr>
              <w:pStyle w:val="BodyText"/>
              <w:numPr>
                <w:ilvl w:val="1"/>
                <w:numId w:val="21"/>
              </w:numPr>
              <w:tabs>
                <w:tab w:val="clear" w:pos="708"/>
                <w:tab w:val="left" w:pos="0" w:leader="none"/>
              </w:tabs>
              <w:spacing w:lineRule="auto" w:line="360" w:before="57" w:after="57"/>
              <w:jc w:val="both"/>
              <w:rPr/>
            </w:pPr>
            <w:r>
              <w:rPr>
                <w:rFonts w:cs="Arial" w:ascii="Arial" w:hAnsi="Arial"/>
                <w:b w:val="false"/>
                <w:bCs w:val="false"/>
              </w:rPr>
              <w:t>anule o PE 79/2024;</w:t>
            </w:r>
          </w:p>
          <w:p>
            <w:pPr>
              <w:pStyle w:val="BodyText"/>
              <w:numPr>
                <w:ilvl w:val="1"/>
                <w:numId w:val="21"/>
              </w:numPr>
              <w:tabs>
                <w:tab w:val="clear" w:pos="708"/>
                <w:tab w:val="left" w:pos="0" w:leader="none"/>
              </w:tabs>
              <w:spacing w:lineRule="auto" w:line="360" w:before="57" w:after="57"/>
              <w:jc w:val="both"/>
              <w:rPr/>
            </w:pPr>
            <w:r>
              <w:rPr>
                <w:rFonts w:cs="Arial" w:ascii="Arial" w:hAnsi="Arial"/>
                <w:b w:val="false"/>
                <w:bCs w:val="false"/>
              </w:rPr>
              <w:t xml:space="preserve">utilize a modalidade </w:t>
            </w:r>
            <w:r>
              <w:rPr>
                <w:rStyle w:val="Strong"/>
                <w:rFonts w:cs="Arial" w:ascii="Arial" w:hAnsi="Arial"/>
                <w:b w:val="false"/>
                <w:bCs w:val="false"/>
              </w:rPr>
              <w:t>Concorrência</w:t>
            </w:r>
            <w:r>
              <w:rPr>
                <w:rFonts w:cs="Arial" w:ascii="Arial" w:hAnsi="Arial"/>
                <w:b w:val="false"/>
                <w:bCs w:val="false"/>
              </w:rPr>
              <w:t xml:space="preserve"> em futuros certames de mesmo objeto;</w:t>
            </w:r>
          </w:p>
          <w:p>
            <w:pPr>
              <w:pStyle w:val="BodyText"/>
              <w:numPr>
                <w:ilvl w:val="1"/>
                <w:numId w:val="21"/>
              </w:numPr>
              <w:tabs>
                <w:tab w:val="clear" w:pos="708"/>
                <w:tab w:val="left" w:pos="0" w:leader="none"/>
              </w:tabs>
              <w:spacing w:lineRule="auto" w:line="360" w:before="57" w:after="57"/>
              <w:jc w:val="both"/>
              <w:rPr/>
            </w:pPr>
            <w:r>
              <w:rPr>
                <w:rFonts w:cs="Arial" w:ascii="Arial" w:hAnsi="Arial"/>
                <w:b w:val="false"/>
                <w:bCs w:val="false"/>
              </w:rPr>
              <w:t>não exija protocolo de licença prévia como requisito de habilitação;</w:t>
            </w:r>
          </w:p>
          <w:p>
            <w:pPr>
              <w:pStyle w:val="BodyText"/>
              <w:numPr>
                <w:ilvl w:val="1"/>
                <w:numId w:val="21"/>
              </w:numPr>
              <w:tabs>
                <w:tab w:val="clear" w:pos="708"/>
                <w:tab w:val="left" w:pos="0" w:leader="none"/>
              </w:tabs>
              <w:spacing w:lineRule="auto" w:line="360" w:before="57" w:after="57"/>
              <w:jc w:val="both"/>
              <w:rPr/>
            </w:pPr>
            <w:r>
              <w:rPr>
                <w:rFonts w:cs="Arial" w:ascii="Arial" w:hAnsi="Arial"/>
                <w:b w:val="false"/>
                <w:bCs w:val="false"/>
              </w:rPr>
              <w:t>não exija comprovação de vínculo empregatício do responsável técnico na fase de habilitação;</w:t>
            </w:r>
          </w:p>
          <w:p>
            <w:pPr>
              <w:pStyle w:val="BodyText"/>
              <w:numPr>
                <w:ilvl w:val="1"/>
                <w:numId w:val="21"/>
              </w:numPr>
              <w:tabs>
                <w:tab w:val="clear" w:pos="708"/>
                <w:tab w:val="left" w:pos="0" w:leader="none"/>
              </w:tabs>
              <w:spacing w:lineRule="auto" w:line="360" w:before="57" w:after="57"/>
              <w:jc w:val="both"/>
              <w:rPr/>
            </w:pPr>
            <w:r>
              <w:rPr>
                <w:rFonts w:cs="Arial" w:ascii="Arial" w:hAnsi="Arial"/>
                <w:b w:val="false"/>
                <w:bCs w:val="false"/>
              </w:rPr>
              <w:t>fixe prazo razoável para início da execução;</w:t>
            </w:r>
          </w:p>
          <w:p>
            <w:pPr>
              <w:pStyle w:val="BodyText"/>
              <w:numPr>
                <w:ilvl w:val="1"/>
                <w:numId w:val="3"/>
              </w:numPr>
              <w:tabs>
                <w:tab w:val="clear" w:pos="708"/>
                <w:tab w:val="left" w:pos="0" w:leader="none"/>
              </w:tabs>
              <w:spacing w:lineRule="auto" w:line="360" w:before="57" w:after="57"/>
              <w:ind w:hanging="283" w:left="1418"/>
              <w:jc w:val="both"/>
              <w:rPr/>
            </w:pPr>
            <w:r>
              <w:rPr>
                <w:rFonts w:cs="Arial" w:ascii="Arial" w:hAnsi="Arial"/>
                <w:b w:val="false"/>
                <w:bCs w:val="false"/>
              </w:rPr>
              <w:t>permita o somatório de atestados de transbordos distintos;</w:t>
            </w:r>
          </w:p>
          <w:p>
            <w:pPr>
              <w:pStyle w:val="BodyText"/>
              <w:numPr>
                <w:ilvl w:val="1"/>
                <w:numId w:val="3"/>
              </w:numPr>
              <w:tabs>
                <w:tab w:val="clear" w:pos="708"/>
                <w:tab w:val="left" w:pos="0" w:leader="none"/>
              </w:tabs>
              <w:spacing w:lineRule="auto" w:line="360" w:before="57" w:after="57"/>
              <w:ind w:hanging="283" w:left="1418"/>
              <w:jc w:val="both"/>
              <w:rPr/>
            </w:pPr>
            <w:r>
              <w:rPr>
                <w:rFonts w:cs="Arial" w:ascii="Arial" w:hAnsi="Arial"/>
                <w:b w:val="false"/>
                <w:bCs w:val="false"/>
              </w:rPr>
              <w:t xml:space="preserve">elabore </w:t>
            </w:r>
            <w:r>
              <w:rPr>
                <w:rStyle w:val="Strong"/>
                <w:rFonts w:cs="Arial" w:ascii="Arial" w:hAnsi="Arial"/>
                <w:b w:val="false"/>
                <w:bCs w:val="false"/>
              </w:rPr>
              <w:t>Estudo Técnico Preliminar (ETP)</w:t>
            </w:r>
            <w:r>
              <w:rPr>
                <w:rFonts w:cs="Arial" w:ascii="Arial" w:hAnsi="Arial"/>
                <w:b w:val="false"/>
                <w:bCs w:val="false"/>
              </w:rPr>
              <w:t xml:space="preserve"> com avaliação das alternativas, conforme art. 18 da Lei 14.133/2021.</w:t>
            </w:r>
          </w:p>
          <w:p>
            <w:pPr>
              <w:pStyle w:val="Heading1"/>
              <w:widowControl/>
              <w:suppressAutoHyphens w:val="true"/>
              <w:spacing w:lineRule="auto" w:line="360" w:before="57" w:after="57"/>
              <w:jc w:val="both"/>
              <w:rPr>
                <w:rFonts w:ascii="Arial" w:hAnsi="Arial" w:eastAsia="Calibri"/>
                <w:sz w:val="22"/>
                <w:szCs w:val="22"/>
              </w:rPr>
            </w:pPr>
            <w:r>
              <w:rPr>
                <w:rFonts w:eastAsia="Calibri" w:ascii="Arial" w:hAnsi="Arial"/>
                <w:sz w:val="22"/>
                <w:szCs w:val="22"/>
              </w:rPr>
            </w:r>
          </w:p>
          <w:p>
            <w:pPr>
              <w:pStyle w:val="BodyText"/>
              <w:widowControl/>
              <w:suppressAutoHyphens w:val="true"/>
              <w:spacing w:lineRule="auto" w:line="360" w:before="57" w:after="57"/>
              <w:jc w:val="center"/>
              <w:rPr/>
            </w:pPr>
            <w:r>
              <w:rPr>
                <w:rStyle w:val="Strong"/>
                <w:rFonts w:eastAsia="Calibri" w:cs="Arial" w:ascii="Arial" w:hAnsi="Arial"/>
                <w:b/>
                <w:bCs/>
                <w:kern w:val="2"/>
                <w:sz w:val="22"/>
                <w:szCs w:val="22"/>
                <w:lang w:val="pt-BR" w:eastAsia="en-US" w:bidi="ar-SA"/>
              </w:rPr>
              <w:t>Necessidade de Estação de Transbordo Licenciada</w:t>
            </w:r>
          </w:p>
          <w:p>
            <w:pPr>
              <w:pStyle w:val="BodyText"/>
              <w:widowControl/>
              <w:suppressAutoHyphens w:val="true"/>
              <w:spacing w:lineRule="auto" w:line="360" w:before="57" w:after="57"/>
              <w:jc w:val="both"/>
              <w:rPr/>
            </w:pPr>
            <w:r>
              <w:rPr>
                <w:rStyle w:val="Strong"/>
                <w:rFonts w:eastAsia="Calibri" w:cs="Arial" w:ascii="Arial" w:hAnsi="Arial"/>
                <w:b w:val="false"/>
                <w:bCs w:val="false"/>
                <w:kern w:val="2"/>
                <w:sz w:val="22"/>
                <w:szCs w:val="22"/>
                <w:lang w:val="pt-BR" w:eastAsia="en-US" w:bidi="ar-SA"/>
              </w:rPr>
              <w:t>Considerando as tentativas frustradas de licitação e os posicionamentos já manifestados pela Justiça e pelo Tribunal de Contas do Estado, torna-se imprescindível que o SANEP ou a Prefeitura Municipal de Pelotas disponham de uma Estação de Transbordo devidamente licenciada para permitir a realização do processo licitatório. Trata-se de condição essencial para garantir isonomia entre as empresas interessadas na operação, permitindo que todas disputem em condições efetivamente iguais.</w:t>
            </w:r>
          </w:p>
          <w:p>
            <w:pPr>
              <w:pStyle w:val="BodyText"/>
              <w:spacing w:lineRule="auto" w:line="360" w:before="57" w:after="57"/>
              <w:jc w:val="both"/>
              <w:rPr/>
            </w:pPr>
            <w:r>
              <w:rPr>
                <w:rFonts w:cs="Arial" w:ascii="Arial" w:hAnsi="Arial"/>
                <w:b w:val="false"/>
                <w:bCs w:val="false"/>
              </w:rPr>
              <w:t xml:space="preserve">A atual Estação de Transbordo é, no momento, </w:t>
            </w:r>
            <w:r>
              <w:rPr>
                <w:rStyle w:val="Strong"/>
                <w:rFonts w:cs="Arial" w:ascii="Arial" w:hAnsi="Arial"/>
                <w:b w:val="false"/>
                <w:bCs w:val="false"/>
              </w:rPr>
              <w:t>a única existente no município</w:t>
            </w:r>
            <w:r>
              <w:rPr>
                <w:rFonts w:cs="Arial" w:ascii="Arial" w:hAnsi="Arial"/>
                <w:b w:val="false"/>
                <w:bCs w:val="false"/>
              </w:rPr>
              <w:t xml:space="preserve"> com licenciamento ambiental válido e construída especificamente para essa finalidade. Considerando o tempo necessário para identificação de uma nova área, elaboração de projeto, construção da infraestrutura e obtenção do respectivo licenciamento ambiental, impõe-se a adoção de medidas que viabilizem a utilização da atual estação pelo poder público, por meio de uma das seguintes alternativas:</w:t>
            </w:r>
          </w:p>
          <w:p>
            <w:pPr>
              <w:pStyle w:val="BodyText"/>
              <w:numPr>
                <w:ilvl w:val="0"/>
                <w:numId w:val="7"/>
              </w:numPr>
              <w:tabs>
                <w:tab w:val="clear" w:pos="708"/>
                <w:tab w:val="left" w:pos="0" w:leader="none"/>
              </w:tabs>
              <w:spacing w:lineRule="auto" w:line="360" w:before="57" w:after="57"/>
              <w:ind w:hanging="283" w:left="709"/>
              <w:jc w:val="both"/>
              <w:rPr/>
            </w:pPr>
            <w:r>
              <w:rPr>
                <w:rStyle w:val="Strong"/>
                <w:rFonts w:cs="Arial" w:ascii="Arial" w:hAnsi="Arial"/>
                <w:b w:val="false"/>
                <w:bCs w:val="false"/>
              </w:rPr>
              <w:t>locação direta</w:t>
            </w:r>
            <w:r>
              <w:rPr>
                <w:rFonts w:cs="Arial" w:ascii="Arial" w:hAnsi="Arial"/>
                <w:b w:val="false"/>
                <w:bCs w:val="false"/>
              </w:rPr>
              <w:t xml:space="preserve"> junto ao proprietário do imóvel;</w:t>
            </w:r>
          </w:p>
          <w:p>
            <w:pPr>
              <w:pStyle w:val="BodyText"/>
              <w:numPr>
                <w:ilvl w:val="0"/>
                <w:numId w:val="7"/>
              </w:numPr>
              <w:tabs>
                <w:tab w:val="clear" w:pos="708"/>
                <w:tab w:val="left" w:pos="0" w:leader="none"/>
              </w:tabs>
              <w:spacing w:lineRule="auto" w:line="360" w:before="57" w:after="57"/>
              <w:ind w:hanging="283" w:left="709"/>
              <w:jc w:val="both"/>
              <w:rPr/>
            </w:pPr>
            <w:r>
              <w:rPr>
                <w:rStyle w:val="Strong"/>
                <w:rFonts w:cs="Arial" w:ascii="Arial" w:hAnsi="Arial"/>
                <w:b w:val="false"/>
                <w:bCs w:val="false"/>
              </w:rPr>
              <w:t>requisição administrativa</w:t>
            </w:r>
            <w:r>
              <w:rPr>
                <w:rFonts w:cs="Arial" w:ascii="Arial" w:hAnsi="Arial"/>
                <w:b w:val="false"/>
                <w:bCs w:val="false"/>
              </w:rPr>
              <w:t>, quando devidamente justificada por interesse público relevante;</w:t>
            </w:r>
          </w:p>
          <w:p>
            <w:pPr>
              <w:pStyle w:val="BodyText"/>
              <w:numPr>
                <w:ilvl w:val="0"/>
                <w:numId w:val="7"/>
              </w:numPr>
              <w:tabs>
                <w:tab w:val="clear" w:pos="708"/>
                <w:tab w:val="left" w:pos="0" w:leader="none"/>
              </w:tabs>
              <w:spacing w:lineRule="auto" w:line="360" w:before="57" w:after="57"/>
              <w:ind w:hanging="283" w:left="709"/>
              <w:jc w:val="both"/>
              <w:rPr/>
            </w:pPr>
            <w:r>
              <w:rPr>
                <w:rStyle w:val="Strong"/>
                <w:rFonts w:cs="Arial" w:ascii="Arial" w:hAnsi="Arial"/>
                <w:b w:val="false"/>
                <w:bCs w:val="false"/>
              </w:rPr>
              <w:t>desapropriação</w:t>
            </w:r>
            <w:r>
              <w:rPr>
                <w:rFonts w:cs="Arial" w:ascii="Arial" w:hAnsi="Arial"/>
                <w:b w:val="false"/>
                <w:bCs w:val="false"/>
              </w:rPr>
              <w:t>, caso reste comprovada a necessidade pública e a inviabilidade de outra solução.</w:t>
            </w:r>
          </w:p>
          <w:p>
            <w:pPr>
              <w:pStyle w:val="BodyText"/>
              <w:widowControl/>
              <w:suppressAutoHyphens w:val="true"/>
              <w:spacing w:lineRule="auto" w:line="360" w:before="57" w:after="57"/>
              <w:jc w:val="both"/>
              <w:rPr>
                <w:rFonts w:ascii="Arial" w:hAnsi="Arial" w:eastAsia="Calibri"/>
                <w:b w:val="false"/>
                <w:bCs w:val="false"/>
              </w:rPr>
            </w:pPr>
            <w:r>
              <w:rPr>
                <w:rFonts w:eastAsia="Calibri" w:ascii="Arial" w:hAnsi="Arial"/>
                <w:b w:val="false"/>
                <w:bCs w:val="false"/>
              </w:rPr>
            </w:r>
          </w:p>
          <w:p>
            <w:pPr>
              <w:pStyle w:val="Heading3"/>
              <w:spacing w:lineRule="auto" w:line="360" w:before="57" w:after="57"/>
              <w:jc w:val="center"/>
              <w:rPr/>
            </w:pPr>
            <w:r>
              <w:rPr>
                <w:rStyle w:val="Strong"/>
                <w:rFonts w:eastAsia="Calibri" w:cs="Arial" w:ascii="Arial" w:hAnsi="Arial"/>
                <w:b/>
                <w:bCs/>
                <w:sz w:val="22"/>
                <w:szCs w:val="22"/>
              </w:rPr>
              <w:t>Tentativa de locação direta</w:t>
            </w:r>
          </w:p>
          <w:p>
            <w:pPr>
              <w:pStyle w:val="BodyText"/>
              <w:spacing w:lineRule="auto" w:line="360" w:before="57" w:after="57"/>
              <w:jc w:val="both"/>
              <w:rPr/>
            </w:pPr>
            <w:r>
              <w:rPr>
                <w:rFonts w:cs="Arial" w:ascii="Arial" w:hAnsi="Arial"/>
              </w:rPr>
              <w:t>Em 11/06/2025, o Sanep enviou o Ofício nº 521/2025 ao Sr. Jaime Arthur da Silveira consultando sobre a locação da ETP.</w:t>
              <w:br/>
              <w:t>A resposta, em 23/07/2025, foi evasiva, não descartando a locação, mas mencionando:</w:t>
            </w:r>
          </w:p>
          <w:p>
            <w:pPr>
              <w:pStyle w:val="BodyText"/>
              <w:numPr>
                <w:ilvl w:val="0"/>
                <w:numId w:val="4"/>
              </w:numPr>
              <w:tabs>
                <w:tab w:val="clear" w:pos="708"/>
                <w:tab w:val="left" w:pos="0" w:leader="none"/>
              </w:tabs>
              <w:spacing w:lineRule="auto" w:line="360" w:before="57" w:after="57"/>
              <w:jc w:val="both"/>
              <w:rPr/>
            </w:pPr>
            <w:r>
              <w:rPr>
                <w:rFonts w:cs="Arial" w:ascii="Arial" w:hAnsi="Arial"/>
              </w:rPr>
              <w:t>contrato vigente com a empresa Meio Oeste até 2026;</w:t>
            </w:r>
          </w:p>
          <w:p>
            <w:pPr>
              <w:pStyle w:val="BodyText"/>
              <w:numPr>
                <w:ilvl w:val="0"/>
                <w:numId w:val="4"/>
              </w:numPr>
              <w:tabs>
                <w:tab w:val="clear" w:pos="708"/>
                <w:tab w:val="left" w:pos="0" w:leader="none"/>
              </w:tabs>
              <w:spacing w:lineRule="auto" w:line="360" w:before="57" w:after="57"/>
              <w:jc w:val="both"/>
              <w:rPr/>
            </w:pPr>
            <w:r>
              <w:rPr>
                <w:rFonts w:cs="Arial" w:ascii="Arial" w:hAnsi="Arial"/>
              </w:rPr>
              <w:t>planos de ampliação do negócio;</w:t>
            </w:r>
          </w:p>
          <w:p>
            <w:pPr>
              <w:pStyle w:val="BodyText"/>
              <w:numPr>
                <w:ilvl w:val="0"/>
                <w:numId w:val="4"/>
              </w:numPr>
              <w:tabs>
                <w:tab w:val="clear" w:pos="708"/>
                <w:tab w:val="left" w:pos="0" w:leader="none"/>
              </w:tabs>
              <w:spacing w:lineRule="auto" w:line="360" w:before="57" w:after="57"/>
              <w:jc w:val="both"/>
              <w:rPr/>
            </w:pPr>
            <w:r>
              <w:rPr>
                <w:rFonts w:cs="Arial" w:ascii="Arial" w:hAnsi="Arial"/>
              </w:rPr>
              <w:t>necessidade de avaliação patrimonial.</w:t>
            </w:r>
          </w:p>
          <w:p>
            <w:pPr>
              <w:pStyle w:val="BodyText"/>
              <w:spacing w:lineRule="auto" w:line="360" w:before="57" w:after="57"/>
              <w:jc w:val="both"/>
              <w:rPr/>
            </w:pPr>
            <w:r>
              <w:rPr>
                <w:rFonts w:cs="Arial" w:ascii="Arial" w:hAnsi="Arial"/>
              </w:rPr>
              <w:t>Até o momento, não houve retorno conclusivo.</w:t>
            </w:r>
          </w:p>
          <w:p>
            <w:pPr>
              <w:pStyle w:val="Heading3"/>
              <w:spacing w:lineRule="auto" w:line="360" w:before="57" w:after="57"/>
              <w:jc w:val="both"/>
              <w:rPr>
                <w:rFonts w:ascii="Arial" w:hAnsi="Arial" w:eastAsia="Calibri" w:cs="Arial"/>
                <w:b w:val="false"/>
                <w:bCs w:val="false"/>
                <w:sz w:val="22"/>
                <w:szCs w:val="22"/>
              </w:rPr>
            </w:pPr>
            <w:r>
              <w:rPr>
                <w:rFonts w:eastAsia="Calibri" w:cs="Arial" w:ascii="Arial" w:hAnsi="Arial"/>
                <w:b w:val="false"/>
                <w:bCs w:val="false"/>
                <w:sz w:val="22"/>
                <w:szCs w:val="22"/>
              </w:rPr>
            </w:r>
          </w:p>
          <w:p>
            <w:pPr>
              <w:pStyle w:val="Heading3"/>
              <w:spacing w:lineRule="auto" w:line="360" w:before="57" w:after="57"/>
              <w:jc w:val="center"/>
              <w:rPr/>
            </w:pPr>
            <w:r>
              <w:rPr>
                <w:rStyle w:val="Strong"/>
                <w:rFonts w:eastAsia="Calibri" w:cs="Arial" w:ascii="Arial" w:hAnsi="Arial"/>
                <w:b/>
                <w:bCs/>
                <w:sz w:val="22"/>
                <w:szCs w:val="22"/>
              </w:rPr>
              <w:t>Verificação da propriedade do imóvel</w:t>
            </w:r>
          </w:p>
          <w:p>
            <w:pPr>
              <w:pStyle w:val="BodyText"/>
              <w:spacing w:lineRule="auto" w:line="360" w:before="57" w:after="57"/>
              <w:jc w:val="both"/>
              <w:rPr/>
            </w:pPr>
            <w:r>
              <w:rPr>
                <w:rFonts w:cs="Arial" w:ascii="Arial" w:hAnsi="Arial"/>
              </w:rPr>
              <w:t>E</w:t>
            </w:r>
            <w:r>
              <w:rPr>
                <w:rFonts w:cs="Arial" w:ascii="Arial" w:hAnsi="Arial"/>
                <w:b w:val="false"/>
                <w:bCs w:val="false"/>
              </w:rPr>
              <w:t xml:space="preserve">m análise posterior, constatou-se que o imóvel (matrícula 29.426 – 1ª Zona) </w:t>
            </w:r>
            <w:r>
              <w:rPr>
                <w:rStyle w:val="Strong"/>
                <w:rFonts w:cs="Arial" w:ascii="Arial" w:hAnsi="Arial"/>
                <w:b w:val="false"/>
                <w:bCs w:val="false"/>
              </w:rPr>
              <w:t>não pertence ao Sr. Silveira</w:t>
            </w:r>
            <w:r>
              <w:rPr>
                <w:rFonts w:cs="Arial" w:ascii="Arial" w:hAnsi="Arial"/>
                <w:b w:val="false"/>
                <w:bCs w:val="false"/>
              </w:rPr>
              <w:t xml:space="preserve">, mas à empresa </w:t>
            </w:r>
            <w:r>
              <w:rPr>
                <w:rStyle w:val="Strong"/>
                <w:rFonts w:cs="Arial" w:ascii="Arial" w:hAnsi="Arial"/>
                <w:b w:val="false"/>
                <w:bCs w:val="false"/>
              </w:rPr>
              <w:t>Otero Gonçalves e Cia Ltda.</w:t>
            </w:r>
            <w:r>
              <w:rPr>
                <w:rFonts w:cs="Arial" w:ascii="Arial" w:hAnsi="Arial"/>
                <w:b w:val="false"/>
                <w:bCs w:val="false"/>
              </w:rPr>
              <w:t xml:space="preserve">, atualmente </w:t>
            </w:r>
            <w:r>
              <w:rPr>
                <w:rStyle w:val="Strong"/>
                <w:rFonts w:cs="Arial" w:ascii="Arial" w:hAnsi="Arial"/>
                <w:b w:val="false"/>
                <w:bCs w:val="false"/>
              </w:rPr>
              <w:t>penhorada</w:t>
            </w:r>
            <w:r>
              <w:rPr>
                <w:rFonts w:cs="Arial" w:ascii="Arial" w:hAnsi="Arial"/>
                <w:b w:val="false"/>
                <w:bCs w:val="false"/>
              </w:rPr>
              <w:t xml:space="preserve"> por débitos tributários com o Município.</w:t>
            </w:r>
          </w:p>
          <w:p>
            <w:pPr>
              <w:pStyle w:val="BodyText"/>
              <w:spacing w:lineRule="auto" w:line="360" w:before="57" w:after="57"/>
              <w:jc w:val="both"/>
              <w:rPr/>
            </w:pPr>
            <w:r>
              <w:rPr>
                <w:rFonts w:cs="Arial" w:ascii="Arial" w:hAnsi="Arial"/>
                <w:b w:val="false"/>
                <w:bCs w:val="false"/>
              </w:rPr>
              <w:t xml:space="preserve">A Prefeitura ingressou judicialmente solicitando ser </w:t>
            </w:r>
            <w:r>
              <w:rPr>
                <w:rStyle w:val="Strong"/>
                <w:rFonts w:cs="Arial" w:ascii="Arial" w:hAnsi="Arial"/>
                <w:b w:val="false"/>
                <w:bCs w:val="false"/>
              </w:rPr>
              <w:t>fiel depositária</w:t>
            </w:r>
            <w:r>
              <w:rPr>
                <w:rFonts w:cs="Arial" w:ascii="Arial" w:hAnsi="Arial"/>
                <w:b w:val="false"/>
                <w:bCs w:val="false"/>
              </w:rPr>
              <w:t xml:space="preserve"> do imóvel, aguardando decisão.</w:t>
            </w:r>
          </w:p>
          <w:p>
            <w:pPr>
              <w:pStyle w:val="BodyText"/>
              <w:spacing w:lineRule="auto" w:line="360" w:before="57" w:after="57"/>
              <w:jc w:val="both"/>
              <w:rPr/>
            </w:pPr>
            <w:r>
              <w:rPr>
                <w:rFonts w:cs="Arial" w:ascii="Arial" w:hAnsi="Arial"/>
                <w:b w:val="false"/>
                <w:bCs w:val="false"/>
              </w:rPr>
              <w:t>O Sanep solicitou avaliação à Comissão Municipal de Avaliação de Bens Imobiliários, que estimou:</w:t>
            </w:r>
          </w:p>
          <w:p>
            <w:pPr>
              <w:pStyle w:val="BodyText"/>
              <w:numPr>
                <w:ilvl w:val="0"/>
                <w:numId w:val="5"/>
              </w:numPr>
              <w:tabs>
                <w:tab w:val="clear" w:pos="708"/>
                <w:tab w:val="left" w:pos="0" w:leader="none"/>
              </w:tabs>
              <w:spacing w:lineRule="auto" w:line="360" w:before="57" w:after="57"/>
              <w:ind w:hanging="283" w:left="709"/>
              <w:jc w:val="both"/>
              <w:rPr/>
            </w:pPr>
            <w:r>
              <w:rPr>
                <w:rFonts w:cs="Arial" w:ascii="Arial" w:hAnsi="Arial"/>
                <w:b w:val="false"/>
                <w:bCs w:val="false"/>
              </w:rPr>
              <w:t xml:space="preserve">área de 2 hectares: </w:t>
            </w:r>
            <w:r>
              <w:rPr>
                <w:rStyle w:val="Strong"/>
                <w:rFonts w:cs="Arial" w:ascii="Arial" w:hAnsi="Arial"/>
                <w:b w:val="false"/>
                <w:bCs w:val="false"/>
              </w:rPr>
              <w:t>R$ 3.000.000,00</w:t>
            </w:r>
            <w:r>
              <w:rPr>
                <w:rFonts w:cs="Arial" w:ascii="Arial" w:hAnsi="Arial"/>
                <w:b w:val="false"/>
                <w:bCs w:val="false"/>
              </w:rPr>
              <w:t>;</w:t>
            </w:r>
          </w:p>
          <w:p>
            <w:pPr>
              <w:pStyle w:val="BodyText"/>
              <w:numPr>
                <w:ilvl w:val="0"/>
                <w:numId w:val="5"/>
              </w:numPr>
              <w:tabs>
                <w:tab w:val="clear" w:pos="708"/>
                <w:tab w:val="left" w:pos="0" w:leader="none"/>
              </w:tabs>
              <w:spacing w:lineRule="auto" w:line="360" w:before="57" w:after="57"/>
              <w:ind w:hanging="283" w:left="709"/>
              <w:jc w:val="both"/>
              <w:rPr/>
            </w:pPr>
            <w:r>
              <w:rPr>
                <w:rFonts w:cs="Arial" w:ascii="Arial" w:hAnsi="Arial"/>
                <w:b w:val="false"/>
                <w:bCs w:val="false"/>
              </w:rPr>
              <w:t xml:space="preserve">instalações: </w:t>
            </w:r>
            <w:r>
              <w:rPr>
                <w:rStyle w:val="Strong"/>
                <w:rFonts w:cs="Arial" w:ascii="Arial" w:hAnsi="Arial"/>
                <w:b w:val="false"/>
                <w:bCs w:val="false"/>
              </w:rPr>
              <w:t>R$ 1.400.000,00</w:t>
            </w:r>
            <w:r>
              <w:rPr>
                <w:rFonts w:cs="Arial" w:ascii="Arial" w:hAnsi="Arial"/>
                <w:b w:val="false"/>
                <w:bCs w:val="false"/>
              </w:rPr>
              <w:t>.</w:t>
            </w:r>
          </w:p>
          <w:p>
            <w:pPr>
              <w:pStyle w:val="Heading1"/>
              <w:widowControl/>
              <w:suppressAutoHyphens w:val="true"/>
              <w:spacing w:lineRule="auto" w:line="360" w:before="57" w:after="57"/>
              <w:jc w:val="both"/>
              <w:rPr>
                <w:rFonts w:ascii="Arial" w:hAnsi="Arial" w:eastAsia="Calibri" w:cs="Arial"/>
                <w:b/>
                <w:bCs/>
                <w:color w:val="FE007F"/>
                <w:kern w:val="2"/>
                <w:sz w:val="22"/>
                <w:szCs w:val="22"/>
                <w:lang w:val="pt-BR" w:eastAsia="en-US" w:bidi="ar-SA"/>
              </w:rPr>
            </w:pPr>
            <w:r>
              <w:rPr>
                <w:rFonts w:eastAsia="Calibri" w:cs="Arial" w:ascii="Arial" w:hAnsi="Arial"/>
                <w:b/>
                <w:bCs/>
                <w:color w:val="FE007F"/>
                <w:kern w:val="2"/>
                <w:sz w:val="22"/>
                <w:szCs w:val="22"/>
                <w:lang w:val="pt-BR" w:eastAsia="en-US" w:bidi="ar-SA"/>
              </w:rPr>
            </w:r>
          </w:p>
          <w:p>
            <w:pPr>
              <w:pStyle w:val="Heading2"/>
              <w:widowControl/>
              <w:tabs>
                <w:tab w:val="clear" w:pos="708"/>
                <w:tab w:val="left" w:pos="0" w:leader="none"/>
              </w:tabs>
              <w:suppressAutoHyphens w:val="true"/>
              <w:bidi w:val="0"/>
              <w:spacing w:lineRule="auto" w:line="360" w:before="57" w:after="57"/>
              <w:ind w:hanging="0" w:left="-113" w:right="113"/>
              <w:jc w:val="center"/>
              <w:rPr/>
            </w:pPr>
            <w:r>
              <w:rPr>
                <w:rStyle w:val="Strong"/>
                <w:rFonts w:eastAsia="Calibri" w:cs="Arial" w:ascii="Arial" w:hAnsi="Arial" w:eastAsiaTheme="minorHAnsi"/>
                <w:b/>
                <w:bCs/>
                <w:color w:val="auto"/>
                <w:kern w:val="2"/>
                <w:sz w:val="22"/>
                <w:szCs w:val="22"/>
                <w:lang w:val="pt-BR" w:eastAsia="en-US" w:bidi="ar-SA"/>
                <w14:ligatures w14:val="standardContextual"/>
              </w:rPr>
              <w:t>Operação Integrada: Transbordo, Transporte e Disposição Final</w:t>
            </w:r>
          </w:p>
          <w:p>
            <w:pPr>
              <w:pStyle w:val="BodyText"/>
              <w:tabs>
                <w:tab w:val="clear" w:pos="708"/>
                <w:tab w:val="left" w:pos="0" w:leader="none"/>
              </w:tabs>
              <w:spacing w:lineRule="auto" w:line="360" w:before="57" w:after="57"/>
              <w:jc w:val="both"/>
              <w:rPr/>
            </w:pPr>
            <w:r>
              <w:rPr>
                <w:rFonts w:cs="Arial" w:ascii="Arial" w:hAnsi="Arial"/>
              </w:rPr>
              <w:t>A operação integrada envolven</w:t>
            </w:r>
            <w:r>
              <w:rPr>
                <w:rFonts w:cs="Arial" w:ascii="Arial" w:hAnsi="Arial"/>
                <w:b w:val="false"/>
                <w:bCs w:val="false"/>
              </w:rPr>
              <w:t xml:space="preserve">do </w:t>
            </w:r>
            <w:r>
              <w:rPr>
                <w:rStyle w:val="Strong"/>
                <w:rFonts w:cs="Arial" w:ascii="Arial" w:hAnsi="Arial"/>
                <w:b w:val="false"/>
                <w:bCs w:val="false"/>
              </w:rPr>
              <w:t>Estação de Transbordo, Transporte e Disposição Final</w:t>
            </w:r>
            <w:r>
              <w:rPr>
                <w:rFonts w:cs="Arial" w:ascii="Arial" w:hAnsi="Arial"/>
                <w:b w:val="false"/>
                <w:bCs w:val="false"/>
              </w:rPr>
              <w:t xml:space="preserve"> configura solução essencial para o manejo adequado dos resíduos sólidos, especialmente quando a destinação final ocorre em localidade distante do município gerador. A existência de Estação de Transbordo:</w:t>
            </w:r>
          </w:p>
          <w:p>
            <w:pPr>
              <w:pStyle w:val="BodyText"/>
              <w:numPr>
                <w:ilvl w:val="0"/>
                <w:numId w:val="8"/>
              </w:numPr>
              <w:tabs>
                <w:tab w:val="clear" w:pos="708"/>
                <w:tab w:val="left" w:pos="0" w:leader="none"/>
              </w:tabs>
              <w:spacing w:lineRule="auto" w:line="360" w:before="57" w:after="57"/>
              <w:ind w:hanging="283" w:left="709"/>
              <w:jc w:val="both"/>
              <w:rPr/>
            </w:pPr>
            <w:r>
              <w:rPr>
                <w:rFonts w:cs="Arial" w:ascii="Arial" w:hAnsi="Arial"/>
                <w:b w:val="false"/>
                <w:bCs w:val="false"/>
              </w:rPr>
              <w:t>otimiza a logística de tran</w:t>
            </w:r>
            <w:r>
              <w:rPr>
                <w:rFonts w:cs="Arial" w:ascii="Arial" w:hAnsi="Arial"/>
              </w:rPr>
              <w:t>sporte;</w:t>
            </w:r>
          </w:p>
          <w:p>
            <w:pPr>
              <w:pStyle w:val="BodyText"/>
              <w:numPr>
                <w:ilvl w:val="0"/>
                <w:numId w:val="8"/>
              </w:numPr>
              <w:tabs>
                <w:tab w:val="clear" w:pos="708"/>
                <w:tab w:val="left" w:pos="0" w:leader="none"/>
              </w:tabs>
              <w:spacing w:lineRule="auto" w:line="360" w:before="57" w:after="57"/>
              <w:ind w:hanging="283" w:left="709"/>
              <w:jc w:val="both"/>
              <w:rPr/>
            </w:pPr>
            <w:r>
              <w:rPr>
                <w:rFonts w:cs="Arial" w:ascii="Arial" w:hAnsi="Arial"/>
              </w:rPr>
              <w:t>aumenta a eficiência no carregamento de grandes volumes de resíduos;</w:t>
            </w:r>
          </w:p>
          <w:p>
            <w:pPr>
              <w:pStyle w:val="BodyText"/>
              <w:numPr>
                <w:ilvl w:val="0"/>
                <w:numId w:val="8"/>
              </w:numPr>
              <w:tabs>
                <w:tab w:val="clear" w:pos="708"/>
                <w:tab w:val="left" w:pos="0" w:leader="none"/>
              </w:tabs>
              <w:spacing w:lineRule="auto" w:line="360" w:before="57" w:after="57"/>
              <w:ind w:hanging="283" w:left="709"/>
              <w:jc w:val="both"/>
              <w:rPr/>
            </w:pPr>
            <w:r>
              <w:rPr>
                <w:rFonts w:cs="Arial" w:ascii="Arial" w:hAnsi="Arial"/>
              </w:rPr>
              <w:t>reduz custos operacionais;</w:t>
            </w:r>
          </w:p>
          <w:p>
            <w:pPr>
              <w:pStyle w:val="BodyText"/>
              <w:numPr>
                <w:ilvl w:val="0"/>
                <w:numId w:val="8"/>
              </w:numPr>
              <w:tabs>
                <w:tab w:val="clear" w:pos="708"/>
                <w:tab w:val="left" w:pos="0" w:leader="none"/>
              </w:tabs>
              <w:spacing w:lineRule="auto" w:line="360" w:before="57" w:after="57"/>
              <w:ind w:hanging="283" w:left="709"/>
              <w:jc w:val="both"/>
              <w:rPr/>
            </w:pPr>
            <w:r>
              <w:rPr>
                <w:rFonts w:cs="Arial" w:ascii="Arial" w:hAnsi="Arial"/>
              </w:rPr>
              <w:t>diminui o trânsito de veículos pesados na malha urbana;</w:t>
            </w:r>
          </w:p>
          <w:p>
            <w:pPr>
              <w:pStyle w:val="BodyText"/>
              <w:numPr>
                <w:ilvl w:val="0"/>
                <w:numId w:val="8"/>
              </w:numPr>
              <w:tabs>
                <w:tab w:val="clear" w:pos="708"/>
                <w:tab w:val="left" w:pos="0" w:leader="none"/>
              </w:tabs>
              <w:spacing w:lineRule="auto" w:line="360" w:before="57" w:after="57"/>
              <w:ind w:hanging="283" w:left="709"/>
              <w:jc w:val="both"/>
              <w:rPr/>
            </w:pPr>
            <w:r>
              <w:rPr>
                <w:rFonts w:cs="Arial" w:ascii="Arial" w:hAnsi="Arial"/>
              </w:rPr>
              <w:t>contribui para a redução de emissões atmosféricas.</w:t>
            </w:r>
          </w:p>
          <w:p>
            <w:pPr>
              <w:pStyle w:val="BodyText"/>
              <w:tabs>
                <w:tab w:val="clear" w:pos="708"/>
                <w:tab w:val="left" w:pos="0" w:leader="none"/>
              </w:tabs>
              <w:spacing w:lineRule="auto" w:line="360" w:before="57" w:after="57"/>
              <w:jc w:val="both"/>
              <w:rPr/>
            </w:pPr>
            <w:r>
              <w:rPr>
                <w:rFonts w:cs="Arial" w:ascii="Arial" w:hAnsi="Arial"/>
              </w:rPr>
              <w:t>Trata-se, portanto, de infraestrutura estratégica para a sustentabilidade ambiental e para a gestão adequada dos resíduos sólidos urbanos.</w:t>
            </w:r>
          </w:p>
          <w:p>
            <w:pPr>
              <w:pStyle w:val="BodyText"/>
              <w:tabs>
                <w:tab w:val="clear" w:pos="708"/>
                <w:tab w:val="left" w:pos="0" w:leader="none"/>
              </w:tabs>
              <w:spacing w:lineRule="auto" w:line="360" w:before="57" w:after="57"/>
              <w:jc w:val="both"/>
              <w:rPr>
                <w:rFonts w:ascii="Arial" w:hAnsi="Arial" w:cs="Arial"/>
              </w:rPr>
            </w:pPr>
            <w:r>
              <w:rPr>
                <w:rFonts w:cs="Arial" w:ascii="Arial" w:hAnsi="Arial"/>
              </w:rPr>
            </w:r>
          </w:p>
          <w:p>
            <w:pPr>
              <w:pStyle w:val="Heading2"/>
              <w:tabs>
                <w:tab w:val="clear" w:pos="708"/>
                <w:tab w:val="left" w:pos="0" w:leader="none"/>
              </w:tabs>
              <w:spacing w:lineRule="auto" w:line="360" w:before="57" w:after="57"/>
              <w:jc w:val="center"/>
              <w:rPr/>
            </w:pPr>
            <w:r>
              <w:rPr>
                <w:rStyle w:val="Strong"/>
                <w:rFonts w:eastAsia="Calibri" w:cs="Arial" w:ascii="Arial" w:hAnsi="Arial"/>
                <w:b/>
                <w:bCs/>
                <w:sz w:val="22"/>
                <w:szCs w:val="22"/>
              </w:rPr>
              <w:t>Estratégias de Minimização de Custos Operacionais</w:t>
            </w:r>
          </w:p>
          <w:p>
            <w:pPr>
              <w:pStyle w:val="BodyText"/>
              <w:tabs>
                <w:tab w:val="clear" w:pos="708"/>
                <w:tab w:val="left" w:pos="0" w:leader="none"/>
              </w:tabs>
              <w:spacing w:lineRule="auto" w:line="360" w:before="57" w:after="57"/>
              <w:jc w:val="both"/>
              <w:rPr/>
            </w:pPr>
            <w:r>
              <w:rPr>
                <w:rFonts w:cs="Arial" w:ascii="Arial" w:hAnsi="Arial"/>
              </w:rPr>
              <w:t>Reduzir a quantidade de resíduos destinados à Estação de Transbordo e, posteriormente, aos aterros sanitários é premissa central do SANEP. Nesse sentido, o município tem buscado superar indicadores nacionais e se consolidar como referência na gestão de resíduos.</w:t>
            </w:r>
          </w:p>
          <w:p>
            <w:pPr>
              <w:pStyle w:val="BodyText"/>
              <w:tabs>
                <w:tab w:val="clear" w:pos="708"/>
                <w:tab w:val="left" w:pos="0" w:leader="none"/>
              </w:tabs>
              <w:spacing w:lineRule="auto" w:line="360" w:before="57" w:after="57"/>
              <w:jc w:val="both"/>
              <w:rPr/>
            </w:pPr>
            <w:r>
              <w:rPr>
                <w:rFonts w:cs="Arial" w:ascii="Arial" w:hAnsi="Arial"/>
              </w:rPr>
              <w:t>Os resu</w:t>
            </w:r>
            <w:r>
              <w:rPr>
                <w:rFonts w:cs="Arial" w:ascii="Arial" w:hAnsi="Arial"/>
                <w:b w:val="false"/>
                <w:bCs w:val="false"/>
              </w:rPr>
              <w:t>ltados obtidos são expressivos:</w:t>
            </w:r>
          </w:p>
          <w:p>
            <w:pPr>
              <w:pStyle w:val="BodyText"/>
              <w:numPr>
                <w:ilvl w:val="0"/>
                <w:numId w:val="9"/>
              </w:numPr>
              <w:tabs>
                <w:tab w:val="clear" w:pos="708"/>
                <w:tab w:val="left" w:pos="0" w:leader="none"/>
              </w:tabs>
              <w:spacing w:lineRule="auto" w:line="360" w:before="57" w:after="57"/>
              <w:ind w:hanging="283" w:left="709"/>
              <w:jc w:val="both"/>
              <w:rPr/>
            </w:pPr>
            <w:r>
              <w:rPr>
                <w:rFonts w:cs="Arial" w:ascii="Arial" w:hAnsi="Arial"/>
                <w:b w:val="false"/>
                <w:bCs w:val="false"/>
              </w:rPr>
              <w:t xml:space="preserve">Pelotas está entre as </w:t>
            </w:r>
            <w:r>
              <w:rPr>
                <w:rStyle w:val="Strong"/>
                <w:rFonts w:cs="Arial" w:ascii="Arial" w:hAnsi="Arial"/>
                <w:b w:val="false"/>
                <w:bCs w:val="false"/>
              </w:rPr>
              <w:t>20 cidades brasileiras</w:t>
            </w:r>
            <w:r>
              <w:rPr>
                <w:rFonts w:cs="Arial" w:ascii="Arial" w:hAnsi="Arial"/>
                <w:b w:val="false"/>
                <w:bCs w:val="false"/>
              </w:rPr>
              <w:t xml:space="preserve"> com coleta seletiva porta a porta em </w:t>
            </w:r>
            <w:r>
              <w:rPr>
                <w:rStyle w:val="Strong"/>
                <w:rFonts w:cs="Arial" w:ascii="Arial" w:hAnsi="Arial"/>
                <w:b w:val="false"/>
                <w:bCs w:val="false"/>
              </w:rPr>
              <w:t>100% da área urbana</w:t>
            </w:r>
            <w:r>
              <w:rPr>
                <w:rFonts w:cs="Arial" w:ascii="Arial" w:hAnsi="Arial"/>
                <w:b w:val="false"/>
                <w:bCs w:val="false"/>
              </w:rPr>
              <w:t>.</w:t>
            </w:r>
          </w:p>
          <w:p>
            <w:pPr>
              <w:pStyle w:val="BodyText"/>
              <w:numPr>
                <w:ilvl w:val="0"/>
                <w:numId w:val="9"/>
              </w:numPr>
              <w:tabs>
                <w:tab w:val="clear" w:pos="708"/>
                <w:tab w:val="left" w:pos="0" w:leader="none"/>
              </w:tabs>
              <w:spacing w:lineRule="auto" w:line="360" w:before="57" w:after="57"/>
              <w:ind w:hanging="283" w:left="709"/>
              <w:jc w:val="both"/>
              <w:rPr/>
            </w:pPr>
            <w:r>
              <w:rPr>
                <w:rFonts w:cs="Arial" w:ascii="Arial" w:hAnsi="Arial"/>
                <w:b w:val="false"/>
                <w:bCs w:val="false"/>
              </w:rPr>
              <w:t xml:space="preserve">Índice de reciclagem das cooperativas locais entre </w:t>
            </w:r>
            <w:r>
              <w:rPr>
                <w:rStyle w:val="Strong"/>
                <w:rFonts w:cs="Arial" w:ascii="Arial" w:hAnsi="Arial"/>
                <w:b w:val="false"/>
                <w:bCs w:val="false"/>
              </w:rPr>
              <w:t>5% e 7%</w:t>
            </w:r>
            <w:r>
              <w:rPr>
                <w:rFonts w:cs="Arial" w:ascii="Arial" w:hAnsi="Arial"/>
                <w:b w:val="false"/>
                <w:bCs w:val="false"/>
              </w:rPr>
              <w:t>, muito acima da média nacional (</w:t>
            </w:r>
            <w:r>
              <w:rPr>
                <w:rStyle w:val="Strong"/>
                <w:rFonts w:cs="Arial" w:ascii="Arial" w:hAnsi="Arial"/>
                <w:b w:val="false"/>
                <w:bCs w:val="false"/>
              </w:rPr>
              <w:t>2%</w:t>
            </w:r>
            <w:r>
              <w:rPr>
                <w:rFonts w:cs="Arial" w:ascii="Arial" w:hAnsi="Arial"/>
                <w:b w:val="false"/>
                <w:bCs w:val="false"/>
              </w:rPr>
              <w:t>), e até superior a Brasília (</w:t>
            </w:r>
            <w:r>
              <w:rPr>
                <w:rStyle w:val="Strong"/>
                <w:rFonts w:cs="Arial" w:ascii="Arial" w:hAnsi="Arial"/>
                <w:b w:val="false"/>
                <w:bCs w:val="false"/>
              </w:rPr>
              <w:t>0,5%</w:t>
            </w:r>
            <w:r>
              <w:rPr>
                <w:rFonts w:cs="Arial" w:ascii="Arial" w:hAnsi="Arial"/>
                <w:b w:val="false"/>
                <w:bCs w:val="false"/>
              </w:rPr>
              <w:t>).</w:t>
            </w:r>
          </w:p>
          <w:p>
            <w:pPr>
              <w:pStyle w:val="BodyText"/>
              <w:numPr>
                <w:ilvl w:val="0"/>
                <w:numId w:val="9"/>
              </w:numPr>
              <w:tabs>
                <w:tab w:val="clear" w:pos="708"/>
                <w:tab w:val="left" w:pos="0" w:leader="none"/>
              </w:tabs>
              <w:spacing w:lineRule="auto" w:line="360" w:before="57" w:after="57"/>
              <w:ind w:hanging="283" w:left="709"/>
              <w:jc w:val="both"/>
              <w:rPr/>
            </w:pPr>
            <w:r>
              <w:rPr>
                <w:rFonts w:cs="Arial" w:ascii="Arial" w:hAnsi="Arial"/>
                <w:b w:val="false"/>
                <w:bCs w:val="false"/>
              </w:rPr>
              <w:t xml:space="preserve">Município conta com </w:t>
            </w:r>
            <w:r>
              <w:rPr>
                <w:rStyle w:val="Strong"/>
                <w:rFonts w:cs="Arial" w:ascii="Arial" w:hAnsi="Arial"/>
                <w:b w:val="false"/>
                <w:bCs w:val="false"/>
              </w:rPr>
              <w:t>5 Ecopontos</w:t>
            </w:r>
            <w:r>
              <w:rPr>
                <w:rFonts w:cs="Arial" w:ascii="Arial" w:hAnsi="Arial"/>
                <w:b w:val="false"/>
                <w:bCs w:val="false"/>
              </w:rPr>
              <w:t xml:space="preserve"> em funcionamento, com previsão de mais dois até início de 2026.</w:t>
            </w:r>
          </w:p>
          <w:p>
            <w:pPr>
              <w:pStyle w:val="BodyText"/>
              <w:numPr>
                <w:ilvl w:val="0"/>
                <w:numId w:val="9"/>
              </w:numPr>
              <w:tabs>
                <w:tab w:val="clear" w:pos="708"/>
                <w:tab w:val="left" w:pos="0" w:leader="none"/>
              </w:tabs>
              <w:spacing w:lineRule="auto" w:line="360" w:before="57" w:after="57"/>
              <w:ind w:hanging="283" w:left="709"/>
              <w:jc w:val="both"/>
              <w:rPr/>
            </w:pPr>
            <w:r>
              <w:rPr>
                <w:rFonts w:cs="Arial" w:ascii="Arial" w:hAnsi="Arial"/>
                <w:b w:val="false"/>
                <w:bCs w:val="false"/>
              </w:rPr>
              <w:t xml:space="preserve">Possui </w:t>
            </w:r>
            <w:r>
              <w:rPr>
                <w:rStyle w:val="Strong"/>
                <w:rFonts w:cs="Arial" w:ascii="Arial" w:hAnsi="Arial"/>
                <w:b w:val="false"/>
                <w:bCs w:val="false"/>
              </w:rPr>
              <w:t>nove cooperativas</w:t>
            </w:r>
            <w:r>
              <w:rPr>
                <w:rFonts w:cs="Arial" w:ascii="Arial" w:hAnsi="Arial"/>
                <w:b w:val="false"/>
                <w:bCs w:val="false"/>
              </w:rPr>
              <w:t xml:space="preserve"> de reciclagem conveniadas e financiadas pelo poder público.</w:t>
            </w:r>
          </w:p>
          <w:p>
            <w:pPr>
              <w:pStyle w:val="BodyText"/>
              <w:numPr>
                <w:ilvl w:val="0"/>
                <w:numId w:val="9"/>
              </w:numPr>
              <w:tabs>
                <w:tab w:val="clear" w:pos="708"/>
                <w:tab w:val="left" w:pos="0" w:leader="none"/>
              </w:tabs>
              <w:spacing w:lineRule="auto" w:line="360" w:before="57" w:after="57"/>
              <w:ind w:hanging="283" w:left="709"/>
              <w:jc w:val="both"/>
              <w:rPr/>
            </w:pPr>
            <w:r>
              <w:rPr>
                <w:rFonts w:cs="Arial" w:ascii="Arial" w:hAnsi="Arial"/>
                <w:b w:val="false"/>
                <w:bCs w:val="false"/>
              </w:rPr>
              <w:t xml:space="preserve">Implantou a </w:t>
            </w:r>
            <w:r>
              <w:rPr>
                <w:rStyle w:val="Strong"/>
                <w:rFonts w:cs="Arial" w:ascii="Arial" w:hAnsi="Arial"/>
                <w:b w:val="false"/>
                <w:bCs w:val="false"/>
              </w:rPr>
              <w:t>primeira usina brasileira de reciclagem de óleo de cozinha saturado</w:t>
            </w:r>
            <w:r>
              <w:rPr>
                <w:rFonts w:cs="Arial" w:ascii="Arial" w:hAnsi="Arial"/>
                <w:b w:val="false"/>
                <w:bCs w:val="false"/>
              </w:rPr>
              <w:t>.</w:t>
            </w:r>
          </w:p>
          <w:p>
            <w:pPr>
              <w:pStyle w:val="BodyText"/>
              <w:numPr>
                <w:ilvl w:val="0"/>
                <w:numId w:val="9"/>
              </w:numPr>
              <w:tabs>
                <w:tab w:val="clear" w:pos="708"/>
                <w:tab w:val="left" w:pos="0" w:leader="none"/>
              </w:tabs>
              <w:spacing w:lineRule="auto" w:line="360" w:before="57" w:after="57"/>
              <w:ind w:hanging="283" w:left="709"/>
              <w:jc w:val="both"/>
              <w:rPr/>
            </w:pPr>
            <w:r>
              <w:rPr>
                <w:rFonts w:cs="Arial" w:ascii="Arial" w:hAnsi="Arial"/>
                <w:b w:val="false"/>
                <w:bCs w:val="false"/>
              </w:rPr>
              <w:t xml:space="preserve">Encontra-se na fase final de implantação da </w:t>
            </w:r>
            <w:r>
              <w:rPr>
                <w:rStyle w:val="Strong"/>
                <w:rFonts w:cs="Arial" w:ascii="Arial" w:hAnsi="Arial"/>
                <w:b w:val="false"/>
                <w:bCs w:val="false"/>
              </w:rPr>
              <w:t>primeira usina de reciclagem de garrafas PET do país</w:t>
            </w:r>
            <w:r>
              <w:rPr>
                <w:rFonts w:cs="Arial" w:ascii="Arial" w:hAnsi="Arial"/>
                <w:b w:val="false"/>
                <w:bCs w:val="false"/>
              </w:rPr>
              <w:t>, com inauguração prevista para setembro de 2025.</w:t>
            </w:r>
          </w:p>
          <w:p>
            <w:pPr>
              <w:pStyle w:val="BodyText"/>
              <w:numPr>
                <w:ilvl w:val="0"/>
                <w:numId w:val="9"/>
              </w:numPr>
              <w:tabs>
                <w:tab w:val="clear" w:pos="708"/>
                <w:tab w:val="left" w:pos="0" w:leader="none"/>
              </w:tabs>
              <w:spacing w:lineRule="auto" w:line="360" w:before="57" w:after="57"/>
              <w:ind w:hanging="283" w:left="709"/>
              <w:jc w:val="both"/>
              <w:rPr/>
            </w:pPr>
            <w:r>
              <w:rPr>
                <w:rFonts w:cs="Arial" w:ascii="Arial" w:hAnsi="Arial"/>
                <w:b w:val="false"/>
                <w:bCs w:val="false"/>
              </w:rPr>
              <w:t xml:space="preserve">Recebeu, em outubro de 2024, o prêmio de </w:t>
            </w:r>
            <w:r>
              <w:rPr>
                <w:rStyle w:val="Strong"/>
                <w:rFonts w:cs="Arial" w:ascii="Arial" w:hAnsi="Arial"/>
                <w:b w:val="false"/>
                <w:bCs w:val="false"/>
              </w:rPr>
              <w:t>10º lugar nacional em índices de sustentabilidade e limpeza urbana</w:t>
            </w:r>
            <w:r>
              <w:rPr>
                <w:rFonts w:cs="Arial" w:ascii="Arial" w:hAnsi="Arial"/>
                <w:b w:val="false"/>
                <w:bCs w:val="false"/>
              </w:rPr>
              <w:t>.</w:t>
            </w:r>
          </w:p>
          <w:p>
            <w:pPr>
              <w:pStyle w:val="BodyText"/>
              <w:tabs>
                <w:tab w:val="clear" w:pos="708"/>
                <w:tab w:val="left" w:pos="0" w:leader="none"/>
              </w:tabs>
              <w:spacing w:lineRule="auto" w:line="360" w:before="57" w:after="57"/>
              <w:jc w:val="both"/>
              <w:rPr>
                <w:rFonts w:ascii="Arial" w:hAnsi="Arial" w:cs="Arial"/>
              </w:rPr>
            </w:pPr>
            <w:r>
              <w:rPr>
                <w:rFonts w:cs="Arial" w:ascii="Arial" w:hAnsi="Arial"/>
              </w:rPr>
            </w:r>
          </w:p>
          <w:p>
            <w:pPr>
              <w:pStyle w:val="Heading2"/>
              <w:tabs>
                <w:tab w:val="clear" w:pos="708"/>
                <w:tab w:val="left" w:pos="0" w:leader="none"/>
              </w:tabs>
              <w:spacing w:lineRule="auto" w:line="360" w:before="57" w:after="57"/>
              <w:jc w:val="center"/>
              <w:rPr/>
            </w:pPr>
            <w:r>
              <w:rPr>
                <w:rStyle w:val="Strong"/>
                <w:rFonts w:eastAsia="Calibri" w:cs="Arial" w:ascii="Arial" w:hAnsi="Arial"/>
                <w:b/>
                <w:bCs/>
                <w:sz w:val="22"/>
                <w:szCs w:val="22"/>
              </w:rPr>
              <w:t>Reutilização da Fração Orgânica</w:t>
            </w:r>
          </w:p>
          <w:p>
            <w:pPr>
              <w:pStyle w:val="BodyText"/>
              <w:tabs>
                <w:tab w:val="clear" w:pos="708"/>
                <w:tab w:val="left" w:pos="0" w:leader="none"/>
              </w:tabs>
              <w:spacing w:lineRule="auto" w:line="360" w:before="57" w:after="57"/>
              <w:jc w:val="both"/>
              <w:rPr/>
            </w:pPr>
            <w:r>
              <w:rPr>
                <w:rFonts w:cs="Arial" w:ascii="Arial" w:hAnsi="Arial"/>
              </w:rPr>
              <w:t xml:space="preserve">A fração orgânica representa cerca </w:t>
            </w:r>
            <w:r>
              <w:rPr>
                <w:rFonts w:cs="Arial" w:ascii="Arial" w:hAnsi="Arial"/>
                <w:b w:val="false"/>
                <w:bCs w:val="false"/>
              </w:rPr>
              <w:t xml:space="preserve">de </w:t>
            </w:r>
            <w:r>
              <w:rPr>
                <w:rStyle w:val="Strong"/>
                <w:rFonts w:cs="Arial" w:ascii="Arial" w:hAnsi="Arial"/>
                <w:b w:val="false"/>
                <w:bCs w:val="false"/>
              </w:rPr>
              <w:t>50% do peso total</w:t>
            </w:r>
            <w:r>
              <w:rPr>
                <w:rFonts w:cs="Arial" w:ascii="Arial" w:hAnsi="Arial"/>
                <w:b w:val="false"/>
                <w:bCs w:val="false"/>
              </w:rPr>
              <w:t xml:space="preserve"> dos resíduos sólidos domésticos. Suas características físico-químicas, somadas à exigência de baixa contaminação por recicláveis, tornam seu tratamento um dos maiores desafios ambientais para os municípios brasileiros.</w:t>
            </w:r>
          </w:p>
          <w:p>
            <w:pPr>
              <w:pStyle w:val="BodyText"/>
              <w:tabs>
                <w:tab w:val="clear" w:pos="708"/>
                <w:tab w:val="left" w:pos="0" w:leader="none"/>
              </w:tabs>
              <w:spacing w:lineRule="auto" w:line="360" w:before="57" w:after="57"/>
              <w:jc w:val="both"/>
              <w:rPr/>
            </w:pPr>
            <w:r>
              <w:rPr>
                <w:rFonts w:cs="Arial" w:ascii="Arial" w:hAnsi="Arial"/>
                <w:b w:val="false"/>
                <w:bCs w:val="false"/>
              </w:rPr>
              <w:t xml:space="preserve">A inexistência de segregação eficiente na fonte e a necessidade de investimentos elevados (estimados em </w:t>
            </w:r>
            <w:r>
              <w:rPr>
                <w:rStyle w:val="Strong"/>
                <w:rFonts w:cs="Arial" w:ascii="Arial" w:hAnsi="Arial"/>
                <w:b w:val="false"/>
                <w:bCs w:val="false"/>
              </w:rPr>
              <w:t>R$ 200 milhões</w:t>
            </w:r>
            <w:r>
              <w:rPr>
                <w:rFonts w:cs="Arial" w:ascii="Arial" w:hAnsi="Arial"/>
                <w:b w:val="false"/>
                <w:bCs w:val="false"/>
              </w:rPr>
              <w:t xml:space="preserve"> apenas para implantação de plantas de grande porte) explicam a dificuldade nacional em estruturar unidades de tratamento de orgânicos. Além disso, mesmo essas plantas não eliminam a necessidade de rotas alternativas de tratamento e destinação.</w:t>
            </w:r>
          </w:p>
          <w:p>
            <w:pPr>
              <w:pStyle w:val="BodyText"/>
              <w:tabs>
                <w:tab w:val="clear" w:pos="708"/>
                <w:tab w:val="left" w:pos="0" w:leader="none"/>
              </w:tabs>
              <w:spacing w:lineRule="auto" w:line="360" w:before="57" w:after="57"/>
              <w:jc w:val="both"/>
              <w:rPr/>
            </w:pPr>
            <w:r>
              <w:rPr>
                <w:rFonts w:cs="Arial" w:ascii="Arial" w:hAnsi="Arial"/>
                <w:b w:val="false"/>
                <w:bCs w:val="false"/>
              </w:rPr>
              <w:t>O SANEP foi pioneiro, ainda entre 1986 e 1989, ao implantar uma Estação Experimental de Compostagem, com resultados divulgados em eventos técnicos.</w:t>
            </w:r>
          </w:p>
          <w:p>
            <w:pPr>
              <w:pStyle w:val="BodyText"/>
              <w:tabs>
                <w:tab w:val="clear" w:pos="708"/>
                <w:tab w:val="left" w:pos="0" w:leader="none"/>
              </w:tabs>
              <w:spacing w:lineRule="auto" w:line="360" w:before="57" w:after="57"/>
              <w:jc w:val="both"/>
              <w:rPr/>
            </w:pPr>
            <w:r>
              <w:rPr>
                <w:rFonts w:cs="Arial" w:ascii="Arial" w:hAnsi="Arial"/>
                <w:b w:val="false"/>
                <w:bCs w:val="false"/>
              </w:rPr>
              <w:t xml:space="preserve">Atualmente, está em andamento parceria com a </w:t>
            </w:r>
            <w:r>
              <w:rPr>
                <w:rStyle w:val="Strong"/>
                <w:rFonts w:cs="Arial" w:ascii="Arial" w:hAnsi="Arial"/>
                <w:b w:val="false"/>
                <w:bCs w:val="false"/>
              </w:rPr>
              <w:t>Universidade Federal de Pelotas</w:t>
            </w:r>
            <w:r>
              <w:rPr>
                <w:rFonts w:cs="Arial" w:ascii="Arial" w:hAnsi="Arial"/>
                <w:b w:val="false"/>
                <w:bCs w:val="false"/>
              </w:rPr>
              <w:t xml:space="preserve"> para desenvolvimento de </w:t>
            </w:r>
            <w:r>
              <w:rPr>
                <w:rStyle w:val="Strong"/>
                <w:rFonts w:cs="Arial" w:ascii="Arial" w:hAnsi="Arial"/>
                <w:b w:val="false"/>
                <w:bCs w:val="false"/>
              </w:rPr>
              <w:t>projeto de Central de Compostagem voltado a resíduos de feiras livres, supermercados e atacadistas de hortifrutigranjeiros, além de lodo de ETEs</w:t>
            </w:r>
            <w:r>
              <w:rPr>
                <w:rFonts w:cs="Arial" w:ascii="Arial" w:hAnsi="Arial"/>
                <w:b w:val="false"/>
                <w:bCs w:val="false"/>
              </w:rPr>
              <w:t>. O estudo incluirá:</w:t>
            </w:r>
          </w:p>
          <w:p>
            <w:pPr>
              <w:pStyle w:val="BodyText"/>
              <w:numPr>
                <w:ilvl w:val="0"/>
                <w:numId w:val="10"/>
              </w:numPr>
              <w:tabs>
                <w:tab w:val="clear" w:pos="708"/>
                <w:tab w:val="left" w:pos="0" w:leader="none"/>
              </w:tabs>
              <w:spacing w:lineRule="auto" w:line="360" w:before="57" w:after="57"/>
              <w:ind w:hanging="283" w:left="709"/>
              <w:jc w:val="both"/>
              <w:rPr/>
            </w:pPr>
            <w:r>
              <w:rPr>
                <w:rFonts w:cs="Arial" w:ascii="Arial" w:hAnsi="Arial"/>
              </w:rPr>
              <w:t>mapeamento dos geradores;</w:t>
            </w:r>
          </w:p>
          <w:p>
            <w:pPr>
              <w:pStyle w:val="BodyText"/>
              <w:numPr>
                <w:ilvl w:val="0"/>
                <w:numId w:val="10"/>
              </w:numPr>
              <w:tabs>
                <w:tab w:val="clear" w:pos="708"/>
                <w:tab w:val="left" w:pos="0" w:leader="none"/>
              </w:tabs>
              <w:spacing w:lineRule="auto" w:line="360" w:before="57" w:after="57"/>
              <w:ind w:hanging="283" w:left="709"/>
              <w:jc w:val="both"/>
              <w:rPr/>
            </w:pPr>
            <w:r>
              <w:rPr>
                <w:rFonts w:cs="Arial" w:ascii="Arial" w:hAnsi="Arial"/>
              </w:rPr>
              <w:t>avaliação qualitativa e quantitativa dos resíduos;</w:t>
            </w:r>
          </w:p>
          <w:p>
            <w:pPr>
              <w:pStyle w:val="BodyText"/>
              <w:numPr>
                <w:ilvl w:val="0"/>
                <w:numId w:val="10"/>
              </w:numPr>
              <w:tabs>
                <w:tab w:val="clear" w:pos="708"/>
                <w:tab w:val="left" w:pos="0" w:leader="none"/>
              </w:tabs>
              <w:spacing w:lineRule="auto" w:line="360" w:before="57" w:after="57"/>
              <w:ind w:hanging="283" w:left="709"/>
              <w:jc w:val="both"/>
              <w:rPr/>
            </w:pPr>
            <w:r>
              <w:rPr>
                <w:rFonts w:cs="Arial" w:ascii="Arial" w:hAnsi="Arial"/>
              </w:rPr>
              <w:t>definição da área necessária;</w:t>
            </w:r>
          </w:p>
          <w:p>
            <w:pPr>
              <w:pStyle w:val="BodyText"/>
              <w:numPr>
                <w:ilvl w:val="0"/>
                <w:numId w:val="10"/>
              </w:numPr>
              <w:tabs>
                <w:tab w:val="clear" w:pos="708"/>
                <w:tab w:val="left" w:pos="0" w:leader="none"/>
              </w:tabs>
              <w:spacing w:lineRule="auto" w:line="360" w:before="57" w:after="57"/>
              <w:ind w:hanging="283" w:left="709"/>
              <w:jc w:val="both"/>
              <w:rPr/>
            </w:pPr>
            <w:r>
              <w:rPr>
                <w:rFonts w:cs="Arial" w:ascii="Arial" w:hAnsi="Arial"/>
              </w:rPr>
              <w:t>escolha da metodologia de compostagem;</w:t>
            </w:r>
          </w:p>
          <w:p>
            <w:pPr>
              <w:pStyle w:val="BodyText"/>
              <w:numPr>
                <w:ilvl w:val="0"/>
                <w:numId w:val="10"/>
              </w:numPr>
              <w:tabs>
                <w:tab w:val="clear" w:pos="708"/>
                <w:tab w:val="left" w:pos="0" w:leader="none"/>
              </w:tabs>
              <w:spacing w:lineRule="auto" w:line="360" w:before="57" w:after="57"/>
              <w:ind w:hanging="283" w:left="709"/>
              <w:jc w:val="both"/>
              <w:rPr/>
            </w:pPr>
            <w:r>
              <w:rPr>
                <w:rFonts w:cs="Arial" w:ascii="Arial" w:hAnsi="Arial"/>
              </w:rPr>
              <w:t>dimensionamento de maquinários e mão de obra;</w:t>
            </w:r>
          </w:p>
          <w:p>
            <w:pPr>
              <w:pStyle w:val="BodyText"/>
              <w:numPr>
                <w:ilvl w:val="0"/>
                <w:numId w:val="10"/>
              </w:numPr>
              <w:tabs>
                <w:tab w:val="clear" w:pos="708"/>
                <w:tab w:val="left" w:pos="0" w:leader="none"/>
              </w:tabs>
              <w:spacing w:lineRule="auto" w:line="360" w:before="57" w:after="57"/>
              <w:ind w:hanging="283" w:left="709"/>
              <w:jc w:val="both"/>
              <w:rPr/>
            </w:pPr>
            <w:r>
              <w:rPr>
                <w:rFonts w:cs="Arial" w:ascii="Arial" w:hAnsi="Arial"/>
              </w:rPr>
              <w:t>estimativa dos custos de implantação e operação da usina.</w:t>
            </w:r>
          </w:p>
        </w:tc>
      </w:tr>
    </w:tbl>
    <w:p>
      <w:pPr>
        <w:pStyle w:val="Normal"/>
        <w:spacing w:lineRule="auto" w:line="276"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360" w:before="57" w:after="57"/>
              <w:jc w:val="both"/>
              <w:rPr>
                <w:rFonts w:ascii="Arial" w:hAnsi="Arial" w:eastAsia="Calibri"/>
              </w:rPr>
            </w:pPr>
            <w:r>
              <w:rPr>
                <w:rFonts w:eastAsia="Calibri" w:cs="Arial" w:ascii="Arial" w:hAnsi="Arial"/>
                <w:b/>
                <w:bCs/>
                <w:kern w:val="2"/>
                <w:sz w:val="22"/>
                <w:szCs w:val="22"/>
                <w:lang w:val="pt-BR" w:eastAsia="en-US" w:bidi="ar-SA"/>
              </w:rPr>
              <w:t>3 PREVISÃO NO PLANO DE CONTRATAÇÕES ANUAL</w:t>
            </w:r>
          </w:p>
        </w:tc>
      </w:tr>
      <w:tr>
        <w:trPr/>
        <w:tc>
          <w:tcPr>
            <w:tcW w:w="9061" w:type="dxa"/>
            <w:tcBorders/>
          </w:tcPr>
          <w:p>
            <w:pPr>
              <w:pStyle w:val="Normal"/>
              <w:widowControl/>
              <w:suppressAutoHyphens w:val="true"/>
              <w:spacing w:lineRule="auto" w:line="360" w:before="57" w:after="57"/>
              <w:jc w:val="both"/>
              <w:rPr>
                <w:rFonts w:ascii="Arial" w:hAnsi="Arial" w:eastAsia="Calibri" w:cs="Arial"/>
              </w:rPr>
            </w:pPr>
            <w:r>
              <w:rPr>
                <w:rFonts w:eastAsia="Calibri" w:cs="Arial" w:ascii="Arial" w:hAnsi="Arial"/>
                <w:kern w:val="2"/>
                <w:sz w:val="22"/>
                <w:szCs w:val="22"/>
                <w:lang w:val="pt-BR" w:eastAsia="en-US" w:bidi="ar-SA"/>
              </w:rPr>
              <w:t>Não há previsão no Plano de Contratações Anual (PCA).</w:t>
            </w:r>
          </w:p>
        </w:tc>
      </w:tr>
    </w:tbl>
    <w:p>
      <w:pPr>
        <w:pStyle w:val="Normal"/>
        <w:spacing w:lineRule="auto" w:line="276"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360" w:before="57" w:after="57"/>
              <w:jc w:val="both"/>
              <w:rPr>
                <w:rFonts w:ascii="Arial" w:hAnsi="Arial" w:eastAsia="Calibri"/>
              </w:rPr>
            </w:pPr>
            <w:r>
              <w:rPr>
                <w:rFonts w:eastAsia="Calibri" w:cs="Arial" w:ascii="Arial" w:hAnsi="Arial"/>
                <w:b/>
                <w:bCs/>
                <w:kern w:val="2"/>
                <w:sz w:val="22"/>
                <w:szCs w:val="22"/>
                <w:lang w:val="pt-BR" w:eastAsia="en-US" w:bidi="ar-SA"/>
              </w:rPr>
              <w:t>4 REQUISITOS DA CONTRATAÇÃO</w:t>
            </w:r>
          </w:p>
        </w:tc>
      </w:tr>
      <w:tr>
        <w:trPr>
          <w:trHeight w:val="1483" w:hRule="atLeast"/>
        </w:trPr>
        <w:tc>
          <w:tcPr>
            <w:tcW w:w="9061" w:type="dxa"/>
            <w:tcBorders/>
          </w:tcPr>
          <w:p>
            <w:pPr>
              <w:pStyle w:val="BodyText"/>
              <w:widowControl/>
              <w:suppressAutoHyphens w:val="true"/>
              <w:spacing w:lineRule="auto" w:line="360" w:before="114" w:after="114"/>
              <w:jc w:val="center"/>
              <w:rPr/>
            </w:pPr>
            <w:r>
              <w:rPr>
                <w:rFonts w:eastAsia="Calibri" w:cs="Arial" w:ascii="Arial" w:hAnsi="Arial"/>
                <w:b/>
                <w:bCs/>
                <w:color w:val="000000"/>
              </w:rPr>
              <w:t>Especificações da prestação dos serviços</w:t>
            </w:r>
          </w:p>
          <w:p>
            <w:pPr>
              <w:pStyle w:val="BodyText"/>
              <w:widowControl/>
              <w:suppressAutoHyphens w:val="true"/>
              <w:spacing w:lineRule="auto" w:line="360" w:before="57" w:after="57"/>
              <w:jc w:val="both"/>
              <w:rPr>
                <w:color w:val="000000"/>
              </w:rPr>
            </w:pPr>
            <w:r>
              <w:rPr>
                <w:rFonts w:eastAsia="Calibri" w:cs="Arial" w:ascii="Arial" w:hAnsi="Arial"/>
                <w:color w:val="000000"/>
              </w:rPr>
              <w:t xml:space="preserve">A necessidade do SANEP consiste na </w:t>
            </w:r>
            <w:r>
              <w:rPr>
                <w:rFonts w:eastAsia="Calibri" w:cs="Arial" w:ascii="Arial" w:hAnsi="Arial"/>
                <w:b/>
                <w:bCs/>
                <w:color w:val="000000"/>
              </w:rPr>
              <w:t xml:space="preserve">operação da Estação de Transbordo, transporte e disposição final </w:t>
            </w:r>
            <w:r>
              <w:rPr>
                <w:rFonts w:eastAsia="Calibri" w:cs="Arial" w:ascii="Arial" w:hAnsi="Arial"/>
                <w:color w:val="000000"/>
              </w:rPr>
              <w:t xml:space="preserve">de uma média mensal de </w:t>
            </w:r>
            <w:r>
              <w:rPr>
                <w:rFonts w:eastAsia="Calibri" w:cs="Arial" w:ascii="Arial" w:hAnsi="Arial"/>
                <w:b/>
                <w:bCs/>
                <w:color w:val="000000"/>
              </w:rPr>
              <w:t xml:space="preserve">9.883 toneladas de resíduos sólidos urbanos (RSU), </w:t>
            </w:r>
            <w:r>
              <w:rPr>
                <w:rFonts w:eastAsia="Calibri" w:cs="Arial" w:ascii="Arial" w:hAnsi="Arial"/>
                <w:color w:val="000000"/>
              </w:rPr>
              <w:t xml:space="preserve">conforme dados do ano de 2025. A média das máximas diárias é de aproximadamente </w:t>
            </w:r>
            <w:r>
              <w:rPr>
                <w:rFonts w:eastAsia="Calibri" w:cs="Arial" w:ascii="Arial" w:hAnsi="Arial"/>
                <w:b/>
                <w:bCs/>
                <w:color w:val="000000"/>
              </w:rPr>
              <w:t>586 t/dia,</w:t>
            </w:r>
            <w:r>
              <w:rPr>
                <w:rFonts w:eastAsia="Calibri" w:cs="Arial" w:ascii="Arial" w:hAnsi="Arial"/>
                <w:color w:val="000000"/>
              </w:rPr>
              <w:t xml:space="preserve"> enquanto a média diária geral é de </w:t>
            </w:r>
            <w:r>
              <w:rPr>
                <w:rFonts w:eastAsia="Calibri" w:cs="Arial" w:ascii="Arial" w:hAnsi="Arial"/>
                <w:b/>
                <w:bCs/>
                <w:color w:val="000000"/>
              </w:rPr>
              <w:t xml:space="preserve">378 t/dia </w:t>
            </w:r>
            <w:r>
              <w:rPr>
                <w:rFonts w:eastAsia="Calibri" w:cs="Arial" w:ascii="Arial" w:hAnsi="Arial"/>
                <w:color w:val="000000"/>
              </w:rPr>
              <w:t>no mesmo período.</w:t>
            </w:r>
          </w:p>
          <w:p>
            <w:pPr>
              <w:pStyle w:val="BodyText"/>
              <w:widowControl/>
              <w:suppressAutoHyphens w:val="true"/>
              <w:spacing w:lineRule="auto" w:line="360" w:before="57" w:after="57"/>
              <w:jc w:val="both"/>
              <w:rPr/>
            </w:pPr>
            <w:r>
              <w:rPr>
                <w:rFonts w:eastAsia="Calibri" w:cs="Arial" w:ascii="Arial" w:hAnsi="Arial"/>
                <w:color w:val="000000"/>
              </w:rPr>
              <w:t xml:space="preserve">O transporte será realizado por </w:t>
            </w:r>
            <w:r>
              <w:rPr>
                <w:rFonts w:eastAsia="Calibri" w:cs="Arial" w:ascii="Arial" w:hAnsi="Arial"/>
                <w:b w:val="false"/>
                <w:bCs w:val="false"/>
                <w:color w:val="000000"/>
              </w:rPr>
              <w:t>Unidades de Tração (UT), Unidades de Carga (UC) e condutor</w:t>
            </w:r>
            <w:r>
              <w:rPr>
                <w:rFonts w:eastAsia="Calibri" w:cs="Arial" w:ascii="Arial" w:hAnsi="Arial"/>
                <w:color w:val="000000"/>
              </w:rPr>
              <w:t xml:space="preserve">, </w:t>
            </w:r>
            <w:r>
              <w:rPr>
                <w:rFonts w:eastAsia="Calibri" w:cs="Arial" w:ascii="Arial" w:hAnsi="Arial"/>
                <w:b/>
                <w:bCs/>
                <w:color w:val="000000"/>
              </w:rPr>
              <w:t xml:space="preserve">a partir da Estação de Transbordo até um Aterro Sanitário </w:t>
            </w:r>
            <w:r>
              <w:rPr>
                <w:rFonts w:eastAsia="Calibri" w:cs="Arial" w:ascii="Arial" w:hAnsi="Arial"/>
                <w:color w:val="000000"/>
              </w:rPr>
              <w:t>devidamente licenciado. A operação da Estação de Transbordo, o transporte e a disposição final dos resíduos serão realizados de segunda a sábado, devendo ser mantido turno de 24 horas, de modo a atender toda a demanda e impedir qualquer acúmulo indevido de resíduos.</w:t>
            </w:r>
          </w:p>
          <w:p>
            <w:pPr>
              <w:pStyle w:val="BodyText"/>
              <w:widowControl/>
              <w:suppressAutoHyphens w:val="true"/>
              <w:spacing w:lineRule="auto" w:line="360" w:before="57" w:after="57"/>
              <w:jc w:val="both"/>
              <w:rPr/>
            </w:pPr>
            <w:r>
              <w:rPr>
                <w:rFonts w:eastAsia="Calibri" w:cs="Arial" w:ascii="Arial" w:hAnsi="Arial"/>
                <w:color w:val="000000"/>
              </w:rPr>
              <w:t>O planejamento diário da operação e do transporte deverá seguir parâmetros de racionalização dos serviços, de forma a permitir que todo o resíduo descarregado na Estação de Transbordo seja removido no período máximo de 24 horas.</w:t>
            </w:r>
          </w:p>
          <w:p>
            <w:pPr>
              <w:pStyle w:val="BodyText"/>
              <w:widowControl/>
              <w:suppressAutoHyphens w:val="true"/>
              <w:spacing w:lineRule="auto" w:line="360" w:before="57" w:after="57"/>
              <w:jc w:val="both"/>
              <w:rPr/>
            </w:pPr>
            <w:r>
              <w:rPr>
                <w:rFonts w:eastAsia="Calibri" w:cs="Arial" w:ascii="Arial" w:hAnsi="Arial"/>
                <w:color w:val="000000"/>
              </w:rPr>
              <w:t>O acúmulo máximo permitido na plataforma coberta de descarga é de 50 toneladas, pelo período máximo de 4 (quatro) horas durante a jornada de trabalho.</w:t>
            </w:r>
          </w:p>
          <w:p>
            <w:pPr>
              <w:pStyle w:val="BodyText"/>
              <w:widowControl/>
              <w:suppressAutoHyphens w:val="true"/>
              <w:spacing w:lineRule="auto" w:line="360" w:before="57" w:after="57"/>
              <w:jc w:val="both"/>
              <w:rPr/>
            </w:pPr>
            <w:r>
              <w:rPr>
                <w:rFonts w:eastAsia="Calibri" w:cs="Arial" w:ascii="Arial" w:hAnsi="Arial"/>
                <w:color w:val="000000"/>
              </w:rPr>
              <w:t>Os resíduos gerados durante o turno da noite deverão ser obrigatoriamente retirados até o encerramento dessa jornada, não sendo permitido, em hipótese alguma, o acúmulo de qualquer quantidade de resíduos na Estação de Transbordo de Pelotas (ETP) por período superior a 24 horas, independentemente do tipo de acondicionamento.</w:t>
            </w:r>
          </w:p>
          <w:p>
            <w:pPr>
              <w:pStyle w:val="BodyText"/>
              <w:widowControl/>
              <w:suppressAutoHyphens w:val="true"/>
              <w:spacing w:lineRule="auto" w:line="360" w:before="57" w:after="57"/>
              <w:jc w:val="both"/>
              <w:rPr/>
            </w:pPr>
            <w:r>
              <w:rPr>
                <w:rFonts w:eastAsia="Calibri" w:cs="Arial" w:ascii="Arial" w:hAnsi="Arial"/>
                <w:color w:val="000000"/>
              </w:rPr>
              <w:t>A Contratada deverá apresentar e manter quantitativo suficiente de equipamentos e equipes para a operação da ETP e para o transporte dos resíduos.</w:t>
            </w:r>
          </w:p>
          <w:p>
            <w:pPr>
              <w:pStyle w:val="BodyText"/>
              <w:widowControl/>
              <w:suppressAutoHyphens w:val="true"/>
              <w:spacing w:lineRule="auto" w:line="360" w:before="57" w:after="57"/>
              <w:jc w:val="both"/>
              <w:rPr/>
            </w:pPr>
            <w:r>
              <w:rPr>
                <w:rFonts w:eastAsia="Calibri" w:cs="Arial" w:ascii="Arial" w:hAnsi="Arial"/>
                <w:color w:val="000000"/>
              </w:rPr>
              <w:t>As Unidades de Transporte deverão estar em plenas condições de tráfego, de acordo com o horário previamente definido, garantindo operação contínua. Deverão ser mantidos também equipamentos e veículos de reserva, destinados à substituição ou complementação da frota, conforme exigências deste Estudo.</w:t>
            </w:r>
          </w:p>
          <w:p>
            <w:pPr>
              <w:pStyle w:val="BodyText"/>
              <w:widowControl/>
              <w:suppressAutoHyphens w:val="true"/>
              <w:spacing w:lineRule="auto" w:line="360" w:before="57" w:after="57"/>
              <w:jc w:val="both"/>
              <w:rPr>
                <w:rFonts w:ascii="Arial" w:hAnsi="Arial" w:eastAsia="Calibri" w:cs="Arial"/>
                <w:b/>
                <w:bCs/>
                <w:color w:val="000000"/>
              </w:rPr>
            </w:pPr>
            <w:r>
              <w:rPr>
                <w:rFonts w:eastAsia="Calibri" w:cs="Arial" w:ascii="Arial" w:hAnsi="Arial"/>
                <w:b/>
                <w:bCs/>
                <w:color w:val="000000"/>
              </w:rPr>
            </w:r>
          </w:p>
          <w:p>
            <w:pPr>
              <w:pStyle w:val="BodyText"/>
              <w:widowControl/>
              <w:suppressAutoHyphens w:val="true"/>
              <w:spacing w:lineRule="auto" w:line="360" w:before="57" w:after="57"/>
              <w:jc w:val="center"/>
              <w:rPr/>
            </w:pPr>
            <w:r>
              <w:rPr>
                <w:rFonts w:eastAsia="Calibri" w:cs="Arial" w:ascii="Arial" w:hAnsi="Arial"/>
                <w:b/>
                <w:bCs/>
                <w:color w:val="000000"/>
              </w:rPr>
              <w:t>OPERAÇÃO DA ESTAÇÃO DE TRANSBORDO DE PELOTAS - ETP</w:t>
            </w:r>
          </w:p>
          <w:p>
            <w:pPr>
              <w:pStyle w:val="BodyText"/>
              <w:widowControl/>
              <w:suppressAutoHyphens w:val="true"/>
              <w:spacing w:lineRule="auto" w:line="360" w:before="57" w:after="57"/>
              <w:jc w:val="both"/>
              <w:rPr/>
            </w:pPr>
            <w:r>
              <w:rPr>
                <w:rFonts w:eastAsia="Calibri" w:cs="Arial" w:ascii="Arial" w:hAnsi="Arial"/>
                <w:b w:val="false"/>
                <w:bCs w:val="false"/>
                <w:color w:val="000000"/>
              </w:rPr>
              <w:t>A Contratada deverá executar, no mínimo, as seguintes atividades:</w:t>
            </w:r>
          </w:p>
          <w:p>
            <w:pPr>
              <w:pStyle w:val="BodyText"/>
              <w:widowControl/>
              <w:suppressAutoHyphens w:val="true"/>
              <w:spacing w:lineRule="auto" w:line="360" w:before="57" w:after="57"/>
              <w:jc w:val="both"/>
              <w:rPr/>
            </w:pPr>
            <w:r>
              <w:rPr>
                <w:rFonts w:eastAsia="Calibri" w:cs="Arial" w:ascii="Arial" w:hAnsi="Arial"/>
                <w:b w:val="false"/>
                <w:bCs w:val="false"/>
                <w:color w:val="000000"/>
              </w:rPr>
              <w:t>a) Operação da ETP, mantendo todos os equipamentos de carregamento em perfeitas condições e equipes compatíveis com o funcionamento da unidade;</w:t>
            </w:r>
          </w:p>
          <w:p>
            <w:pPr>
              <w:pStyle w:val="BodyText"/>
              <w:widowControl/>
              <w:suppressAutoHyphens w:val="true"/>
              <w:spacing w:lineRule="auto" w:line="360" w:before="57" w:after="57"/>
              <w:jc w:val="both"/>
              <w:rPr/>
            </w:pPr>
            <w:r>
              <w:rPr>
                <w:rFonts w:eastAsia="Calibri" w:cs="Arial" w:ascii="Arial" w:hAnsi="Arial"/>
                <w:b w:val="false"/>
                <w:bCs w:val="false"/>
                <w:color w:val="000000"/>
              </w:rPr>
              <w:t>b) Manter o local de descarga e áreas adjacentes limpos e higienizados;</w:t>
            </w:r>
          </w:p>
          <w:p>
            <w:pPr>
              <w:pStyle w:val="BodyText"/>
              <w:widowControl/>
              <w:suppressAutoHyphens w:val="true"/>
              <w:spacing w:lineRule="auto" w:line="360" w:before="57" w:after="57"/>
              <w:jc w:val="both"/>
              <w:rPr/>
            </w:pPr>
            <w:r>
              <w:rPr>
                <w:rFonts w:eastAsia="Calibri" w:cs="Arial" w:ascii="Arial" w:hAnsi="Arial"/>
                <w:b w:val="false"/>
                <w:bCs w:val="false"/>
                <w:color w:val="000000"/>
              </w:rPr>
              <w:t>c) Manter o local de armazenamento do chorume permanentemente fechado, sendo a Contratada responsável pelo tratamento do chorume gerado, devendo indicar, na proposta, a ETE de destino.</w:t>
            </w:r>
          </w:p>
          <w:p>
            <w:pPr>
              <w:pStyle w:val="BodyText"/>
              <w:widowControl/>
              <w:suppressAutoHyphens w:val="true"/>
              <w:spacing w:lineRule="auto" w:line="360" w:before="57" w:after="57"/>
              <w:jc w:val="both"/>
              <w:rPr/>
            </w:pPr>
            <w:r>
              <w:rPr>
                <w:rFonts w:eastAsia="Calibri" w:cs="Arial" w:ascii="Arial" w:hAnsi="Arial"/>
                <w:b w:val="false"/>
                <w:bCs w:val="false"/>
                <w:color w:val="000000"/>
              </w:rPr>
              <w:t>d) Deverá realizar limpeza periódica das caixas de passagem e/ou poço de acumulação, de chorume, evitando obstruções e transbordamentos;</w:t>
            </w:r>
          </w:p>
          <w:p>
            <w:pPr>
              <w:pStyle w:val="BodyText"/>
              <w:widowControl/>
              <w:suppressAutoHyphens w:val="true"/>
              <w:spacing w:lineRule="auto" w:line="360" w:before="57" w:after="57"/>
              <w:jc w:val="both"/>
              <w:rPr/>
            </w:pPr>
            <w:r>
              <w:rPr>
                <w:rFonts w:eastAsia="Calibri" w:cs="Arial" w:ascii="Arial" w:hAnsi="Arial"/>
                <w:b w:val="false"/>
                <w:bCs w:val="false"/>
                <w:color w:val="000000"/>
              </w:rPr>
              <w:t>e) Garantir que o sistema de armazenamento de chorume e das águas de lavagem seja compatível com o volume gerado;</w:t>
            </w:r>
          </w:p>
          <w:p>
            <w:pPr>
              <w:pStyle w:val="BodyText"/>
              <w:widowControl/>
              <w:suppressAutoHyphens w:val="true"/>
              <w:spacing w:lineRule="auto" w:line="360" w:before="57" w:after="57"/>
              <w:jc w:val="both"/>
              <w:rPr/>
            </w:pPr>
            <w:r>
              <w:rPr>
                <w:rFonts w:eastAsia="Calibri" w:cs="Arial" w:ascii="Arial" w:hAnsi="Arial"/>
                <w:b w:val="false"/>
                <w:bCs w:val="false"/>
                <w:color w:val="000000"/>
              </w:rPr>
              <w:t>f) Implantar e manter toda a rede de energia elétrica necessária, incluindo redes de alta e baixa tensão (postes, luminárias, etc), assegurando a operação noturna;</w:t>
            </w:r>
          </w:p>
          <w:p>
            <w:pPr>
              <w:pStyle w:val="BodyText"/>
              <w:widowControl/>
              <w:suppressAutoHyphens w:val="true"/>
              <w:spacing w:lineRule="auto" w:line="360" w:before="57" w:after="57"/>
              <w:jc w:val="both"/>
              <w:rPr/>
            </w:pPr>
            <w:r>
              <w:rPr>
                <w:rFonts w:eastAsia="Calibri" w:cs="Arial" w:ascii="Arial" w:hAnsi="Arial"/>
                <w:b w:val="false"/>
                <w:bCs w:val="false"/>
                <w:color w:val="000000"/>
              </w:rPr>
              <w:t>g) Executar periodicamente programas de controle de vetores, incluindo desratização e outros;</w:t>
            </w:r>
          </w:p>
          <w:p>
            <w:pPr>
              <w:pStyle w:val="BodyText"/>
              <w:widowControl/>
              <w:suppressAutoHyphens w:val="true"/>
              <w:spacing w:lineRule="auto" w:line="360" w:before="57" w:after="57"/>
              <w:jc w:val="both"/>
              <w:rPr/>
            </w:pPr>
            <w:r>
              <w:rPr>
                <w:rFonts w:eastAsia="Calibri" w:cs="Arial" w:ascii="Arial" w:hAnsi="Arial"/>
                <w:b w:val="false"/>
                <w:bCs w:val="false"/>
                <w:color w:val="000000"/>
              </w:rPr>
              <w:t>h) Enlonar as Unidades de Carga antes do início de cada viagem a destinação final;</w:t>
            </w:r>
          </w:p>
          <w:p>
            <w:pPr>
              <w:pStyle w:val="BodyText"/>
              <w:widowControl/>
              <w:suppressAutoHyphens w:val="true"/>
              <w:spacing w:lineRule="auto" w:line="360" w:before="57" w:after="57"/>
              <w:jc w:val="both"/>
              <w:rPr/>
            </w:pPr>
            <w:r>
              <w:rPr>
                <w:rFonts w:eastAsia="Calibri" w:cs="Arial" w:ascii="Arial" w:hAnsi="Arial"/>
                <w:b w:val="false"/>
                <w:bCs w:val="false"/>
                <w:color w:val="000000"/>
              </w:rPr>
              <w:t>l) Implantar e manter sistema de fechamento perimetral, com telas ou barreiras adequadas, para impedir a dispersão de sacolas, plásticos e demais materiais para áreas vizinhas à ETP.</w:t>
            </w:r>
          </w:p>
          <w:p>
            <w:pPr>
              <w:pStyle w:val="Heading2"/>
              <w:widowControl/>
              <w:suppressAutoHyphens w:val="true"/>
              <w:spacing w:lineRule="auto" w:line="360" w:before="57" w:after="57"/>
              <w:jc w:val="center"/>
              <w:rPr>
                <w:rFonts w:ascii="Arial" w:hAnsi="Arial" w:eastAsia="Calibri" w:cs="Arial"/>
                <w:b/>
                <w:bCs/>
                <w:color w:val="000000"/>
                <w:sz w:val="22"/>
                <w:szCs w:val="22"/>
              </w:rPr>
            </w:pPr>
            <w:r>
              <w:rPr>
                <w:rFonts w:eastAsia="Calibri" w:cs="Arial" w:ascii="Arial" w:hAnsi="Arial"/>
                <w:b/>
                <w:bCs/>
                <w:color w:val="000000"/>
                <w:sz w:val="22"/>
                <w:szCs w:val="22"/>
              </w:rPr>
            </w:r>
          </w:p>
          <w:p>
            <w:pPr>
              <w:pStyle w:val="Heading2"/>
              <w:widowControl/>
              <w:suppressAutoHyphens w:val="true"/>
              <w:spacing w:lineRule="auto" w:line="360" w:before="57" w:after="57"/>
              <w:jc w:val="center"/>
              <w:rPr/>
            </w:pPr>
            <w:r>
              <w:rPr>
                <w:rStyle w:val="Strong"/>
                <w:rFonts w:eastAsia="Calibri" w:cs="Arial" w:ascii="Arial" w:hAnsi="Arial"/>
                <w:b/>
                <w:bCs/>
                <w:color w:val="000000"/>
                <w:sz w:val="22"/>
                <w:szCs w:val="22"/>
              </w:rPr>
              <w:t>Estrutura de Pessoal</w:t>
            </w:r>
          </w:p>
          <w:p>
            <w:pPr>
              <w:pStyle w:val="BodyText"/>
              <w:spacing w:lineRule="auto" w:line="360" w:before="57" w:after="57"/>
              <w:jc w:val="both"/>
              <w:rPr/>
            </w:pPr>
            <w:r>
              <w:rPr>
                <w:rFonts w:cs="Arial" w:ascii="Arial" w:hAnsi="Arial"/>
                <w:color w:val="000000"/>
              </w:rPr>
              <w:t xml:space="preserve">Para a execução completa dos serviços de operação da ETP a contratada deverá disponibilizar todo o efetivo indispensável ao desempenho das atividades, atendendo às determinações da fiscalização. Considerou-se uma jornada máxima de </w:t>
            </w:r>
            <w:r>
              <w:rPr>
                <w:rStyle w:val="Strong"/>
                <w:rFonts w:cs="Arial" w:ascii="Arial" w:hAnsi="Arial"/>
                <w:color w:val="000000"/>
              </w:rPr>
              <w:t>8 horas diárias</w:t>
            </w:r>
            <w:r>
              <w:rPr>
                <w:rFonts w:cs="Arial" w:ascii="Arial" w:hAnsi="Arial"/>
                <w:color w:val="000000"/>
              </w:rPr>
              <w:t xml:space="preserve"> por funcionário.</w:t>
            </w:r>
          </w:p>
          <w:p>
            <w:pPr>
              <w:pStyle w:val="BodyText"/>
              <w:spacing w:lineRule="auto" w:line="360" w:before="57" w:after="57"/>
              <w:jc w:val="both"/>
              <w:rPr/>
            </w:pPr>
            <w:r>
              <w:rPr>
                <w:rFonts w:cs="Arial" w:ascii="Arial" w:hAnsi="Arial"/>
                <w:color w:val="000000"/>
              </w:rPr>
              <w:t>A estrutura mínima exigida é a seguinte:</w:t>
            </w:r>
          </w:p>
          <w:p>
            <w:pPr>
              <w:pStyle w:val="BodyText"/>
              <w:spacing w:lineRule="auto" w:line="360" w:before="57" w:after="57"/>
              <w:jc w:val="left"/>
              <w:rPr/>
            </w:pPr>
            <w:r>
              <w:rPr>
                <w:rFonts w:cs="Arial" w:ascii="Arial" w:hAnsi="Arial"/>
                <w:color w:val="000000"/>
              </w:rPr>
              <w:t xml:space="preserve">a) Enlonadores por turno – </w:t>
            </w:r>
            <w:r>
              <w:rPr>
                <w:rStyle w:val="Strong"/>
                <w:rFonts w:cs="Arial" w:ascii="Arial" w:hAnsi="Arial"/>
                <w:color w:val="000000"/>
              </w:rPr>
              <w:t>3</w:t>
            </w:r>
          </w:p>
          <w:p>
            <w:pPr>
              <w:pStyle w:val="BodyText"/>
              <w:spacing w:lineRule="auto" w:line="360" w:before="57" w:after="57"/>
              <w:jc w:val="left"/>
              <w:rPr/>
            </w:pPr>
            <w:r>
              <w:rPr>
                <w:rFonts w:cs="Arial" w:ascii="Arial" w:hAnsi="Arial"/>
                <w:color w:val="000000"/>
              </w:rPr>
              <w:t xml:space="preserve">b) Operários para conservação, manutenção e limpeza por turno – </w:t>
            </w:r>
            <w:r>
              <w:rPr>
                <w:rStyle w:val="Strong"/>
                <w:rFonts w:cs="Arial" w:ascii="Arial" w:hAnsi="Arial"/>
                <w:color w:val="000000"/>
              </w:rPr>
              <w:t>8</w:t>
            </w:r>
            <w:r>
              <w:rPr>
                <w:rFonts w:cs="Arial" w:ascii="Arial" w:hAnsi="Arial"/>
                <w:color w:val="000000"/>
              </w:rPr>
              <w:br/>
              <w:t xml:space="preserve">c) Encarregados por turno – </w:t>
            </w:r>
            <w:r>
              <w:rPr>
                <w:rStyle w:val="Strong"/>
                <w:rFonts w:cs="Arial" w:ascii="Arial" w:hAnsi="Arial"/>
                <w:color w:val="000000"/>
              </w:rPr>
              <w:t>2</w:t>
            </w:r>
            <w:r>
              <w:rPr>
                <w:rFonts w:cs="Arial" w:ascii="Arial" w:hAnsi="Arial"/>
                <w:color w:val="000000"/>
              </w:rPr>
              <w:br/>
              <w:t xml:space="preserve">d) Gerente operacional – </w:t>
            </w:r>
            <w:r>
              <w:rPr>
                <w:rStyle w:val="Strong"/>
                <w:rFonts w:cs="Arial" w:ascii="Arial" w:hAnsi="Arial"/>
                <w:color w:val="000000"/>
              </w:rPr>
              <w:t>1</w:t>
            </w:r>
            <w:r>
              <w:rPr>
                <w:rFonts w:cs="Arial" w:ascii="Arial" w:hAnsi="Arial"/>
                <w:color w:val="000000"/>
              </w:rPr>
              <w:br/>
              <w:t xml:space="preserve">e) Operadores de máquina (retroescavadeira) por turno – </w:t>
            </w:r>
            <w:r>
              <w:rPr>
                <w:rStyle w:val="Strong"/>
                <w:rFonts w:cs="Arial" w:ascii="Arial" w:hAnsi="Arial"/>
                <w:color w:val="000000"/>
              </w:rPr>
              <w:t>3</w:t>
            </w:r>
            <w:r>
              <w:rPr>
                <w:rFonts w:cs="Arial" w:ascii="Arial" w:hAnsi="Arial"/>
                <w:color w:val="000000"/>
              </w:rPr>
              <w:br/>
              <w:t xml:space="preserve">f) Escreventes – </w:t>
            </w:r>
            <w:r>
              <w:rPr>
                <w:rStyle w:val="Strong"/>
                <w:rFonts w:cs="Arial" w:ascii="Arial" w:hAnsi="Arial"/>
                <w:color w:val="000000"/>
              </w:rPr>
              <w:t>2</w:t>
            </w:r>
            <w:r>
              <w:rPr>
                <w:rFonts w:cs="Arial" w:ascii="Arial" w:hAnsi="Arial"/>
                <w:color w:val="000000"/>
              </w:rPr>
              <w:br/>
              <w:t xml:space="preserve">g) Vigilância armada 24h/dia, todos os dias da semana – </w:t>
            </w:r>
            <w:r>
              <w:rPr>
                <w:rStyle w:val="Strong"/>
                <w:rFonts w:cs="Arial" w:ascii="Arial" w:hAnsi="Arial"/>
                <w:color w:val="000000"/>
              </w:rPr>
              <w:t>3 postos</w:t>
            </w:r>
          </w:p>
          <w:p>
            <w:pPr>
              <w:pStyle w:val="BodyText"/>
              <w:spacing w:lineRule="auto" w:line="360" w:before="57" w:after="57"/>
              <w:jc w:val="left"/>
              <w:rPr/>
            </w:pPr>
            <w:r>
              <w:rPr>
                <w:rStyle w:val="Strong"/>
                <w:rFonts w:cs="Arial" w:ascii="Arial" w:hAnsi="Arial"/>
                <w:b w:val="false"/>
                <w:bCs w:val="false"/>
                <w:color w:val="000000"/>
              </w:rPr>
              <w:t>h) Motorista por veículo -</w:t>
            </w:r>
            <w:r>
              <w:rPr>
                <w:rStyle w:val="Strong"/>
                <w:rFonts w:cs="Arial" w:ascii="Arial" w:hAnsi="Arial"/>
                <w:color w:val="000000"/>
              </w:rPr>
              <w:t xml:space="preserve"> 1</w:t>
            </w:r>
          </w:p>
          <w:p>
            <w:pPr>
              <w:pStyle w:val="Heading2"/>
              <w:widowControl/>
              <w:suppressAutoHyphens w:val="true"/>
              <w:spacing w:lineRule="auto" w:line="360" w:before="57" w:after="57"/>
              <w:jc w:val="center"/>
              <w:rPr>
                <w:rStyle w:val="Strong"/>
                <w:rFonts w:ascii="Arial" w:hAnsi="Arial" w:eastAsia="Calibri" w:cs="Arial"/>
                <w:b/>
                <w:bCs/>
                <w:color w:val="000000"/>
                <w:sz w:val="22"/>
                <w:szCs w:val="22"/>
              </w:rPr>
            </w:pPr>
            <w:r>
              <w:rPr>
                <w:rFonts w:eastAsia="Calibri" w:cs="Arial" w:ascii="Arial" w:hAnsi="Arial"/>
                <w:b/>
                <w:bCs/>
                <w:color w:val="000000"/>
                <w:sz w:val="22"/>
                <w:szCs w:val="22"/>
              </w:rPr>
            </w:r>
          </w:p>
          <w:p>
            <w:pPr>
              <w:pStyle w:val="Heading2"/>
              <w:widowControl/>
              <w:suppressAutoHyphens w:val="true"/>
              <w:spacing w:lineRule="auto" w:line="360" w:before="57" w:after="57"/>
              <w:jc w:val="center"/>
              <w:rPr/>
            </w:pPr>
            <w:r>
              <w:rPr>
                <w:rStyle w:val="Strong"/>
                <w:rFonts w:eastAsia="Calibri" w:cs="Arial" w:ascii="Arial" w:hAnsi="Arial"/>
                <w:b/>
                <w:bCs/>
                <w:color w:val="000000"/>
                <w:sz w:val="22"/>
                <w:szCs w:val="22"/>
              </w:rPr>
              <w:t>Uniformes e Equipamentos de Proteção Individual (EPIs)</w:t>
            </w:r>
          </w:p>
          <w:p>
            <w:pPr>
              <w:pStyle w:val="BodyText"/>
              <w:spacing w:lineRule="auto" w:line="360" w:before="57" w:after="57"/>
              <w:jc w:val="both"/>
              <w:rPr/>
            </w:pPr>
            <w:r>
              <w:rPr>
                <w:rFonts w:cs="Arial" w:ascii="Arial" w:hAnsi="Arial"/>
                <w:color w:val="000000"/>
              </w:rPr>
              <w:t>A contratada deverá fornecer gratuitamente aos colaboradores, no mínimo, os seguintes itens:</w:t>
            </w:r>
          </w:p>
          <w:p>
            <w:pPr>
              <w:pStyle w:val="BodyText"/>
              <w:numPr>
                <w:ilvl w:val="0"/>
                <w:numId w:val="13"/>
              </w:numPr>
              <w:tabs>
                <w:tab w:val="clear" w:pos="708"/>
                <w:tab w:val="left" w:pos="0" w:leader="none"/>
              </w:tabs>
              <w:spacing w:lineRule="auto" w:line="360" w:before="57" w:after="57"/>
              <w:ind w:hanging="283" w:left="709"/>
              <w:jc w:val="both"/>
              <w:rPr/>
            </w:pPr>
            <w:r>
              <w:rPr>
                <w:rFonts w:cs="Arial" w:ascii="Arial" w:hAnsi="Arial"/>
                <w:color w:val="000000"/>
              </w:rPr>
              <w:t>camisetas em malha de algodão;</w:t>
            </w:r>
          </w:p>
          <w:p>
            <w:pPr>
              <w:pStyle w:val="BodyText"/>
              <w:numPr>
                <w:ilvl w:val="0"/>
                <w:numId w:val="13"/>
              </w:numPr>
              <w:tabs>
                <w:tab w:val="clear" w:pos="708"/>
                <w:tab w:val="left" w:pos="0" w:leader="none"/>
              </w:tabs>
              <w:spacing w:lineRule="auto" w:line="360" w:before="57" w:after="57"/>
              <w:ind w:hanging="283" w:left="709"/>
              <w:jc w:val="both"/>
              <w:rPr/>
            </w:pPr>
            <w:r>
              <w:rPr>
                <w:rFonts w:cs="Arial" w:ascii="Arial" w:hAnsi="Arial"/>
                <w:color w:val="000000"/>
              </w:rPr>
              <w:t>jaquetas;</w:t>
            </w:r>
          </w:p>
          <w:p>
            <w:pPr>
              <w:pStyle w:val="BodyText"/>
              <w:numPr>
                <w:ilvl w:val="0"/>
                <w:numId w:val="13"/>
              </w:numPr>
              <w:tabs>
                <w:tab w:val="clear" w:pos="708"/>
                <w:tab w:val="left" w:pos="0" w:leader="none"/>
              </w:tabs>
              <w:spacing w:lineRule="auto" w:line="360" w:before="57" w:after="57"/>
              <w:ind w:hanging="283" w:left="709"/>
              <w:jc w:val="both"/>
              <w:rPr/>
            </w:pPr>
            <w:r>
              <w:rPr>
                <w:rFonts w:cs="Arial" w:ascii="Arial" w:hAnsi="Arial"/>
                <w:color w:val="000000"/>
              </w:rPr>
              <w:t>calças;</w:t>
            </w:r>
          </w:p>
          <w:p>
            <w:pPr>
              <w:pStyle w:val="BodyText"/>
              <w:numPr>
                <w:ilvl w:val="0"/>
                <w:numId w:val="13"/>
              </w:numPr>
              <w:tabs>
                <w:tab w:val="clear" w:pos="708"/>
                <w:tab w:val="left" w:pos="0" w:leader="none"/>
              </w:tabs>
              <w:spacing w:lineRule="auto" w:line="360" w:before="57" w:after="57"/>
              <w:ind w:hanging="283" w:left="709"/>
              <w:jc w:val="both"/>
              <w:rPr/>
            </w:pPr>
            <w:r>
              <w:rPr>
                <w:rFonts w:cs="Arial" w:ascii="Arial" w:hAnsi="Arial"/>
                <w:color w:val="000000"/>
              </w:rPr>
              <w:t>calçados de segurança;</w:t>
            </w:r>
          </w:p>
          <w:p>
            <w:pPr>
              <w:pStyle w:val="BodyText"/>
              <w:numPr>
                <w:ilvl w:val="0"/>
                <w:numId w:val="13"/>
              </w:numPr>
              <w:tabs>
                <w:tab w:val="clear" w:pos="708"/>
                <w:tab w:val="left" w:pos="0" w:leader="none"/>
              </w:tabs>
              <w:spacing w:lineRule="auto" w:line="360" w:before="57" w:after="57"/>
              <w:ind w:hanging="283" w:left="709"/>
              <w:jc w:val="both"/>
              <w:rPr/>
            </w:pPr>
            <w:r>
              <w:rPr>
                <w:rFonts w:cs="Arial" w:ascii="Arial" w:hAnsi="Arial"/>
                <w:color w:val="000000"/>
              </w:rPr>
              <w:t>luvas de proteção (algodão com revestimento em látex ou similar, impermeáveis, maleáveis e resistentes a cortes e perfurações);</w:t>
            </w:r>
          </w:p>
          <w:p>
            <w:pPr>
              <w:pStyle w:val="BodyText"/>
              <w:numPr>
                <w:ilvl w:val="0"/>
                <w:numId w:val="13"/>
              </w:numPr>
              <w:tabs>
                <w:tab w:val="clear" w:pos="708"/>
                <w:tab w:val="left" w:pos="0" w:leader="none"/>
              </w:tabs>
              <w:spacing w:lineRule="auto" w:line="360" w:before="57" w:after="57"/>
              <w:ind w:hanging="283" w:left="709"/>
              <w:jc w:val="both"/>
              <w:rPr/>
            </w:pPr>
            <w:r>
              <w:rPr>
                <w:rFonts w:cs="Arial" w:ascii="Arial" w:hAnsi="Arial"/>
                <w:color w:val="000000"/>
              </w:rPr>
              <w:t>demais EPIs exigidos pela legislação aplicável às atividades desenvolvidas.</w:t>
            </w:r>
          </w:p>
          <w:p>
            <w:pPr>
              <w:pStyle w:val="BodyText"/>
              <w:widowControl/>
              <w:suppressAutoHyphens w:val="true"/>
              <w:spacing w:lineRule="auto" w:line="360" w:before="57" w:after="57"/>
              <w:jc w:val="both"/>
              <w:rPr>
                <w:rFonts w:ascii="Arial" w:hAnsi="Arial" w:eastAsia="Calibri" w:cs="Arial"/>
                <w:b w:val="false"/>
                <w:bCs w:val="false"/>
                <w:color w:val="000000"/>
              </w:rPr>
            </w:pPr>
            <w:r>
              <w:rPr>
                <w:rFonts w:eastAsia="Calibri" w:cs="Arial" w:ascii="Arial" w:hAnsi="Arial"/>
                <w:b w:val="false"/>
                <w:bCs w:val="false"/>
                <w:color w:val="000000"/>
              </w:rPr>
            </w:r>
          </w:p>
          <w:p>
            <w:pPr>
              <w:pStyle w:val="Heading2"/>
              <w:widowControl/>
              <w:suppressAutoHyphens w:val="true"/>
              <w:spacing w:lineRule="auto" w:line="360" w:before="57" w:after="57"/>
              <w:jc w:val="center"/>
              <w:rPr/>
            </w:pPr>
            <w:r>
              <w:rPr>
                <w:rStyle w:val="Strong"/>
                <w:rFonts w:eastAsia="Calibri" w:cs="Arial" w:ascii="Arial" w:hAnsi="Arial"/>
                <w:b/>
                <w:bCs/>
                <w:color w:val="000000"/>
                <w:sz w:val="22"/>
                <w:szCs w:val="22"/>
              </w:rPr>
              <w:t>Equipamentos Complementares</w:t>
            </w:r>
          </w:p>
          <w:p>
            <w:pPr>
              <w:pStyle w:val="BodyText"/>
              <w:spacing w:lineRule="auto" w:line="360" w:before="57" w:after="57"/>
              <w:jc w:val="both"/>
              <w:rPr/>
            </w:pPr>
            <w:r>
              <w:rPr>
                <w:rFonts w:cs="Arial" w:ascii="Arial" w:hAnsi="Arial"/>
                <w:color w:val="000000"/>
              </w:rPr>
              <w:t xml:space="preserve">A contratada deverá prever </w:t>
            </w:r>
            <w:r>
              <w:rPr>
                <w:rStyle w:val="Strong"/>
                <w:rFonts w:cs="Arial" w:ascii="Arial" w:hAnsi="Arial"/>
                <w:color w:val="000000"/>
              </w:rPr>
              <w:t>2 (duas)</w:t>
            </w:r>
            <w:r>
              <w:rPr>
                <w:rFonts w:cs="Arial" w:ascii="Arial" w:hAnsi="Arial"/>
                <w:color w:val="000000"/>
              </w:rPr>
              <w:t xml:space="preserve"> retroescavadeiras e/ou escavadeiras hidráulicas para o carregamento dos resíduos dispostos na plataforma de descarga junto às Unidades de Carga (UC), para situações em que a descarga direta por gravidade não seja possível.</w:t>
            </w:r>
          </w:p>
          <w:p>
            <w:pPr>
              <w:pStyle w:val="BodyText"/>
              <w:widowControl/>
              <w:suppressAutoHyphens w:val="true"/>
              <w:spacing w:lineRule="auto" w:line="360" w:before="57" w:after="57"/>
              <w:jc w:val="both"/>
              <w:rPr>
                <w:rFonts w:ascii="Arial" w:hAnsi="Arial" w:eastAsia="Calibri" w:cs="Arial"/>
                <w:b w:val="false"/>
                <w:bCs w:val="false"/>
                <w:color w:val="000000"/>
              </w:rPr>
            </w:pPr>
            <w:r>
              <w:rPr>
                <w:rFonts w:eastAsia="Calibri" w:cs="Arial" w:ascii="Arial" w:hAnsi="Arial"/>
                <w:b w:val="false"/>
                <w:bCs w:val="false"/>
                <w:color w:val="000000"/>
              </w:rPr>
            </w:r>
          </w:p>
          <w:p>
            <w:pPr>
              <w:pStyle w:val="Heading1"/>
              <w:widowControl/>
              <w:suppressAutoHyphens w:val="true"/>
              <w:spacing w:lineRule="auto" w:line="360" w:before="57" w:after="57"/>
              <w:jc w:val="center"/>
              <w:rPr/>
            </w:pPr>
            <w:r>
              <w:rPr>
                <w:rStyle w:val="Strong"/>
                <w:rFonts w:eastAsia="Calibri" w:cs="Arial" w:ascii="Arial" w:hAnsi="Arial"/>
                <w:b/>
                <w:bCs/>
                <w:kern w:val="2"/>
                <w:sz w:val="22"/>
                <w:szCs w:val="22"/>
                <w:lang w:val="pt-BR" w:eastAsia="en-US" w:bidi="ar-SA"/>
              </w:rPr>
              <w:t>TRANSPORTE ATÉ A DISPOSIÇÃO FINAL EM ATERRO SANITÁRIO</w:t>
            </w:r>
          </w:p>
          <w:p>
            <w:pPr>
              <w:pStyle w:val="BodyText"/>
              <w:spacing w:lineRule="auto" w:line="360" w:before="57" w:after="57"/>
              <w:jc w:val="both"/>
              <w:rPr/>
            </w:pPr>
            <w:r>
              <w:rPr>
                <w:rFonts w:cs="Arial" w:ascii="Arial" w:hAnsi="Arial"/>
              </w:rPr>
              <w:t xml:space="preserve">A operação do transporte dos resíduos entre a ETP e o aterro sanitário deve ser realizada por empresa especializada contratada </w:t>
            </w:r>
            <w:r>
              <w:rPr>
                <w:rFonts w:cs="Arial" w:ascii="Arial" w:hAnsi="Arial"/>
                <w:b w:val="false"/>
                <w:bCs w:val="false"/>
              </w:rPr>
              <w:t>considerando a perspectiva de:</w:t>
            </w:r>
          </w:p>
          <w:p>
            <w:pPr>
              <w:pStyle w:val="BodyText"/>
              <w:numPr>
                <w:ilvl w:val="0"/>
                <w:numId w:val="6"/>
              </w:numPr>
              <w:tabs>
                <w:tab w:val="clear" w:pos="708"/>
                <w:tab w:val="left" w:pos="0" w:leader="none"/>
              </w:tabs>
              <w:spacing w:lineRule="auto" w:line="360" w:before="57" w:after="57"/>
              <w:ind w:hanging="283" w:left="709"/>
              <w:jc w:val="both"/>
              <w:rPr/>
            </w:pPr>
            <w:r>
              <w:rPr>
                <w:rFonts w:cs="Arial" w:ascii="Arial" w:hAnsi="Arial"/>
                <w:b w:val="false"/>
                <w:bCs w:val="false"/>
                <w:color w:val="000000"/>
              </w:rPr>
              <w:t xml:space="preserve">necessidade de frota com </w:t>
            </w:r>
            <w:r>
              <w:rPr>
                <w:rStyle w:val="Strong"/>
                <w:rFonts w:cs="Arial" w:ascii="Arial" w:hAnsi="Arial"/>
                <w:b w:val="false"/>
                <w:bCs w:val="false"/>
                <w:color w:val="000000"/>
              </w:rPr>
              <w:t>mínimo de 09 (nove) carretas</w:t>
            </w:r>
            <w:r>
              <w:rPr>
                <w:rFonts w:cs="Arial" w:ascii="Arial" w:hAnsi="Arial"/>
                <w:b w:val="false"/>
                <w:bCs w:val="false"/>
                <w:color w:val="000000"/>
              </w:rPr>
              <w:t>, mais reserva;</w:t>
            </w:r>
          </w:p>
          <w:p>
            <w:pPr>
              <w:pStyle w:val="BodyText"/>
              <w:numPr>
                <w:ilvl w:val="0"/>
                <w:numId w:val="6"/>
              </w:numPr>
              <w:tabs>
                <w:tab w:val="clear" w:pos="708"/>
                <w:tab w:val="left" w:pos="0" w:leader="none"/>
              </w:tabs>
              <w:spacing w:lineRule="auto" w:line="360" w:before="57" w:after="57"/>
              <w:ind w:hanging="283" w:left="709"/>
              <w:jc w:val="both"/>
              <w:rPr/>
            </w:pPr>
            <w:r>
              <w:rPr>
                <w:rFonts w:cs="Arial" w:ascii="Arial" w:hAnsi="Arial"/>
                <w:b w:val="false"/>
                <w:bCs w:val="false"/>
              </w:rPr>
              <w:t xml:space="preserve">veículos especiais, munidos com </w:t>
            </w:r>
            <w:r>
              <w:rPr>
                <w:rStyle w:val="Strong"/>
                <w:rFonts w:cs="Arial" w:ascii="Arial" w:hAnsi="Arial"/>
                <w:b w:val="false"/>
                <w:bCs w:val="false"/>
              </w:rPr>
              <w:t>piso móvel</w:t>
            </w:r>
            <w:r>
              <w:rPr>
                <w:rFonts w:cs="Arial" w:ascii="Arial" w:hAnsi="Arial"/>
                <w:b w:val="false"/>
                <w:bCs w:val="false"/>
              </w:rPr>
              <w:t>, de manutenção intensiva;</w:t>
            </w:r>
          </w:p>
          <w:p>
            <w:pPr>
              <w:pStyle w:val="BodyText"/>
              <w:numPr>
                <w:ilvl w:val="0"/>
                <w:numId w:val="6"/>
              </w:numPr>
              <w:tabs>
                <w:tab w:val="clear" w:pos="708"/>
                <w:tab w:val="left" w:pos="0" w:leader="none"/>
              </w:tabs>
              <w:spacing w:lineRule="auto" w:line="360" w:before="57" w:after="57"/>
              <w:ind w:hanging="283" w:left="709"/>
              <w:jc w:val="both"/>
              <w:rPr/>
            </w:pPr>
            <w:r>
              <w:rPr>
                <w:rFonts w:cs="Arial" w:ascii="Arial" w:hAnsi="Arial"/>
                <w:b w:val="false"/>
                <w:bCs w:val="false"/>
              </w:rPr>
              <w:t>motoristas qualificados;</w:t>
            </w:r>
          </w:p>
          <w:p>
            <w:pPr>
              <w:pStyle w:val="BodyText"/>
              <w:numPr>
                <w:ilvl w:val="0"/>
                <w:numId w:val="6"/>
              </w:numPr>
              <w:tabs>
                <w:tab w:val="clear" w:pos="708"/>
                <w:tab w:val="left" w:pos="0" w:leader="none"/>
              </w:tabs>
              <w:spacing w:lineRule="auto" w:line="360" w:before="57" w:after="57"/>
              <w:ind w:hanging="283" w:left="709"/>
              <w:jc w:val="both"/>
              <w:rPr/>
            </w:pPr>
            <w:r>
              <w:rPr>
                <w:rFonts w:cs="Arial" w:ascii="Arial" w:hAnsi="Arial"/>
                <w:b w:val="false"/>
                <w:bCs w:val="false"/>
              </w:rPr>
              <w:t xml:space="preserve">capacidade entre </w:t>
            </w:r>
            <w:r>
              <w:rPr>
                <w:rStyle w:val="Strong"/>
                <w:rFonts w:cs="Arial" w:ascii="Arial" w:hAnsi="Arial"/>
                <w:b w:val="false"/>
                <w:bCs w:val="false"/>
              </w:rPr>
              <w:t>80 m³ e 100 m³</w:t>
            </w:r>
            <w:r>
              <w:rPr>
                <w:rFonts w:cs="Arial" w:ascii="Arial" w:hAnsi="Arial"/>
                <w:b w:val="false"/>
                <w:bCs w:val="false"/>
              </w:rPr>
              <w:t xml:space="preserve"> por unidade de carga;</w:t>
            </w:r>
          </w:p>
          <w:p>
            <w:pPr>
              <w:pStyle w:val="BodyText"/>
              <w:widowControl/>
              <w:numPr>
                <w:ilvl w:val="0"/>
                <w:numId w:val="6"/>
              </w:numPr>
              <w:tabs>
                <w:tab w:val="clear" w:pos="708"/>
                <w:tab w:val="left" w:pos="0" w:leader="none"/>
              </w:tabs>
              <w:suppressAutoHyphens w:val="true"/>
              <w:bidi w:val="0"/>
              <w:spacing w:lineRule="auto" w:line="360" w:before="57" w:after="57"/>
              <w:ind w:hanging="283" w:left="709"/>
              <w:jc w:val="both"/>
              <w:rPr/>
            </w:pPr>
            <w:r>
              <w:rPr>
                <w:rFonts w:eastAsia="Calibri" w:cs="Arial" w:ascii="Arial" w:hAnsi="Arial" w:eastAsiaTheme="minorHAnsi"/>
                <w:b w:val="false"/>
                <w:bCs w:val="false"/>
                <w:color w:val="000000"/>
                <w:kern w:val="2"/>
                <w:sz w:val="22"/>
                <w:szCs w:val="22"/>
                <w:shd w:fill="FFFFFF" w:val="clear"/>
                <w:lang w:val="pt-BR" w:eastAsia="en-US" w:bidi="ar-SA"/>
                <w14:ligatures w14:val="standardContextual"/>
              </w:rPr>
              <w:t xml:space="preserve">custo de aquisição aproximado de  </w:t>
            </w:r>
            <w:r>
              <w:rPr>
                <w:rStyle w:val="Strong"/>
                <w:rFonts w:eastAsia="Calibri" w:cs="Arial" w:ascii="Arial" w:hAnsi="Arial" w:eastAsiaTheme="minorHAnsi"/>
                <w:b w:val="false"/>
                <w:bCs w:val="false"/>
                <w:color w:val="000000"/>
                <w:kern w:val="2"/>
                <w:sz w:val="22"/>
                <w:szCs w:val="22"/>
                <w:shd w:fill="FFFFFF" w:val="clear"/>
                <w:lang w:val="pt-BR" w:eastAsia="en-US" w:bidi="ar-SA"/>
                <w14:ligatures w14:val="standardContextual"/>
              </w:rPr>
              <w:t>R$ 895 mil para unidade de tração e R$ 398 mil para unidade de carga.</w:t>
            </w:r>
          </w:p>
          <w:p>
            <w:pPr>
              <w:pStyle w:val="BodyText"/>
              <w:widowControl/>
              <w:numPr>
                <w:ilvl w:val="0"/>
                <w:numId w:val="0"/>
              </w:numPr>
              <w:suppressAutoHyphens w:val="true"/>
              <w:spacing w:lineRule="auto" w:line="360" w:before="57" w:after="57"/>
              <w:ind w:hanging="0" w:left="709"/>
              <w:jc w:val="center"/>
              <w:rPr>
                <w:rFonts w:ascii="Arial" w:hAnsi="Arial" w:eastAsia="Calibri" w:cs="Arial"/>
                <w:b/>
                <w:bCs/>
                <w:color w:val="000000"/>
                <w:kern w:val="2"/>
                <w:sz w:val="22"/>
                <w:szCs w:val="22"/>
                <w:lang w:val="pt-BR" w:eastAsia="en-US" w:bidi="ar-SA"/>
              </w:rPr>
            </w:pPr>
            <w:r>
              <w:rPr>
                <w:rFonts w:eastAsia="Calibri" w:cs="Arial" w:ascii="Arial" w:hAnsi="Arial"/>
                <w:b/>
                <w:bCs/>
                <w:color w:val="000000"/>
                <w:kern w:val="2"/>
                <w:sz w:val="22"/>
                <w:szCs w:val="22"/>
                <w:lang w:val="pt-BR" w:eastAsia="en-US" w:bidi="ar-SA"/>
              </w:rPr>
            </w:r>
          </w:p>
          <w:p>
            <w:pPr>
              <w:pStyle w:val="BodyText"/>
              <w:widowControl/>
              <w:numPr>
                <w:ilvl w:val="0"/>
                <w:numId w:val="0"/>
              </w:numPr>
              <w:suppressAutoHyphens w:val="true"/>
              <w:spacing w:lineRule="auto" w:line="360" w:before="57" w:after="57"/>
              <w:ind w:hanging="0" w:left="709"/>
              <w:jc w:val="center"/>
              <w:rPr/>
            </w:pPr>
            <w:r>
              <w:rPr>
                <w:rFonts w:eastAsia="Calibri" w:cs="Arial" w:ascii="Arial" w:hAnsi="Arial"/>
                <w:b/>
                <w:bCs/>
                <w:color w:val="000000"/>
                <w:kern w:val="2"/>
                <w:sz w:val="22"/>
                <w:szCs w:val="22"/>
                <w:lang w:val="pt-BR" w:eastAsia="en-US" w:bidi="ar-SA"/>
              </w:rPr>
              <w:t xml:space="preserve">Atividades mínimas diárias de transporte </w:t>
            </w:r>
            <w:r>
              <w:rPr>
                <w:rStyle w:val="Strong"/>
                <w:rFonts w:eastAsia="Calibri" w:cs="Arial" w:ascii="Arial" w:hAnsi="Arial"/>
                <w:b/>
                <w:bCs/>
                <w:color w:val="000000"/>
                <w:kern w:val="2"/>
                <w:sz w:val="22"/>
                <w:szCs w:val="22"/>
                <w:lang w:val="pt-BR" w:eastAsia="en-US" w:bidi="ar-SA"/>
              </w:rPr>
              <w:t>até a destinação final em aterro sanitário</w:t>
            </w:r>
          </w:p>
          <w:p>
            <w:pPr>
              <w:pStyle w:val="BodyText"/>
              <w:widowControl/>
              <w:suppressAutoHyphens w:val="true"/>
              <w:spacing w:lineRule="auto" w:line="360" w:before="57" w:after="57"/>
              <w:jc w:val="both"/>
              <w:rPr/>
            </w:pPr>
            <w:r>
              <w:rPr>
                <w:rFonts w:eastAsia="Calibri" w:cs="Arial" w:ascii="Arial" w:hAnsi="Arial"/>
                <w:b w:val="false"/>
                <w:bCs w:val="false"/>
                <w:color w:val="000000"/>
              </w:rPr>
              <w:t>a) Transportar os resíduos até a Unidade de Disposição Final, seguindo trajeto e tempo médio diário informado pela Contratada e aprovados pelo SANEP observando a manutenção preventiva e corretiva dos veículos para reduzir emissões, v</w:t>
            </w:r>
            <w:r>
              <w:rPr>
                <w:rFonts w:cs="Arial" w:ascii="Arial" w:hAnsi="Arial"/>
                <w:color w:val="000000"/>
              </w:rPr>
              <w:t>edação adequada da carga evitando dispersão de resíduos seguir todos os p</w:t>
            </w:r>
            <w:r>
              <w:rPr>
                <w:rFonts w:eastAsia="Calibri" w:cs="Arial" w:ascii="Arial" w:hAnsi="Arial"/>
                <w:b w:val="false"/>
                <w:bCs w:val="false"/>
                <w:color w:val="000000"/>
              </w:rPr>
              <w:t>rocedimentos de segurança ambiental durante todas as etapas do transporte;</w:t>
            </w:r>
          </w:p>
          <w:p>
            <w:pPr>
              <w:pStyle w:val="BodyText"/>
              <w:widowControl/>
              <w:suppressAutoHyphens w:val="true"/>
              <w:spacing w:lineRule="auto" w:line="360" w:before="57" w:after="57"/>
              <w:jc w:val="both"/>
              <w:rPr/>
            </w:pPr>
            <w:r>
              <w:rPr>
                <w:rFonts w:eastAsia="Calibri" w:cs="Arial" w:ascii="Arial" w:hAnsi="Arial"/>
                <w:b w:val="false"/>
                <w:bCs w:val="false"/>
                <w:color w:val="000000"/>
              </w:rPr>
              <w:t>b) Descarregar os resíduos na frente de serviço do Aterro conforme orientação da equipe do local;</w:t>
            </w:r>
          </w:p>
          <w:p>
            <w:pPr>
              <w:pStyle w:val="BodyText"/>
              <w:widowControl/>
              <w:suppressAutoHyphens w:val="true"/>
              <w:spacing w:lineRule="auto" w:line="360" w:before="57" w:after="57"/>
              <w:jc w:val="both"/>
              <w:rPr/>
            </w:pPr>
            <w:r>
              <w:rPr>
                <w:rFonts w:eastAsia="Calibri" w:cs="Arial" w:ascii="Arial" w:hAnsi="Arial"/>
                <w:b w:val="false"/>
                <w:bCs w:val="false"/>
                <w:color w:val="000000"/>
              </w:rPr>
              <w:t>c) Retornar as Unidades de Transporte à ETP para nova carga conforme intervalo operacional indicado pela Contratada.</w:t>
            </w:r>
          </w:p>
          <w:p>
            <w:pPr>
              <w:pStyle w:val="BodyText"/>
              <w:numPr>
                <w:ilvl w:val="0"/>
                <w:numId w:val="0"/>
              </w:numPr>
              <w:tabs>
                <w:tab w:val="clear" w:pos="708"/>
                <w:tab w:val="left" w:pos="0" w:leader="none"/>
              </w:tabs>
              <w:spacing w:lineRule="auto" w:line="360" w:before="57" w:after="57"/>
              <w:ind w:hanging="0" w:left="709"/>
              <w:jc w:val="both"/>
              <w:rPr>
                <w:rFonts w:ascii="Arial" w:hAnsi="Arial" w:cs="Arial"/>
                <w:color w:val="000000"/>
              </w:rPr>
            </w:pPr>
            <w:r>
              <w:rPr>
                <w:rFonts w:cs="Arial" w:ascii="Arial" w:hAnsi="Arial"/>
                <w:color w:val="000000"/>
              </w:rPr>
            </w:r>
          </w:p>
          <w:p>
            <w:pPr>
              <w:pStyle w:val="BodyText"/>
              <w:widowControl/>
              <w:suppressAutoHyphens w:val="true"/>
              <w:spacing w:lineRule="auto" w:line="360" w:before="57" w:after="57"/>
              <w:jc w:val="center"/>
              <w:rPr/>
            </w:pPr>
            <w:r>
              <w:rPr>
                <w:rFonts w:eastAsia="Calibri" w:cs="Arial" w:ascii="Arial" w:hAnsi="Arial"/>
                <w:b/>
                <w:bCs/>
                <w:color w:val="000000"/>
              </w:rPr>
              <w:t>Trajeto</w:t>
            </w:r>
          </w:p>
          <w:p>
            <w:pPr>
              <w:pStyle w:val="BodyText"/>
              <w:widowControl/>
              <w:suppressAutoHyphens w:val="true"/>
              <w:spacing w:lineRule="auto" w:line="360" w:before="57" w:after="57"/>
              <w:jc w:val="both"/>
              <w:rPr/>
            </w:pPr>
            <w:r>
              <w:rPr>
                <w:rFonts w:eastAsia="Calibri" w:cs="Arial" w:ascii="Arial" w:hAnsi="Arial"/>
                <w:b w:val="false"/>
                <w:bCs w:val="false"/>
                <w:color w:val="000000"/>
              </w:rPr>
              <w:t>O trajeto entre a Estação de Transbordo e o Aterro Sanitário deverá corresponder ao menor percurso possível, utilizando vias em boas condições de trafegabilidade, compatíveis com o fluxo de veículos pesados exigido pela operação.</w:t>
            </w:r>
          </w:p>
          <w:p>
            <w:pPr>
              <w:pStyle w:val="BodyText"/>
              <w:widowControl/>
              <w:suppressAutoHyphens w:val="true"/>
              <w:bidi w:val="0"/>
              <w:spacing w:lineRule="auto" w:line="360" w:before="57" w:after="57"/>
              <w:jc w:val="both"/>
              <w:rPr/>
            </w:pPr>
            <w:r>
              <w:rPr>
                <w:rFonts w:eastAsia="Calibri" w:cs="Arial" w:ascii="Arial" w:hAnsi="Arial"/>
                <w:b w:val="false"/>
                <w:bCs w:val="false"/>
                <w:color w:val="000000"/>
                <w:kern w:val="2"/>
                <w:sz w:val="22"/>
                <w:szCs w:val="22"/>
                <w:lang w:val="pt-BR" w:eastAsia="en-US" w:bidi="ar-SA"/>
              </w:rPr>
              <w:t xml:space="preserve">No itinerário a ser apresentado pela licitante deverá constar todas as vias de tráfego a serem utilizadas para o transporte dos resíduos da Estação de Transbordo até o Aterro Sanitário indicado, incluindo o percurso de ida e volta, com as respectivas quilometragens. O ciclo deverá ser apresentado de forma completa e estruturado conforme o </w:t>
            </w:r>
            <w:r>
              <w:rPr>
                <w:rStyle w:val="Strong"/>
                <w:rFonts w:eastAsia="Calibri" w:cs="Arial" w:ascii="Arial" w:hAnsi="Arial"/>
                <w:b w:val="false"/>
                <w:bCs w:val="false"/>
                <w:color w:val="000000"/>
                <w:kern w:val="2"/>
                <w:sz w:val="22"/>
                <w:szCs w:val="22"/>
                <w:lang w:val="pt-BR" w:eastAsia="en-US" w:bidi="ar-SA"/>
              </w:rPr>
              <w:t>Modelo de Tabela abaixo.</w:t>
            </w:r>
          </w:p>
          <w:p>
            <w:pPr>
              <w:pStyle w:val="BodyText"/>
              <w:widowControl/>
              <w:suppressAutoHyphens w:val="true"/>
              <w:bidi w:val="0"/>
              <w:spacing w:lineRule="auto" w:line="240" w:before="57" w:after="57"/>
              <w:jc w:val="center"/>
              <w:rPr/>
            </w:pPr>
            <w:r>
              <w:rPr>
                <w:rStyle w:val="Strong"/>
                <w:rFonts w:eastAsia="Calibri" w:cs="Arial" w:ascii="Arial" w:hAnsi="Arial"/>
                <w:b/>
                <w:bCs/>
                <w:color w:val="000000"/>
                <w:kern w:val="2"/>
                <w:sz w:val="22"/>
                <w:szCs w:val="22"/>
                <w:lang w:val="pt-BR" w:eastAsia="en-US" w:bidi="ar-SA"/>
              </w:rPr>
              <w:t>Trajeto da Estação de Transbordo até o Aterro Sanitário:</w:t>
            </w:r>
          </w:p>
          <w:p>
            <w:pPr>
              <w:pStyle w:val="BodyText"/>
              <w:widowControl/>
              <w:suppressAutoHyphens w:val="true"/>
              <w:bidi w:val="0"/>
              <w:spacing w:lineRule="auto" w:line="240" w:before="57" w:after="57"/>
              <w:jc w:val="left"/>
              <w:rPr/>
            </w:pPr>
            <w:r>
              <w:rPr>
                <w:rStyle w:val="Strong"/>
                <w:rFonts w:eastAsia="Calibri" w:cs="Arial" w:ascii="Arial" w:hAnsi="Arial"/>
                <w:b/>
                <w:bCs/>
                <w:color w:val="000000"/>
                <w:kern w:val="2"/>
                <w:sz w:val="16"/>
                <w:szCs w:val="16"/>
                <w:lang w:val="pt-BR" w:eastAsia="en-US" w:bidi="ar-SA"/>
              </w:rPr>
              <w:t>Tabela 1</w:t>
            </w:r>
          </w:p>
          <w:tbl>
            <w:tblPr>
              <w:tblW w:w="5000" w:type="pct"/>
              <w:jc w:val="left"/>
              <w:tblInd w:w="0" w:type="dxa"/>
              <w:tblLayout w:type="fixed"/>
              <w:tblCellMar>
                <w:top w:w="55" w:type="dxa"/>
                <w:left w:w="55" w:type="dxa"/>
                <w:bottom w:w="55" w:type="dxa"/>
                <w:right w:w="55" w:type="dxa"/>
              </w:tblCellMar>
            </w:tblPr>
            <w:tblGrid>
              <w:gridCol w:w="1584"/>
              <w:gridCol w:w="1654"/>
              <w:gridCol w:w="2933"/>
              <w:gridCol w:w="2673"/>
            </w:tblGrid>
            <w:tr>
              <w:trPr/>
              <w:tc>
                <w:tcPr>
                  <w:tcW w:w="1584" w:type="dxa"/>
                  <w:tcBorders>
                    <w:top w:val="single" w:sz="4" w:space="0" w:color="000000"/>
                    <w:left w:val="single" w:sz="4" w:space="0" w:color="000000"/>
                    <w:bottom w:val="single" w:sz="4" w:space="0" w:color="000000"/>
                  </w:tcBorders>
                  <w:shd w:fill="DDDDDD" w:val="clear"/>
                  <w:vAlign w:val="center"/>
                </w:tcPr>
                <w:p>
                  <w:pPr>
                    <w:pStyle w:val="Contedodatabelauser"/>
                    <w:spacing w:before="0" w:after="160"/>
                    <w:jc w:val="center"/>
                    <w:rPr>
                      <w:rFonts w:ascii="Arial" w:hAnsi="Arial"/>
                      <w:b/>
                      <w:bCs/>
                      <w:sz w:val="20"/>
                      <w:szCs w:val="20"/>
                    </w:rPr>
                  </w:pPr>
                  <w:r>
                    <w:rPr>
                      <w:rFonts w:ascii="Arial" w:hAnsi="Arial"/>
                      <w:b/>
                      <w:bCs/>
                      <w:sz w:val="20"/>
                      <w:szCs w:val="20"/>
                    </w:rPr>
                    <w:t>DIREÇÃO</w:t>
                  </w:r>
                </w:p>
              </w:tc>
              <w:tc>
                <w:tcPr>
                  <w:tcW w:w="1654" w:type="dxa"/>
                  <w:tcBorders>
                    <w:top w:val="single" w:sz="4" w:space="0" w:color="000000"/>
                    <w:left w:val="single" w:sz="4" w:space="0" w:color="000000"/>
                    <w:bottom w:val="single" w:sz="4" w:space="0" w:color="000000"/>
                  </w:tcBorders>
                  <w:shd w:fill="DDDDDD" w:val="clear"/>
                  <w:vAlign w:val="center"/>
                </w:tcPr>
                <w:p>
                  <w:pPr>
                    <w:pStyle w:val="Contedodatabelauser"/>
                    <w:spacing w:before="0" w:after="160"/>
                    <w:jc w:val="center"/>
                    <w:rPr>
                      <w:rFonts w:ascii="Arial" w:hAnsi="Arial"/>
                      <w:b/>
                      <w:bCs/>
                      <w:sz w:val="20"/>
                      <w:szCs w:val="20"/>
                    </w:rPr>
                  </w:pPr>
                  <w:r>
                    <w:rPr>
                      <w:rFonts w:ascii="Arial" w:hAnsi="Arial"/>
                      <w:b/>
                      <w:bCs/>
                      <w:sz w:val="20"/>
                      <w:szCs w:val="20"/>
                    </w:rPr>
                    <w:t>MUNICÍPIO</w:t>
                  </w:r>
                </w:p>
              </w:tc>
              <w:tc>
                <w:tcPr>
                  <w:tcW w:w="2933" w:type="dxa"/>
                  <w:tcBorders>
                    <w:top w:val="single" w:sz="4" w:space="0" w:color="000000"/>
                    <w:left w:val="single" w:sz="4" w:space="0" w:color="000000"/>
                    <w:bottom w:val="single" w:sz="4" w:space="0" w:color="000000"/>
                  </w:tcBorders>
                  <w:shd w:fill="DDDDDD" w:val="clear"/>
                  <w:vAlign w:val="center"/>
                </w:tcPr>
                <w:p>
                  <w:pPr>
                    <w:pStyle w:val="Contedodatabelauser"/>
                    <w:spacing w:before="0" w:after="160"/>
                    <w:jc w:val="center"/>
                    <w:rPr>
                      <w:rFonts w:ascii="Arial" w:hAnsi="Arial"/>
                      <w:b/>
                      <w:bCs/>
                      <w:sz w:val="20"/>
                      <w:szCs w:val="20"/>
                    </w:rPr>
                  </w:pPr>
                  <w:r>
                    <w:rPr>
                      <w:rFonts w:ascii="Arial" w:hAnsi="Arial"/>
                      <w:b/>
                      <w:bCs/>
                      <w:sz w:val="20"/>
                      <w:szCs w:val="20"/>
                    </w:rPr>
                    <w:t>LOGRADOURO/LOCAL</w:t>
                  </w:r>
                </w:p>
              </w:tc>
              <w:tc>
                <w:tcPr>
                  <w:tcW w:w="2673" w:type="dxa"/>
                  <w:tcBorders>
                    <w:top w:val="single" w:sz="4" w:space="0" w:color="000000"/>
                    <w:left w:val="single" w:sz="4" w:space="0" w:color="000000"/>
                    <w:bottom w:val="single" w:sz="4" w:space="0" w:color="000000"/>
                    <w:right w:val="single" w:sz="4" w:space="0" w:color="000000"/>
                  </w:tcBorders>
                  <w:shd w:fill="DDDDDD" w:val="clear"/>
                  <w:vAlign w:val="center"/>
                </w:tcPr>
                <w:p>
                  <w:pPr>
                    <w:pStyle w:val="Contedodatabelauser"/>
                    <w:spacing w:before="0" w:after="160"/>
                    <w:jc w:val="center"/>
                    <w:rPr>
                      <w:rFonts w:ascii="Arial" w:hAnsi="Arial"/>
                      <w:b/>
                      <w:bCs/>
                      <w:sz w:val="20"/>
                      <w:szCs w:val="20"/>
                    </w:rPr>
                  </w:pPr>
                  <w:r>
                    <w:rPr>
                      <w:rFonts w:ascii="Arial" w:hAnsi="Arial"/>
                      <w:b/>
                      <w:bCs/>
                      <w:sz w:val="20"/>
                      <w:szCs w:val="20"/>
                    </w:rPr>
                    <w:t>ATÉ</w:t>
                  </w:r>
                </w:p>
              </w:tc>
            </w:tr>
            <w:tr>
              <w:trPr/>
              <w:tc>
                <w:tcPr>
                  <w:tcW w:w="1584" w:type="dxa"/>
                  <w:vMerge w:val="restart"/>
                  <w:tcBorders>
                    <w:left w:val="single" w:sz="4" w:space="0" w:color="000000"/>
                    <w:bottom w:val="single" w:sz="4" w:space="0" w:color="000000"/>
                  </w:tcBorders>
                  <w:vAlign w:val="center"/>
                </w:tcPr>
                <w:p>
                  <w:pPr>
                    <w:pStyle w:val="Contedodatabelauser"/>
                    <w:jc w:val="center"/>
                    <w:rPr>
                      <w:rFonts w:ascii="Arial" w:hAnsi="Arial"/>
                      <w:b/>
                      <w:bCs/>
                      <w:sz w:val="20"/>
                      <w:szCs w:val="20"/>
                    </w:rPr>
                  </w:pPr>
                  <w:r>
                    <w:rPr>
                      <w:rFonts w:ascii="Arial" w:hAnsi="Arial"/>
                      <w:b/>
                      <w:bCs/>
                      <w:sz w:val="20"/>
                      <w:szCs w:val="20"/>
                    </w:rPr>
                  </w:r>
                </w:p>
                <w:p>
                  <w:pPr>
                    <w:pStyle w:val="Contedodatabelauser"/>
                    <w:jc w:val="center"/>
                    <w:rPr>
                      <w:rFonts w:ascii="Arial" w:hAnsi="Arial"/>
                      <w:b/>
                      <w:bCs/>
                      <w:sz w:val="20"/>
                      <w:szCs w:val="20"/>
                    </w:rPr>
                  </w:pPr>
                  <w:r>
                    <w:rPr>
                      <w:rFonts w:ascii="Arial" w:hAnsi="Arial"/>
                      <w:b/>
                      <w:bCs/>
                      <w:sz w:val="20"/>
                      <w:szCs w:val="20"/>
                    </w:rPr>
                    <w:t>IDA</w:t>
                  </w:r>
                </w:p>
                <w:p>
                  <w:pPr>
                    <w:pStyle w:val="Contedodatabelauser"/>
                    <w:spacing w:before="0" w:after="160"/>
                    <w:rPr>
                      <w:rFonts w:ascii="Arial" w:hAnsi="Arial"/>
                      <w:b/>
                      <w:bCs/>
                      <w:sz w:val="20"/>
                      <w:szCs w:val="20"/>
                    </w:rPr>
                  </w:pPr>
                  <w:r>
                    <w:rPr>
                      <w:rFonts w:ascii="Arial" w:hAnsi="Arial"/>
                      <w:b/>
                      <w:bCs/>
                      <w:sz w:val="20"/>
                      <w:szCs w:val="20"/>
                    </w:rPr>
                  </w:r>
                </w:p>
              </w:tc>
              <w:tc>
                <w:tcPr>
                  <w:tcW w:w="1654" w:type="dxa"/>
                  <w:vMerge w:val="restart"/>
                  <w:tcBorders>
                    <w:left w:val="single" w:sz="4" w:space="0" w:color="000000"/>
                    <w:bottom w:val="single" w:sz="4" w:space="0" w:color="000000"/>
                  </w:tcBorders>
                  <w:vAlign w:val="center"/>
                </w:tcPr>
                <w:p>
                  <w:pPr>
                    <w:pStyle w:val="Contedodatabelauser"/>
                    <w:spacing w:before="0" w:after="160"/>
                    <w:jc w:val="center"/>
                    <w:rPr>
                      <w:rFonts w:ascii="Arial" w:hAnsi="Arial"/>
                      <w:b/>
                      <w:bCs/>
                      <w:sz w:val="20"/>
                      <w:szCs w:val="20"/>
                    </w:rPr>
                  </w:pPr>
                  <w:r>
                    <w:rPr>
                      <w:rFonts w:ascii="Arial" w:hAnsi="Arial"/>
                      <w:b/>
                      <w:bCs/>
                      <w:sz w:val="20"/>
                      <w:szCs w:val="20"/>
                    </w:rPr>
                    <w:t>PELOTAS</w:t>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Carregamento (ET)</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Enlonamento</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Enlonamento (ET)</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Rua xxx</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Rua xxx</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Rua xxx</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Rua xxx</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Acesso ao Aterro Sanitário</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shd w:fill="DDDDDD" w:val="clear"/>
                </w:tcPr>
                <w:p>
                  <w:pPr>
                    <w:pStyle w:val="Contedodatabelauser"/>
                    <w:spacing w:before="0" w:after="160"/>
                    <w:rPr>
                      <w:rFonts w:ascii="Arial" w:hAnsi="Arial"/>
                      <w:b/>
                      <w:bCs/>
                      <w:sz w:val="20"/>
                      <w:szCs w:val="20"/>
                    </w:rPr>
                  </w:pPr>
                  <w:r>
                    <w:rPr>
                      <w:rFonts w:ascii="Arial" w:hAnsi="Arial"/>
                      <w:b/>
                      <w:bCs/>
                      <w:sz w:val="20"/>
                      <w:szCs w:val="20"/>
                    </w:rPr>
                    <w:t>KM TOTAL IDA</w:t>
                  </w:r>
                </w:p>
              </w:tc>
              <w:tc>
                <w:tcPr>
                  <w:tcW w:w="2673" w:type="dxa"/>
                  <w:tcBorders>
                    <w:left w:val="single" w:sz="4" w:space="0" w:color="000000"/>
                    <w:bottom w:val="single" w:sz="4" w:space="0" w:color="000000"/>
                    <w:right w:val="single" w:sz="4" w:space="0" w:color="000000"/>
                  </w:tcBorders>
                  <w:shd w:fill="DDDDDD" w:val="clear"/>
                </w:tcPr>
                <w:p>
                  <w:pPr>
                    <w:pStyle w:val="Contedodatabelauser"/>
                    <w:spacing w:before="0" w:after="160"/>
                    <w:rPr>
                      <w:rFonts w:ascii="Arial" w:hAnsi="Arial"/>
                      <w:b/>
                      <w:bCs/>
                      <w:sz w:val="20"/>
                      <w:szCs w:val="20"/>
                    </w:rPr>
                  </w:pPr>
                  <w:r>
                    <w:rPr>
                      <w:rFonts w:ascii="Arial" w:hAnsi="Arial"/>
                      <w:b/>
                      <w:bCs/>
                      <w:sz w:val="20"/>
                      <w:szCs w:val="20"/>
                    </w:rPr>
                    <w:t>xxx</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7260" w:type="dxa"/>
                  <w:gridSpan w:val="3"/>
                  <w:tcBorders>
                    <w:left w:val="single" w:sz="4" w:space="0" w:color="000000"/>
                    <w:bottom w:val="single" w:sz="4" w:space="0" w:color="000000"/>
                    <w:right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restart"/>
                  <w:tcBorders>
                    <w:left w:val="single" w:sz="4" w:space="0" w:color="000000"/>
                    <w:bottom w:val="single" w:sz="4" w:space="0" w:color="000000"/>
                  </w:tcBorders>
                </w:tcPr>
                <w:p>
                  <w:pPr>
                    <w:pStyle w:val="Contedodatabelauser"/>
                    <w:rPr>
                      <w:rFonts w:ascii="Arial" w:hAnsi="Arial"/>
                      <w:b/>
                      <w:bCs/>
                      <w:sz w:val="20"/>
                      <w:szCs w:val="20"/>
                    </w:rPr>
                  </w:pPr>
                  <w:r>
                    <w:rPr>
                      <w:rFonts w:ascii="Arial" w:hAnsi="Arial"/>
                      <w:b/>
                      <w:bCs/>
                      <w:sz w:val="20"/>
                      <w:szCs w:val="20"/>
                    </w:rPr>
                  </w:r>
                </w:p>
                <w:p>
                  <w:pPr>
                    <w:pStyle w:val="Contedodatabelauser"/>
                    <w:rPr>
                      <w:rFonts w:ascii="Arial" w:hAnsi="Arial"/>
                      <w:b/>
                      <w:bCs/>
                      <w:sz w:val="20"/>
                      <w:szCs w:val="20"/>
                    </w:rPr>
                  </w:pPr>
                  <w:r>
                    <w:rPr>
                      <w:rFonts w:ascii="Arial" w:hAnsi="Arial"/>
                      <w:b/>
                      <w:bCs/>
                      <w:sz w:val="20"/>
                      <w:szCs w:val="20"/>
                    </w:rPr>
                  </w:r>
                </w:p>
                <w:p>
                  <w:pPr>
                    <w:pStyle w:val="Contedodatabelauser"/>
                    <w:rPr>
                      <w:rFonts w:ascii="Arial" w:hAnsi="Arial"/>
                      <w:b/>
                      <w:bCs/>
                      <w:sz w:val="20"/>
                      <w:szCs w:val="20"/>
                    </w:rPr>
                  </w:pPr>
                  <w:r>
                    <w:rPr>
                      <w:rFonts w:ascii="Arial" w:hAnsi="Arial"/>
                      <w:b/>
                      <w:bCs/>
                      <w:sz w:val="20"/>
                      <w:szCs w:val="20"/>
                    </w:rPr>
                  </w:r>
                </w:p>
                <w:p>
                  <w:pPr>
                    <w:pStyle w:val="Contedodatabelauser"/>
                    <w:rPr>
                      <w:rFonts w:ascii="Arial" w:hAnsi="Arial"/>
                      <w:b/>
                      <w:bCs/>
                      <w:sz w:val="20"/>
                      <w:szCs w:val="20"/>
                    </w:rPr>
                  </w:pPr>
                  <w:r>
                    <w:rPr>
                      <w:rFonts w:ascii="Arial" w:hAnsi="Arial"/>
                      <w:b/>
                      <w:bCs/>
                      <w:sz w:val="20"/>
                      <w:szCs w:val="20"/>
                    </w:rPr>
                  </w:r>
                </w:p>
                <w:p>
                  <w:pPr>
                    <w:pStyle w:val="Contedodatabelauser"/>
                    <w:spacing w:before="0" w:after="160"/>
                    <w:rPr>
                      <w:rFonts w:ascii="Arial" w:hAnsi="Arial"/>
                      <w:b/>
                      <w:bCs/>
                      <w:sz w:val="20"/>
                      <w:szCs w:val="20"/>
                    </w:rPr>
                  </w:pPr>
                  <w:r>
                    <w:rPr>
                      <w:rFonts w:ascii="Arial" w:hAnsi="Arial"/>
                      <w:b/>
                      <w:bCs/>
                      <w:sz w:val="20"/>
                      <w:szCs w:val="20"/>
                    </w:rPr>
                    <w:t>Aterro Sanitário</w:t>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Acesso ao Aterro</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Balança</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Balança (aterro)</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Frente de Descarga</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Frente de Descarga</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Desenlonamento</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Desenlonamento</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Descarga</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Retorno da Descarga (aterro)</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Balança</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Balança (aterro)</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Portaria</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Portaria (aterro)</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r>
            <w:tr>
              <w:trPr/>
              <w:tc>
                <w:tcPr>
                  <w:tcW w:w="1584" w:type="dxa"/>
                  <w:vMerge w:val="restart"/>
                  <w:tcBorders>
                    <w:left w:val="single" w:sz="4" w:space="0" w:color="000000"/>
                    <w:bottom w:val="single" w:sz="4" w:space="0" w:color="000000"/>
                  </w:tcBorders>
                  <w:vAlign w:val="center"/>
                </w:tcPr>
                <w:p>
                  <w:pPr>
                    <w:pStyle w:val="Contedodatabelauser"/>
                    <w:spacing w:before="0" w:after="160"/>
                    <w:jc w:val="center"/>
                    <w:rPr>
                      <w:rFonts w:ascii="Arial" w:hAnsi="Arial"/>
                      <w:b/>
                      <w:bCs/>
                      <w:sz w:val="20"/>
                      <w:szCs w:val="20"/>
                    </w:rPr>
                  </w:pPr>
                  <w:r>
                    <w:rPr>
                      <w:rFonts w:ascii="Arial" w:hAnsi="Arial"/>
                      <w:b/>
                      <w:bCs/>
                      <w:sz w:val="20"/>
                      <w:szCs w:val="20"/>
                    </w:rPr>
                    <w:t>VOLTA</w:t>
                  </w:r>
                </w:p>
              </w:tc>
              <w:tc>
                <w:tcPr>
                  <w:tcW w:w="1654" w:type="dxa"/>
                  <w:vMerge w:val="restart"/>
                  <w:tcBorders>
                    <w:left w:val="single" w:sz="4" w:space="0" w:color="000000"/>
                    <w:bottom w:val="single" w:sz="4" w:space="0" w:color="000000"/>
                  </w:tcBorders>
                  <w:vAlign w:val="center"/>
                </w:tcPr>
                <w:p>
                  <w:pPr>
                    <w:pStyle w:val="Contedodatabelauser"/>
                    <w:spacing w:before="0" w:after="160"/>
                    <w:jc w:val="center"/>
                    <w:rPr>
                      <w:rFonts w:ascii="Arial" w:hAnsi="Arial"/>
                      <w:b/>
                      <w:bCs/>
                      <w:sz w:val="20"/>
                      <w:szCs w:val="20"/>
                    </w:rPr>
                  </w:pPr>
                  <w:r>
                    <w:rPr>
                      <w:rFonts w:ascii="Arial" w:hAnsi="Arial"/>
                      <w:b/>
                      <w:bCs/>
                      <w:sz w:val="20"/>
                      <w:szCs w:val="20"/>
                    </w:rPr>
                    <w:t>PELOTAS</w:t>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Estrada xxx</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Rua xxx</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Rua xxx</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t>Carregamento (ET)</w:t>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r>
                </w:p>
              </w:tc>
            </w:tr>
            <w:tr>
              <w:trPr/>
              <w:tc>
                <w:tcPr>
                  <w:tcW w:w="1584" w:type="dxa"/>
                  <w:vMerge w:val="continue"/>
                  <w:tcBorders>
                    <w:left w:val="single" w:sz="4" w:space="0" w:color="000000"/>
                    <w:bottom w:val="single" w:sz="4" w:space="0" w:color="000000"/>
                  </w:tcBorders>
                  <w:vAlign w:val="center"/>
                </w:tcPr>
                <w:p>
                  <w:pPr>
                    <w:pStyle w:val="Contedodatabelauser"/>
                    <w:spacing w:before="0" w:after="160"/>
                    <w:rPr>
                      <w:rFonts w:ascii="Arial" w:hAnsi="Arial"/>
                      <w:b/>
                      <w:bCs/>
                      <w:sz w:val="20"/>
                      <w:szCs w:val="20"/>
                    </w:rPr>
                  </w:pPr>
                  <w:r>
                    <w:rPr>
                      <w:rFonts w:ascii="Arial" w:hAnsi="Arial"/>
                      <w:b/>
                      <w:bCs/>
                      <w:sz w:val="20"/>
                      <w:szCs w:val="20"/>
                    </w:rPr>
                  </w:r>
                </w:p>
              </w:tc>
              <w:tc>
                <w:tcPr>
                  <w:tcW w:w="1654" w:type="dxa"/>
                  <w:vMerge w:val="continue"/>
                  <w:tcBorders>
                    <w:left w:val="single" w:sz="4" w:space="0" w:color="000000"/>
                    <w:bottom w:val="single" w:sz="4" w:space="0" w:color="000000"/>
                  </w:tcBorders>
                </w:tcPr>
                <w:p>
                  <w:pPr>
                    <w:pStyle w:val="Contedodatabelauser"/>
                    <w:spacing w:before="0" w:after="160"/>
                    <w:rPr>
                      <w:rFonts w:ascii="Arial" w:hAnsi="Arial"/>
                      <w:b/>
                      <w:bCs/>
                      <w:sz w:val="20"/>
                      <w:szCs w:val="20"/>
                    </w:rPr>
                  </w:pPr>
                  <w:r>
                    <w:rPr>
                      <w:rFonts w:ascii="Arial" w:hAnsi="Arial"/>
                      <w:b/>
                      <w:bCs/>
                      <w:sz w:val="20"/>
                      <w:szCs w:val="20"/>
                    </w:rPr>
                  </w:r>
                </w:p>
              </w:tc>
              <w:tc>
                <w:tcPr>
                  <w:tcW w:w="2933" w:type="dxa"/>
                  <w:tcBorders>
                    <w:left w:val="single" w:sz="4" w:space="0" w:color="000000"/>
                    <w:bottom w:val="single" w:sz="4" w:space="0" w:color="000000"/>
                  </w:tcBorders>
                </w:tcPr>
                <w:p>
                  <w:pPr>
                    <w:pStyle w:val="Contedodatabelauser"/>
                    <w:spacing w:before="0" w:after="160"/>
                    <w:rPr>
                      <w:rFonts w:ascii="Arial" w:hAnsi="Arial"/>
                      <w:sz w:val="20"/>
                      <w:szCs w:val="20"/>
                    </w:rPr>
                  </w:pPr>
                  <w:r>
                    <w:rPr>
                      <w:rFonts w:ascii="Arial" w:hAnsi="Arial"/>
                      <w:sz w:val="20"/>
                      <w:szCs w:val="20"/>
                    </w:rPr>
                    <w:t>KM TOTAL VOLTA</w:t>
                  </w:r>
                </w:p>
              </w:tc>
              <w:tc>
                <w:tcPr>
                  <w:tcW w:w="2673" w:type="dxa"/>
                  <w:tcBorders>
                    <w:left w:val="single" w:sz="4" w:space="0" w:color="000000"/>
                    <w:bottom w:val="single" w:sz="4" w:space="0" w:color="000000"/>
                    <w:right w:val="single" w:sz="4" w:space="0" w:color="000000"/>
                  </w:tcBorders>
                </w:tcPr>
                <w:p>
                  <w:pPr>
                    <w:pStyle w:val="Contedodatabelauser"/>
                    <w:spacing w:before="0" w:after="160"/>
                    <w:rPr>
                      <w:rFonts w:ascii="Arial" w:hAnsi="Arial"/>
                      <w:sz w:val="20"/>
                      <w:szCs w:val="20"/>
                    </w:rPr>
                  </w:pPr>
                  <w:r>
                    <w:rPr>
                      <w:rFonts w:ascii="Arial" w:hAnsi="Arial"/>
                      <w:sz w:val="20"/>
                      <w:szCs w:val="20"/>
                    </w:rPr>
                  </w:r>
                </w:p>
              </w:tc>
            </w:tr>
          </w:tbl>
          <w:p>
            <w:pPr>
              <w:pStyle w:val="BodyText"/>
              <w:widowControl/>
              <w:suppressAutoHyphens w:val="true"/>
              <w:spacing w:lineRule="auto" w:line="240" w:before="57" w:after="57"/>
              <w:jc w:val="both"/>
              <w:rPr>
                <w:rFonts w:ascii="Arial" w:hAnsi="Arial" w:eastAsia="Calibri" w:cs="Arial"/>
                <w:b w:val="false"/>
                <w:bCs w:val="false"/>
                <w:color w:val="000000"/>
              </w:rPr>
            </w:pPr>
            <w:r>
              <w:rPr>
                <w:rFonts w:eastAsia="Calibri" w:cs="Arial" w:ascii="Arial" w:hAnsi="Arial"/>
                <w:b w:val="false"/>
                <w:bCs w:val="false"/>
                <w:color w:val="000000"/>
              </w:rPr>
            </w:r>
          </w:p>
          <w:p>
            <w:pPr>
              <w:pStyle w:val="BodyText"/>
              <w:widowControl/>
              <w:suppressAutoHyphens w:val="true"/>
              <w:spacing w:lineRule="auto" w:line="360" w:before="57" w:after="57"/>
              <w:jc w:val="both"/>
              <w:rPr/>
            </w:pPr>
            <w:r>
              <w:rPr>
                <w:rFonts w:eastAsia="Calibri" w:cs="Arial" w:ascii="Arial" w:hAnsi="Arial"/>
                <w:b w:val="false"/>
                <w:bCs w:val="false"/>
                <w:color w:val="000000"/>
              </w:rPr>
              <w:t>A licitante vencedora deverá propor o trajeto para o transporte dos resíduos, o qual será avaliado e aprovado pela Fiscalização do SANEP.</w:t>
            </w:r>
          </w:p>
          <w:p>
            <w:pPr>
              <w:pStyle w:val="BodyText"/>
              <w:widowControl/>
              <w:suppressAutoHyphens w:val="true"/>
              <w:spacing w:lineRule="auto" w:line="360" w:before="57" w:after="57"/>
              <w:jc w:val="both"/>
              <w:rPr/>
            </w:pPr>
            <w:r>
              <w:rPr>
                <w:rFonts w:eastAsia="Calibri" w:cs="Arial" w:ascii="Arial" w:hAnsi="Arial"/>
                <w:b w:val="false"/>
                <w:bCs w:val="false"/>
                <w:color w:val="000000"/>
              </w:rPr>
              <w:t>A aprovação de um novo trajeto não exime a licitante do compromisso com o trajeto pré-definido no edital.</w:t>
            </w:r>
          </w:p>
          <w:p>
            <w:pPr>
              <w:pStyle w:val="BodyText"/>
              <w:widowControl/>
              <w:suppressAutoHyphens w:val="true"/>
              <w:spacing w:lineRule="auto" w:line="360" w:before="57" w:after="57"/>
              <w:jc w:val="center"/>
              <w:rPr>
                <w:rFonts w:ascii="Arial" w:hAnsi="Arial" w:eastAsia="Calibri" w:cs="Arial"/>
                <w:b/>
                <w:bCs/>
                <w:color w:val="000000"/>
              </w:rPr>
            </w:pPr>
            <w:r>
              <w:rPr>
                <w:rFonts w:eastAsia="Calibri" w:cs="Arial" w:ascii="Arial" w:hAnsi="Arial"/>
                <w:b/>
                <w:bCs/>
                <w:color w:val="000000"/>
              </w:rPr>
            </w:r>
          </w:p>
          <w:p>
            <w:pPr>
              <w:pStyle w:val="BodyText"/>
              <w:widowControl/>
              <w:suppressAutoHyphens w:val="true"/>
              <w:spacing w:lineRule="auto" w:line="360" w:before="57" w:after="57"/>
              <w:jc w:val="center"/>
              <w:rPr>
                <w:rFonts w:ascii="Arial" w:hAnsi="Arial" w:eastAsia="Calibri" w:cs="Arial"/>
                <w:b/>
                <w:bCs/>
                <w:color w:val="000000"/>
              </w:rPr>
            </w:pPr>
            <w:r>
              <w:rPr>
                <w:rFonts w:eastAsia="Calibri" w:cs="Arial" w:ascii="Arial" w:hAnsi="Arial"/>
                <w:b/>
                <w:bCs/>
                <w:color w:val="000000"/>
              </w:rPr>
              <w:t>Equipamentos de Transporte</w:t>
            </w:r>
          </w:p>
          <w:p>
            <w:pPr>
              <w:pStyle w:val="BodyText"/>
              <w:spacing w:lineRule="auto" w:line="360" w:before="57" w:after="57"/>
              <w:jc w:val="both"/>
              <w:rPr/>
            </w:pPr>
            <w:r>
              <w:rPr>
                <w:rFonts w:cs="Arial" w:ascii="Arial" w:hAnsi="Arial"/>
                <w:color w:val="000000"/>
              </w:rPr>
              <w:t>O transporte dos resíduos da ETP até o local de disposição final deverá ser realizado por unidades de transporte — unidade de tração, unidade de carga e condutor — específicas para resíduos sólidos urbanos, com capacidade volumétrica compatível com a geração prevista neste projeto básico. São permitidas unidades de carga articulada e unidades com comprimento superior a 10 m, desde que autorizadas pelo órgão competente, observando a legislação vigente e resoluções do CONTRAN. A Capacidade Máxima da unidade de tração deverá ser compatível com o PBTC do conjunto ofertado.</w:t>
            </w:r>
          </w:p>
          <w:p>
            <w:pPr>
              <w:pStyle w:val="BodyText"/>
              <w:spacing w:lineRule="auto" w:line="360" w:before="57" w:after="57"/>
              <w:jc w:val="both"/>
              <w:rPr/>
            </w:pPr>
            <w:r>
              <w:rPr>
                <w:rFonts w:cs="Arial" w:ascii="Arial" w:hAnsi="Arial"/>
                <w:color w:val="000000"/>
              </w:rPr>
              <w:t>Para fins de dimensionamento: PBTC = Tara + (V x Mem)</w:t>
            </w:r>
          </w:p>
          <w:p>
            <w:pPr>
              <w:pStyle w:val="BodyText"/>
              <w:numPr>
                <w:ilvl w:val="0"/>
                <w:numId w:val="11"/>
              </w:numPr>
              <w:tabs>
                <w:tab w:val="clear" w:pos="708"/>
                <w:tab w:val="left" w:pos="0" w:leader="none"/>
              </w:tabs>
              <w:spacing w:lineRule="auto" w:line="360" w:before="57" w:after="57"/>
              <w:ind w:hanging="283" w:left="709"/>
              <w:jc w:val="both"/>
              <w:rPr/>
            </w:pPr>
            <w:r>
              <w:rPr>
                <w:rFonts w:cs="Arial" w:ascii="Arial" w:hAnsi="Arial"/>
                <w:color w:val="000000"/>
              </w:rPr>
              <w:t>PBTC = Peso Bruto Total Combinado do conjunto;</w:t>
            </w:r>
          </w:p>
          <w:p>
            <w:pPr>
              <w:pStyle w:val="BodyText"/>
              <w:numPr>
                <w:ilvl w:val="0"/>
                <w:numId w:val="11"/>
              </w:numPr>
              <w:tabs>
                <w:tab w:val="clear" w:pos="708"/>
                <w:tab w:val="left" w:pos="0" w:leader="none"/>
              </w:tabs>
              <w:spacing w:lineRule="auto" w:line="360" w:before="57" w:after="57"/>
              <w:ind w:hanging="283" w:left="709"/>
              <w:jc w:val="both"/>
              <w:rPr/>
            </w:pPr>
            <w:r>
              <w:rPr>
                <w:rFonts w:cs="Arial" w:ascii="Arial" w:hAnsi="Arial"/>
                <w:color w:val="000000"/>
              </w:rPr>
              <w:t>Tara = tara do conjunto ofertado;</w:t>
            </w:r>
          </w:p>
          <w:p>
            <w:pPr>
              <w:pStyle w:val="BodyText"/>
              <w:numPr>
                <w:ilvl w:val="0"/>
                <w:numId w:val="11"/>
              </w:numPr>
              <w:tabs>
                <w:tab w:val="clear" w:pos="708"/>
                <w:tab w:val="left" w:pos="0" w:leader="none"/>
              </w:tabs>
              <w:spacing w:lineRule="auto" w:line="360" w:before="57" w:after="57"/>
              <w:ind w:hanging="283" w:left="709"/>
              <w:jc w:val="both"/>
              <w:rPr/>
            </w:pPr>
            <w:r>
              <w:rPr>
                <w:rFonts w:cs="Arial" w:ascii="Arial" w:hAnsi="Arial"/>
                <w:color w:val="000000"/>
              </w:rPr>
              <w:t>V = capacidade volumétrica da unidade de carga;</w:t>
            </w:r>
          </w:p>
          <w:p>
            <w:pPr>
              <w:pStyle w:val="BodyText"/>
              <w:numPr>
                <w:ilvl w:val="0"/>
                <w:numId w:val="11"/>
              </w:numPr>
              <w:tabs>
                <w:tab w:val="clear" w:pos="708"/>
                <w:tab w:val="left" w:pos="0" w:leader="none"/>
              </w:tabs>
              <w:spacing w:lineRule="auto" w:line="360" w:before="57" w:after="57"/>
              <w:ind w:hanging="283" w:left="709"/>
              <w:jc w:val="both"/>
              <w:rPr/>
            </w:pPr>
            <w:r>
              <w:rPr>
                <w:rFonts w:cs="Arial" w:ascii="Arial" w:hAnsi="Arial"/>
                <w:color w:val="000000"/>
              </w:rPr>
              <w:t>Mem = massa específica máxima estimada: 0,5 t/m³.</w:t>
            </w:r>
          </w:p>
          <w:p>
            <w:pPr>
              <w:pStyle w:val="BodyText"/>
              <w:spacing w:lineRule="auto" w:line="360" w:before="57" w:after="57"/>
              <w:jc w:val="both"/>
              <w:rPr/>
            </w:pPr>
            <w:r>
              <w:rPr>
                <w:rFonts w:cs="Arial" w:ascii="Arial" w:hAnsi="Arial"/>
                <w:color w:val="000000"/>
              </w:rPr>
              <w:t>A licitante deverá apresentar declaração de ciência das condicionantes relativas ao PBTC, massa específica e capacidade volumétrica, comprometendo</w:t>
            </w:r>
            <w:r>
              <w:rPr>
                <w:rFonts w:cs="Arial" w:ascii="Arial" w:hAnsi="Arial"/>
                <w:b w:val="false"/>
                <w:bCs w:val="false"/>
                <w:color w:val="000000"/>
              </w:rPr>
              <w:t xml:space="preserve">-se a disponibilizar unidades compatíveis. Não serão aceitos veículos com capacidade inferior a </w:t>
            </w:r>
            <w:r>
              <w:rPr>
                <w:rStyle w:val="Strong"/>
                <w:rFonts w:cs="Arial" w:ascii="Arial" w:hAnsi="Arial"/>
                <w:b w:val="false"/>
                <w:bCs w:val="false"/>
                <w:color w:val="000000"/>
              </w:rPr>
              <w:t>50 m³</w:t>
            </w:r>
            <w:r>
              <w:rPr>
                <w:rFonts w:cs="Arial" w:ascii="Arial" w:hAnsi="Arial"/>
                <w:b w:val="false"/>
                <w:bCs w:val="false"/>
                <w:color w:val="000000"/>
              </w:rPr>
              <w:t>.</w:t>
            </w:r>
          </w:p>
          <w:p>
            <w:pPr>
              <w:pStyle w:val="Normal"/>
              <w:widowControl w:val="false"/>
              <w:spacing w:lineRule="auto" w:line="360"/>
              <w:ind w:hanging="0"/>
              <w:jc w:val="both"/>
              <w:rPr>
                <w:sz w:val="22"/>
                <w:szCs w:val="22"/>
              </w:rPr>
            </w:pPr>
            <w:r>
              <w:rPr>
                <w:rFonts w:cs="Arial" w:ascii="Arial" w:hAnsi="Arial"/>
                <w:b w:val="false"/>
                <w:bCs w:val="false"/>
                <w:color w:val="000000"/>
                <w:sz w:val="22"/>
                <w:szCs w:val="22"/>
              </w:rPr>
              <w:t>O equipamento deverá se adequar à altura do nível superior da ET e, portanto, não deverá possuir altura superior a 4 m (quatro metros). O SANEP isenta-se de quaisquer responsabilidades quanto à impossibilidade de entrada e/ou manobra das unidades de transporte dentro da ET.</w:t>
            </w:r>
          </w:p>
          <w:p>
            <w:pPr>
              <w:pStyle w:val="BodyText"/>
              <w:spacing w:lineRule="auto" w:line="360" w:before="57" w:after="57"/>
              <w:jc w:val="both"/>
              <w:rPr/>
            </w:pPr>
            <w:r>
              <w:rPr>
                <w:rFonts w:cs="Arial" w:ascii="Arial" w:hAnsi="Arial"/>
                <w:color w:val="000000"/>
              </w:rPr>
              <w:t>A unidade de carga deverá possuir sistema de estanqueidade e armazenamento de lixiviados, além de cobertura integral da carga. Todas as unidades deverão possuir rastreamento e permitir acesso online à fiscalização.</w:t>
            </w:r>
          </w:p>
          <w:p>
            <w:pPr>
              <w:pStyle w:val="BodyText"/>
              <w:spacing w:lineRule="auto" w:line="360" w:before="57" w:after="57"/>
              <w:jc w:val="both"/>
              <w:rPr/>
            </w:pPr>
            <w:r>
              <w:rPr>
                <w:rFonts w:cs="Arial" w:ascii="Arial" w:hAnsi="Arial"/>
                <w:color w:val="000000"/>
              </w:rPr>
              <w:t>As unidades deverão obedecer à legislação de trânsito, estar em perfeitas condições mecânicas, possuir motores regulados para redução de emissões e estar equipadas com materiais de contenção emergencial.</w:t>
            </w:r>
          </w:p>
          <w:p>
            <w:pPr>
              <w:pStyle w:val="BodyText"/>
              <w:spacing w:lineRule="auto" w:line="360" w:before="57" w:after="57"/>
              <w:jc w:val="both"/>
              <w:rPr/>
            </w:pPr>
            <w:r>
              <w:rPr>
                <w:rFonts w:cs="Arial" w:ascii="Arial" w:hAnsi="Arial"/>
                <w:color w:val="000000"/>
              </w:rPr>
              <w:t>As unidades de carga deverão ser lavadas ao menos duas vezes por semana e não poderão operar acima da capacidade volumétrica.</w:t>
            </w:r>
          </w:p>
          <w:p>
            <w:pPr>
              <w:pStyle w:val="Normal"/>
              <w:widowControl w:val="false"/>
              <w:spacing w:lineRule="auto" w:line="360"/>
              <w:ind w:hanging="0"/>
              <w:jc w:val="both"/>
              <w:rPr>
                <w:sz w:val="22"/>
                <w:szCs w:val="22"/>
              </w:rPr>
            </w:pPr>
            <w:r>
              <w:rPr>
                <w:rFonts w:cs="Arial" w:ascii="Arial" w:hAnsi="Arial"/>
                <w:color w:val="000000"/>
                <w:sz w:val="22"/>
                <w:szCs w:val="22"/>
              </w:rPr>
              <w:t>A licitante vencedora deverá dar treinamento admissional e periódico de direção defensiva para os motoristas das unidades de transporte. Os treinamentos, com a emissão de certificados e cuja realização deverá ser comprovada junto ao SANEP, deverão ser ministrados por profissional habilitado.</w:t>
            </w:r>
          </w:p>
          <w:p>
            <w:pPr>
              <w:pStyle w:val="BodyText"/>
              <w:spacing w:lineRule="auto" w:line="360" w:before="57" w:after="57"/>
              <w:jc w:val="both"/>
              <w:rPr/>
            </w:pPr>
            <w:r>
              <w:rPr>
                <w:rFonts w:cs="Arial" w:ascii="Arial" w:hAnsi="Arial"/>
                <w:color w:val="000000"/>
              </w:rPr>
              <w:t>Os veículos deverão possuir sinalização sonora de ré e kit de primeiros socorros conforme PCMSO.</w:t>
            </w:r>
          </w:p>
          <w:p>
            <w:pPr>
              <w:pStyle w:val="BodyText"/>
              <w:spacing w:lineRule="auto" w:line="360" w:before="57" w:after="57"/>
              <w:jc w:val="both"/>
              <w:rPr/>
            </w:pPr>
            <w:r>
              <w:rPr>
                <w:rFonts w:cs="Arial" w:ascii="Arial" w:hAnsi="Arial"/>
                <w:color w:val="000000"/>
              </w:rPr>
              <w:t>A contratada deverá manter atualizada a identificação de cada unidade, contendo:</w:t>
            </w:r>
          </w:p>
          <w:p>
            <w:pPr>
              <w:pStyle w:val="BodyText"/>
              <w:spacing w:lineRule="auto" w:line="360" w:before="57" w:after="57"/>
              <w:jc w:val="both"/>
              <w:rPr/>
            </w:pPr>
            <w:r>
              <w:rPr>
                <w:rFonts w:cs="Arial" w:ascii="Arial" w:hAnsi="Arial"/>
                <w:color w:val="000000"/>
              </w:rPr>
              <w:t>a) Tipo; b) PBTC; c) Potência; d) Número de eixos; e) Capacidade volumétrica; f) Capacidade de carga líquida; g) Dimensões completas; h) Tara; i) Marca; j) Ano de fabricação; k) Placas; l) Chassi.</w:t>
            </w:r>
          </w:p>
          <w:p>
            <w:pPr>
              <w:pStyle w:val="Heading3"/>
              <w:spacing w:lineRule="auto" w:line="360" w:before="57" w:after="57"/>
              <w:jc w:val="both"/>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r>
          </w:p>
          <w:p>
            <w:pPr>
              <w:pStyle w:val="Heading3"/>
              <w:spacing w:lineRule="auto" w:line="360" w:before="57" w:after="57"/>
              <w:jc w:val="center"/>
              <w:rPr/>
            </w:pPr>
            <w:r>
              <w:rPr>
                <w:rStyle w:val="Strong"/>
                <w:rFonts w:eastAsia="Calibri" w:cs="Arial" w:ascii="Arial" w:hAnsi="Arial"/>
                <w:b/>
                <w:bCs/>
                <w:color w:val="000000"/>
                <w:sz w:val="22"/>
                <w:szCs w:val="22"/>
              </w:rPr>
              <w:t>Identificação da Frota (Equipamentos)</w:t>
            </w:r>
          </w:p>
          <w:p>
            <w:pPr>
              <w:pStyle w:val="BodyText"/>
              <w:spacing w:lineRule="auto" w:line="360" w:before="57" w:after="57"/>
              <w:jc w:val="both"/>
              <w:rPr/>
            </w:pPr>
            <w:r>
              <w:rPr>
                <w:rFonts w:cs="Arial" w:ascii="Arial" w:hAnsi="Arial"/>
                <w:color w:val="000000"/>
              </w:rPr>
              <w:t>A unidade de transporte deverá estampar telefone do SANEP, telefone da contratada e os dizeres “A serviço do SANEP”, nas duas laterais e na traseira.</w:t>
            </w:r>
          </w:p>
          <w:p>
            <w:pPr>
              <w:pStyle w:val="Heading3"/>
              <w:spacing w:lineRule="auto" w:line="360" w:before="57" w:after="57"/>
              <w:jc w:val="both"/>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r>
          </w:p>
          <w:p>
            <w:pPr>
              <w:pStyle w:val="Heading3"/>
              <w:spacing w:lineRule="auto" w:line="360" w:before="57" w:after="57"/>
              <w:jc w:val="center"/>
              <w:rPr/>
            </w:pPr>
            <w:r>
              <w:rPr>
                <w:rStyle w:val="Strong"/>
                <w:rFonts w:eastAsia="Calibri" w:cs="Arial" w:ascii="Arial" w:hAnsi="Arial"/>
                <w:b/>
                <w:bCs/>
                <w:color w:val="000000"/>
                <w:sz w:val="22"/>
                <w:szCs w:val="22"/>
              </w:rPr>
              <w:t>Idade da Frota</w:t>
            </w:r>
          </w:p>
          <w:p>
            <w:pPr>
              <w:pStyle w:val="BodyText"/>
              <w:spacing w:lineRule="auto" w:line="360" w:before="57" w:after="57"/>
              <w:jc w:val="both"/>
              <w:rPr/>
            </w:pPr>
            <w:r>
              <w:rPr>
                <w:rFonts w:cs="Arial" w:ascii="Arial" w:hAnsi="Arial"/>
                <w:color w:val="000000"/>
              </w:rPr>
              <w:t xml:space="preserve">As unidades de tração deverão possuir até </w:t>
            </w:r>
            <w:r>
              <w:rPr>
                <w:rStyle w:val="Strong"/>
                <w:rFonts w:cs="Arial" w:ascii="Arial" w:hAnsi="Arial"/>
                <w:color w:val="000000"/>
              </w:rPr>
              <w:t>5 anos</w:t>
            </w:r>
            <w:r>
              <w:rPr>
                <w:rFonts w:cs="Arial" w:ascii="Arial" w:hAnsi="Arial"/>
                <w:color w:val="000000"/>
              </w:rPr>
              <w:t xml:space="preserve"> de fabricação na data da abertura da licitação. Durante a execução, nenhuma unidade poderá ultrapassar 5 anos desde o primeiro emplacamento. Substituições deverão respeitar a idade igual ou inferior ao equipamento substituído.</w:t>
            </w:r>
          </w:p>
          <w:p>
            <w:pPr>
              <w:pStyle w:val="Heading3"/>
              <w:spacing w:lineRule="auto" w:line="360" w:before="57" w:after="57"/>
              <w:jc w:val="both"/>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r>
          </w:p>
          <w:p>
            <w:pPr>
              <w:pStyle w:val="Heading3"/>
              <w:spacing w:lineRule="auto" w:line="360" w:before="57" w:after="57"/>
              <w:jc w:val="center"/>
              <w:rPr/>
            </w:pPr>
            <w:r>
              <w:rPr>
                <w:rStyle w:val="Strong"/>
                <w:rFonts w:eastAsia="Calibri" w:cs="Arial" w:ascii="Arial" w:hAnsi="Arial"/>
                <w:b/>
                <w:bCs/>
                <w:color w:val="000000"/>
                <w:sz w:val="22"/>
                <w:szCs w:val="22"/>
              </w:rPr>
              <w:t>Critérios para o Dimensionamento do Serviço de Transporte</w:t>
            </w:r>
          </w:p>
          <w:p>
            <w:pPr>
              <w:pStyle w:val="BodyText"/>
              <w:spacing w:lineRule="auto" w:line="360" w:before="57" w:after="57"/>
              <w:jc w:val="both"/>
              <w:rPr/>
            </w:pPr>
            <w:r>
              <w:rPr>
                <w:rFonts w:cs="Arial" w:ascii="Arial" w:hAnsi="Arial"/>
                <w:color w:val="000000"/>
              </w:rPr>
              <w:t>O dimensionamento deverá considerar, no mínimo:</w:t>
            </w:r>
          </w:p>
          <w:p>
            <w:pPr>
              <w:pStyle w:val="BodyText"/>
              <w:spacing w:lineRule="auto" w:line="360" w:before="57" w:after="57"/>
              <w:jc w:val="both"/>
              <w:rPr/>
            </w:pPr>
            <w:r>
              <w:rPr>
                <w:rFonts w:cs="Arial" w:ascii="Arial" w:hAnsi="Arial"/>
                <w:color w:val="000000"/>
              </w:rPr>
              <w:t>a) Ciclo completo em km entre ETP e o aterro;</w:t>
            </w:r>
          </w:p>
          <w:p>
            <w:pPr>
              <w:pStyle w:val="BodyText"/>
              <w:spacing w:lineRule="auto" w:line="360" w:before="57" w:after="57"/>
              <w:jc w:val="both"/>
              <w:rPr/>
            </w:pPr>
            <w:r>
              <w:rPr>
                <w:rFonts w:cs="Arial" w:ascii="Arial" w:hAnsi="Arial"/>
                <w:color w:val="000000"/>
              </w:rPr>
              <w:t>b) Trajeto conforme Tabela 1;</w:t>
            </w:r>
          </w:p>
          <w:p>
            <w:pPr>
              <w:pStyle w:val="BodyText"/>
              <w:spacing w:lineRule="auto" w:line="360" w:before="57" w:after="57"/>
              <w:jc w:val="both"/>
              <w:rPr/>
            </w:pPr>
            <w:r>
              <w:rPr>
                <w:rFonts w:cs="Arial" w:ascii="Arial" w:hAnsi="Arial"/>
                <w:color w:val="000000"/>
              </w:rPr>
              <w:t>c) Velocidade média;</w:t>
            </w:r>
          </w:p>
          <w:p>
            <w:pPr>
              <w:pStyle w:val="BodyText"/>
              <w:spacing w:lineRule="auto" w:line="360" w:before="57" w:after="57"/>
              <w:jc w:val="both"/>
              <w:rPr/>
            </w:pPr>
            <w:r>
              <w:rPr>
                <w:rFonts w:cs="Arial" w:ascii="Arial" w:hAnsi="Arial"/>
                <w:color w:val="000000"/>
              </w:rPr>
              <w:t>d) Capacidade por unidade;</w:t>
            </w:r>
          </w:p>
          <w:p>
            <w:pPr>
              <w:pStyle w:val="BodyText"/>
              <w:spacing w:lineRule="auto" w:line="360" w:before="57" w:after="57"/>
              <w:jc w:val="both"/>
              <w:rPr/>
            </w:pPr>
            <w:r>
              <w:rPr>
                <w:rFonts w:cs="Arial" w:ascii="Arial" w:hAnsi="Arial"/>
                <w:color w:val="000000"/>
              </w:rPr>
              <w:t>e) Quantidade de resíduos conforme dia de pico (Tabela 2);</w:t>
            </w:r>
          </w:p>
          <w:p>
            <w:pPr>
              <w:pStyle w:val="BodyText"/>
              <w:spacing w:lineRule="auto" w:line="360" w:before="57" w:after="57"/>
              <w:jc w:val="both"/>
              <w:rPr/>
            </w:pPr>
            <w:r>
              <w:rPr>
                <w:rFonts w:cs="Arial" w:ascii="Arial" w:hAnsi="Arial"/>
                <w:color w:val="000000"/>
              </w:rPr>
              <w:t>f) Capacidade de acumulação da ET;</w:t>
            </w:r>
          </w:p>
          <w:p>
            <w:pPr>
              <w:pStyle w:val="BodyText"/>
              <w:spacing w:lineRule="auto" w:line="360" w:before="57" w:after="57"/>
              <w:jc w:val="both"/>
              <w:rPr/>
            </w:pPr>
            <w:r>
              <w:rPr>
                <w:rFonts w:cs="Arial" w:ascii="Arial" w:hAnsi="Arial"/>
                <w:color w:val="000000"/>
              </w:rPr>
              <w:t>g) Tempo médio de operação da frota;</w:t>
            </w:r>
          </w:p>
          <w:p>
            <w:pPr>
              <w:pStyle w:val="BodyText"/>
              <w:spacing w:lineRule="auto" w:line="360" w:before="57" w:after="57"/>
              <w:jc w:val="both"/>
              <w:rPr/>
            </w:pPr>
            <w:r>
              <w:rPr>
                <w:rFonts w:cs="Arial" w:ascii="Arial" w:hAnsi="Arial"/>
                <w:color w:val="000000"/>
              </w:rPr>
              <w:t>h) Horários, dias de pico e sazonalidade;</w:t>
            </w:r>
          </w:p>
          <w:p>
            <w:pPr>
              <w:pStyle w:val="BodyText"/>
              <w:spacing w:lineRule="auto" w:line="360" w:before="57" w:after="57"/>
              <w:jc w:val="both"/>
              <w:rPr/>
            </w:pPr>
            <w:r>
              <w:rPr>
                <w:rFonts w:cs="Arial" w:ascii="Arial" w:hAnsi="Arial"/>
                <w:color w:val="000000"/>
              </w:rPr>
              <w:t>i) Processo de carregamento, cobertura, deslocamentos e descarga;</w:t>
            </w:r>
          </w:p>
          <w:p>
            <w:pPr>
              <w:pStyle w:val="BodyText"/>
              <w:spacing w:lineRule="auto" w:line="360" w:before="57" w:after="57"/>
              <w:jc w:val="both"/>
              <w:rPr/>
            </w:pPr>
            <w:r>
              <w:rPr>
                <w:rFonts w:cs="Arial" w:ascii="Arial" w:hAnsi="Arial"/>
                <w:color w:val="000000"/>
              </w:rPr>
              <w:t>j) Estrutura física da ET, do aterro escolhido e do trajeto.</w:t>
            </w:r>
          </w:p>
          <w:p>
            <w:pPr>
              <w:pStyle w:val="Heading3"/>
              <w:spacing w:lineRule="auto" w:line="360" w:before="57" w:after="57"/>
              <w:jc w:val="both"/>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r>
          </w:p>
          <w:p>
            <w:pPr>
              <w:pStyle w:val="Heading3"/>
              <w:spacing w:lineRule="auto" w:line="360" w:before="57" w:after="57"/>
              <w:jc w:val="center"/>
              <w:rPr/>
            </w:pPr>
            <w:r>
              <w:rPr>
                <w:rStyle w:val="Strong"/>
                <w:rFonts w:eastAsia="Calibri" w:cs="Arial" w:ascii="Arial" w:hAnsi="Arial"/>
                <w:b/>
                <w:bCs/>
                <w:color w:val="000000"/>
                <w:sz w:val="22"/>
                <w:szCs w:val="22"/>
              </w:rPr>
              <w:t>Quantidades de Resíduos na ETP</w:t>
            </w:r>
          </w:p>
          <w:p>
            <w:pPr>
              <w:pStyle w:val="BodyText"/>
              <w:spacing w:lineRule="auto" w:line="360" w:before="57" w:after="57"/>
              <w:jc w:val="both"/>
              <w:rPr/>
            </w:pPr>
            <w:r>
              <w:rPr>
                <w:rFonts w:cs="Arial" w:ascii="Arial" w:hAnsi="Arial"/>
                <w:color w:val="000000"/>
              </w:rPr>
              <w:t>As informações referentes às quantidades de resíduos coletados em Pelotas e transportados ao aterro sanitário são apresentadas nas tabelas abaixo.</w:t>
            </w:r>
          </w:p>
          <w:p>
            <w:pPr>
              <w:pStyle w:val="BodyText"/>
              <w:widowControl/>
              <w:suppressAutoHyphens w:val="true"/>
              <w:spacing w:lineRule="auto" w:line="360" w:before="57" w:after="57"/>
              <w:jc w:val="center"/>
              <w:rPr/>
            </w:pPr>
            <w:r>
              <w:rPr>
                <w:rFonts w:eastAsia="Calibri" w:cs="Arial" w:ascii="Arial" w:hAnsi="Arial"/>
                <w:b w:val="false"/>
                <w:bCs w:val="false"/>
                <w:color w:val="000000"/>
                <w:shd w:fill="FFFFFF" w:val="clear"/>
              </w:rPr>
              <w:t xml:space="preserve"> </w:t>
            </w:r>
            <w:r>
              <w:rPr>
                <w:rFonts w:eastAsia="Calibri" w:cs="Arial" w:ascii="Arial" w:hAnsi="Arial"/>
                <w:b/>
                <w:bCs/>
                <w:color w:val="000000"/>
                <w:sz w:val="20"/>
                <w:shd w:fill="auto" w:val="clear"/>
              </w:rPr>
              <w:t>Tabela 2 - Massa mensal e massa média diária de resíduos destinados ao Aterro Sanitário               Período dezembro de 2024 a novembro de 2025</w:t>
            </w:r>
          </w:p>
          <w:tbl>
            <w:tblPr>
              <w:tblW w:w="8370" w:type="dxa"/>
              <w:jc w:val="left"/>
              <w:tblInd w:w="274" w:type="dxa"/>
              <w:tblLayout w:type="fixed"/>
              <w:tblCellMar>
                <w:top w:w="0" w:type="dxa"/>
                <w:left w:w="70" w:type="dxa"/>
                <w:bottom w:w="0" w:type="dxa"/>
                <w:right w:w="70" w:type="dxa"/>
              </w:tblCellMar>
            </w:tblPr>
            <w:tblGrid>
              <w:gridCol w:w="2520"/>
              <w:gridCol w:w="1979"/>
              <w:gridCol w:w="1216"/>
              <w:gridCol w:w="2654"/>
            </w:tblGrid>
            <w:tr>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napToGrid w:val="false"/>
                    <w:spacing w:lineRule="auto" w:line="360" w:before="0" w:after="0"/>
                    <w:ind w:firstLine="17" w:right="0"/>
                    <w:jc w:val="center"/>
                    <w:rPr>
                      <w:rFonts w:ascii="Arial" w:hAnsi="Arial"/>
                      <w:sz w:val="20"/>
                      <w:szCs w:val="20"/>
                      <w:shd w:fill="auto" w:val="clear"/>
                    </w:rPr>
                  </w:pPr>
                  <w:r>
                    <w:rPr>
                      <w:rFonts w:ascii="Arial" w:hAnsi="Arial"/>
                      <w:sz w:val="20"/>
                      <w:szCs w:val="20"/>
                      <w:shd w:fill="auto" w:val="clear"/>
                    </w:rPr>
                  </w:r>
                </w:p>
                <w:p>
                  <w:pPr>
                    <w:pStyle w:val="Normal"/>
                    <w:tabs>
                      <w:tab w:val="clear" w:pos="708"/>
                      <w:tab w:val="left" w:pos="17" w:leader="none"/>
                    </w:tabs>
                    <w:spacing w:lineRule="auto" w:line="360" w:before="0" w:after="0"/>
                    <w:ind w:firstLine="17" w:right="0"/>
                    <w:jc w:val="center"/>
                    <w:rPr>
                      <w:rFonts w:ascii="Arial" w:hAnsi="Arial"/>
                      <w:sz w:val="20"/>
                      <w:szCs w:val="20"/>
                    </w:rPr>
                  </w:pPr>
                  <w:r>
                    <w:rPr>
                      <w:rFonts w:cs="Arial" w:ascii="Arial" w:hAnsi="Arial"/>
                      <w:b/>
                      <w:bCs/>
                      <w:sz w:val="20"/>
                      <w:szCs w:val="20"/>
                      <w:shd w:fill="auto" w:val="clear"/>
                    </w:rPr>
                    <w:t>Mês</w:t>
                  </w:r>
                </w:p>
              </w:tc>
              <w:tc>
                <w:tcPr>
                  <w:tcW w:w="1979" w:type="dxa"/>
                  <w:tcBorders>
                    <w:top w:val="single" w:sz="4" w:space="0" w:color="000000"/>
                    <w:left w:val="single" w:sz="4" w:space="0" w:color="000000"/>
                    <w:bottom w:val="single" w:sz="4" w:space="0" w:color="000000"/>
                  </w:tcBorders>
                </w:tcPr>
                <w:p>
                  <w:pPr>
                    <w:pStyle w:val="FootnoteText"/>
                    <w:tabs>
                      <w:tab w:val="clear" w:pos="851"/>
                      <w:tab w:val="left" w:pos="0" w:leader="none"/>
                    </w:tabs>
                    <w:snapToGrid w:val="false"/>
                    <w:spacing w:lineRule="auto" w:line="360" w:before="0" w:after="0"/>
                    <w:ind w:hanging="0" w:left="0" w:right="0"/>
                    <w:jc w:val="center"/>
                    <w:rPr>
                      <w:rFonts w:ascii="Arial" w:hAnsi="Arial"/>
                      <w:sz w:val="20"/>
                      <w:szCs w:val="20"/>
                      <w:shd w:fill="auto" w:val="clear"/>
                    </w:rPr>
                  </w:pPr>
                  <w:r>
                    <w:rPr>
                      <w:sz w:val="20"/>
                      <w:szCs w:val="20"/>
                      <w:shd w:fill="auto" w:val="clear"/>
                    </w:rPr>
                  </w:r>
                </w:p>
                <w:p>
                  <w:pPr>
                    <w:pStyle w:val="FootnoteText"/>
                    <w:tabs>
                      <w:tab w:val="clear" w:pos="851"/>
                      <w:tab w:val="left" w:pos="0" w:leader="none"/>
                    </w:tabs>
                    <w:spacing w:lineRule="auto" w:line="360" w:before="0" w:after="0"/>
                    <w:ind w:hanging="0" w:left="0" w:right="0"/>
                    <w:jc w:val="center"/>
                    <w:rPr>
                      <w:rFonts w:ascii="Arial" w:hAnsi="Arial"/>
                      <w:sz w:val="20"/>
                      <w:szCs w:val="20"/>
                    </w:rPr>
                  </w:pPr>
                  <w:r>
                    <w:rPr>
                      <w:sz w:val="20"/>
                      <w:szCs w:val="20"/>
                      <w:shd w:fill="auto" w:val="clear"/>
                    </w:rPr>
                    <w:t>Massa mensal (t)</w:t>
                  </w:r>
                </w:p>
              </w:tc>
              <w:tc>
                <w:tcPr>
                  <w:tcW w:w="1216"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0"/>
                    <w:jc w:val="center"/>
                    <w:rPr>
                      <w:rFonts w:ascii="Arial" w:hAnsi="Arial"/>
                      <w:sz w:val="20"/>
                      <w:szCs w:val="20"/>
                    </w:rPr>
                  </w:pPr>
                  <w:r>
                    <w:rPr>
                      <w:rFonts w:cs="Arial" w:ascii="Arial" w:hAnsi="Arial"/>
                      <w:b/>
                      <w:bCs/>
                      <w:sz w:val="20"/>
                      <w:szCs w:val="20"/>
                      <w:shd w:fill="auto" w:val="clear"/>
                    </w:rPr>
                    <w:t>Dias Coleta/mês</w:t>
                  </w:r>
                </w:p>
              </w:tc>
              <w:tc>
                <w:tcPr>
                  <w:tcW w:w="2654" w:type="dxa"/>
                  <w:tcBorders>
                    <w:top w:val="single" w:sz="4" w:space="0" w:color="000000"/>
                    <w:left w:val="single" w:sz="4" w:space="0" w:color="000000"/>
                    <w:bottom w:val="single" w:sz="4" w:space="0" w:color="000000"/>
                    <w:right w:val="single" w:sz="4" w:space="0" w:color="000000"/>
                  </w:tcBorders>
                </w:tcPr>
                <w:p>
                  <w:pPr>
                    <w:pStyle w:val="Normal"/>
                    <w:widowControl/>
                    <w:tabs>
                      <w:tab w:val="clear" w:pos="708"/>
                      <w:tab w:val="left" w:pos="0" w:leader="none"/>
                    </w:tabs>
                    <w:suppressAutoHyphens w:val="true"/>
                    <w:bidi w:val="0"/>
                    <w:snapToGrid w:val="false"/>
                    <w:spacing w:lineRule="auto" w:line="360" w:before="0" w:after="0"/>
                    <w:ind w:hanging="0" w:left="113" w:right="0"/>
                    <w:jc w:val="center"/>
                    <w:rPr>
                      <w:rFonts w:ascii="Arial" w:hAnsi="Arial" w:cs="Arial"/>
                      <w:b/>
                      <w:bCs/>
                      <w:sz w:val="20"/>
                      <w:szCs w:val="20"/>
                      <w:shd w:fill="auto" w:val="clear"/>
                    </w:rPr>
                  </w:pPr>
                  <w:r>
                    <w:rPr>
                      <w:rFonts w:cs="Arial" w:ascii="Arial" w:hAnsi="Arial"/>
                      <w:b/>
                      <w:bCs/>
                      <w:sz w:val="20"/>
                      <w:szCs w:val="20"/>
                      <w:shd w:fill="auto" w:val="clear"/>
                    </w:rPr>
                  </w:r>
                </w:p>
                <w:p>
                  <w:pPr>
                    <w:pStyle w:val="Normal"/>
                    <w:tabs>
                      <w:tab w:val="clear" w:pos="708"/>
                      <w:tab w:val="left" w:pos="0" w:leader="none"/>
                    </w:tabs>
                    <w:spacing w:lineRule="auto" w:line="360" w:before="0" w:after="0"/>
                    <w:jc w:val="center"/>
                    <w:rPr>
                      <w:rFonts w:ascii="Arial" w:hAnsi="Arial"/>
                      <w:sz w:val="20"/>
                      <w:szCs w:val="20"/>
                    </w:rPr>
                  </w:pPr>
                  <w:r>
                    <w:rPr>
                      <w:rFonts w:cs="Arial" w:ascii="Arial" w:hAnsi="Arial"/>
                      <w:b/>
                      <w:bCs/>
                      <w:sz w:val="20"/>
                      <w:szCs w:val="20"/>
                      <w:shd w:fill="auto" w:val="clear"/>
                    </w:rPr>
                    <w:t>Massa média diária (t/dia)</w:t>
                  </w:r>
                </w:p>
              </w:tc>
            </w:tr>
            <w:tr>
              <w:trPr>
                <w:trHeight w:val="279" w:hRule="atLeast"/>
              </w:trPr>
              <w:tc>
                <w:tcPr>
                  <w:tcW w:w="2520" w:type="dxa"/>
                  <w:tcBorders>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Dezembro/2024</w:t>
                  </w:r>
                </w:p>
              </w:tc>
              <w:tc>
                <w:tcPr>
                  <w:tcW w:w="1979"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10.850,09</w:t>
                  </w:r>
                </w:p>
              </w:tc>
              <w:tc>
                <w:tcPr>
                  <w:tcW w:w="1216"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27</w:t>
                  </w:r>
                </w:p>
              </w:tc>
              <w:tc>
                <w:tcPr>
                  <w:tcW w:w="2654" w:type="dxa"/>
                  <w:tcBorders>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right="0"/>
                    <w:jc w:val="center"/>
                    <w:rPr>
                      <w:rFonts w:ascii="Arial" w:hAnsi="Arial"/>
                      <w:sz w:val="20"/>
                      <w:szCs w:val="20"/>
                    </w:rPr>
                  </w:pPr>
                  <w:r>
                    <w:rPr>
                      <w:rFonts w:cs="Arial" w:ascii="Arial" w:hAnsi="Arial"/>
                      <w:sz w:val="20"/>
                      <w:szCs w:val="20"/>
                      <w:shd w:fill="auto" w:val="clear"/>
                    </w:rPr>
                    <w:t>401,85</w:t>
                  </w:r>
                </w:p>
              </w:tc>
            </w:tr>
            <w:tr>
              <w:trPr>
                <w:trHeight w:val="279" w:hRule="atLeast"/>
              </w:trPr>
              <w:tc>
                <w:tcPr>
                  <w:tcW w:w="2520" w:type="dxa"/>
                  <w:tcBorders>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Janeiro/2025</w:t>
                  </w:r>
                </w:p>
              </w:tc>
              <w:tc>
                <w:tcPr>
                  <w:tcW w:w="1979"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10.242,40</w:t>
                  </w:r>
                </w:p>
              </w:tc>
              <w:tc>
                <w:tcPr>
                  <w:tcW w:w="1216"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27</w:t>
                  </w:r>
                </w:p>
              </w:tc>
              <w:tc>
                <w:tcPr>
                  <w:tcW w:w="2654" w:type="dxa"/>
                  <w:tcBorders>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379,34</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Fevereiro/2025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9.055,10</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25</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373,95</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Março/2025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10.182,90</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26</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391,65</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Abril/2025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9.458,02</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26</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363,77</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Maio/2025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9.742,85</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27</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360,84</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Junho/2025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9.122,40</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25</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364,89</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Julho/2025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10.352,88</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27</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383,44</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Agosto/2025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9.093,64</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26</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349,75</w:t>
                  </w:r>
                </w:p>
              </w:tc>
            </w:tr>
            <w:tr>
              <w:trPr>
                <w:trHeight w:val="279" w:hRule="atLeast"/>
              </w:trPr>
              <w:tc>
                <w:tcPr>
                  <w:tcW w:w="2520" w:type="dxa"/>
                  <w:tcBorders>
                    <w:top w:val="single" w:sz="4" w:space="0" w:color="000000"/>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Setembro/2025</w:t>
                  </w:r>
                </w:p>
              </w:tc>
              <w:tc>
                <w:tcPr>
                  <w:tcW w:w="1979"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9.933,54</w:t>
                  </w:r>
                </w:p>
              </w:tc>
              <w:tc>
                <w:tcPr>
                  <w:tcW w:w="1216" w:type="dxa"/>
                  <w:tcBorders>
                    <w:top w:val="single" w:sz="4" w:space="0" w:color="000000"/>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26</w:t>
                  </w:r>
                </w:p>
              </w:tc>
              <w:tc>
                <w:tcPr>
                  <w:tcW w:w="2654"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382,05</w:t>
                  </w:r>
                </w:p>
              </w:tc>
            </w:tr>
            <w:tr>
              <w:trPr>
                <w:trHeight w:val="279" w:hRule="atLeast"/>
              </w:trPr>
              <w:tc>
                <w:tcPr>
                  <w:tcW w:w="2520" w:type="dxa"/>
                  <w:tcBorders>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Outubro/2025</w:t>
                  </w:r>
                </w:p>
              </w:tc>
              <w:tc>
                <w:tcPr>
                  <w:tcW w:w="1979"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11.307,10</w:t>
                  </w:r>
                </w:p>
              </w:tc>
              <w:tc>
                <w:tcPr>
                  <w:tcW w:w="1216"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27</w:t>
                  </w:r>
                </w:p>
              </w:tc>
              <w:tc>
                <w:tcPr>
                  <w:tcW w:w="2654" w:type="dxa"/>
                  <w:tcBorders>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418,78</w:t>
                  </w:r>
                </w:p>
              </w:tc>
            </w:tr>
            <w:tr>
              <w:trPr>
                <w:trHeight w:val="279" w:hRule="atLeast"/>
              </w:trPr>
              <w:tc>
                <w:tcPr>
                  <w:tcW w:w="2520" w:type="dxa"/>
                  <w:tcBorders>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Novembro/2025</w:t>
                  </w:r>
                </w:p>
              </w:tc>
              <w:tc>
                <w:tcPr>
                  <w:tcW w:w="1979"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right="0"/>
                    <w:jc w:val="center"/>
                    <w:rPr>
                      <w:rFonts w:ascii="Arial" w:hAnsi="Arial"/>
                      <w:sz w:val="20"/>
                      <w:szCs w:val="20"/>
                    </w:rPr>
                  </w:pPr>
                  <w:r>
                    <w:rPr>
                      <w:rFonts w:cs="Arial" w:ascii="Arial" w:hAnsi="Arial"/>
                      <w:sz w:val="20"/>
                      <w:szCs w:val="20"/>
                      <w:shd w:fill="auto" w:val="clear"/>
                    </w:rPr>
                    <w:t>9.301,96</w:t>
                  </w:r>
                </w:p>
              </w:tc>
              <w:tc>
                <w:tcPr>
                  <w:tcW w:w="1216"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25</w:t>
                  </w:r>
                </w:p>
              </w:tc>
              <w:tc>
                <w:tcPr>
                  <w:tcW w:w="2654" w:type="dxa"/>
                  <w:tcBorders>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sz w:val="20"/>
                      <w:szCs w:val="20"/>
                      <w:shd w:fill="auto" w:val="clear"/>
                    </w:rPr>
                    <w:t>372,07</w:t>
                  </w:r>
                </w:p>
              </w:tc>
            </w:tr>
            <w:tr>
              <w:trPr>
                <w:trHeight w:val="279" w:hRule="atLeast"/>
              </w:trPr>
              <w:tc>
                <w:tcPr>
                  <w:tcW w:w="2520" w:type="dxa"/>
                  <w:tcBorders>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Total</w:t>
                  </w:r>
                </w:p>
              </w:tc>
              <w:tc>
                <w:tcPr>
                  <w:tcW w:w="1979" w:type="dxa"/>
                  <w:tcBorders>
                    <w:left w:val="single" w:sz="4" w:space="0" w:color="000000"/>
                    <w:bottom w:val="single" w:sz="4" w:space="0" w:color="000000"/>
                  </w:tcBorders>
                  <w:vAlign w:val="bottom"/>
                </w:tcPr>
                <w:p>
                  <w:pPr>
                    <w:pStyle w:val="Normal"/>
                    <w:snapToGrid w:val="false"/>
                    <w:spacing w:lineRule="auto" w:line="360" w:before="0" w:after="0"/>
                    <w:jc w:val="center"/>
                    <w:rPr>
                      <w:rFonts w:ascii="Arial" w:hAnsi="Arial"/>
                      <w:sz w:val="20"/>
                      <w:szCs w:val="20"/>
                    </w:rPr>
                  </w:pPr>
                  <w:r>
                    <w:rPr>
                      <w:rFonts w:cs="Arial" w:ascii="Arial" w:hAnsi="Arial"/>
                      <w:b/>
                      <w:bCs/>
                      <w:sz w:val="20"/>
                      <w:szCs w:val="20"/>
                      <w:shd w:fill="auto" w:val="clear"/>
                    </w:rPr>
                    <w:t>118.642,88</w:t>
                  </w:r>
                </w:p>
              </w:tc>
              <w:tc>
                <w:tcPr>
                  <w:tcW w:w="1216"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cs="Arial"/>
                      <w:b/>
                      <w:bCs/>
                      <w:sz w:val="20"/>
                      <w:szCs w:val="20"/>
                      <w:shd w:fill="auto" w:val="clear"/>
                    </w:rPr>
                  </w:pPr>
                  <w:r>
                    <w:rPr>
                      <w:rFonts w:cs="Arial" w:ascii="Arial" w:hAnsi="Arial"/>
                      <w:b/>
                      <w:bCs/>
                      <w:sz w:val="20"/>
                      <w:szCs w:val="20"/>
                      <w:shd w:fill="auto" w:val="clear"/>
                    </w:rPr>
                  </w:r>
                </w:p>
              </w:tc>
              <w:tc>
                <w:tcPr>
                  <w:tcW w:w="2654" w:type="dxa"/>
                  <w:tcBorders>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cs="Arial"/>
                      <w:b/>
                      <w:bCs/>
                      <w:sz w:val="20"/>
                      <w:szCs w:val="20"/>
                      <w:shd w:fill="auto" w:val="clear"/>
                    </w:rPr>
                  </w:pPr>
                  <w:r>
                    <w:rPr>
                      <w:rFonts w:cs="Arial" w:ascii="Arial" w:hAnsi="Arial"/>
                      <w:b/>
                      <w:bCs/>
                      <w:sz w:val="20"/>
                      <w:szCs w:val="20"/>
                      <w:shd w:fill="auto" w:val="clear"/>
                    </w:rPr>
                  </w:r>
                </w:p>
              </w:tc>
            </w:tr>
            <w:tr>
              <w:trPr>
                <w:trHeight w:val="279" w:hRule="atLeast"/>
              </w:trPr>
              <w:tc>
                <w:tcPr>
                  <w:tcW w:w="2520" w:type="dxa"/>
                  <w:tcBorders>
                    <w:left w:val="single" w:sz="4" w:space="0" w:color="000000"/>
                    <w:bottom w:val="single" w:sz="4" w:space="0" w:color="000000"/>
                  </w:tcBorders>
                </w:tcPr>
                <w:p>
                  <w:pPr>
                    <w:pStyle w:val="Normal"/>
                    <w:tabs>
                      <w:tab w:val="clear" w:pos="708"/>
                      <w:tab w:val="left" w:pos="17" w:leader="none"/>
                    </w:tabs>
                    <w:spacing w:lineRule="auto" w:line="360" w:before="0" w:after="0"/>
                    <w:ind w:firstLine="17" w:right="0"/>
                    <w:rPr>
                      <w:rFonts w:ascii="Arial" w:hAnsi="Arial"/>
                      <w:sz w:val="20"/>
                      <w:szCs w:val="20"/>
                    </w:rPr>
                  </w:pPr>
                  <w:r>
                    <w:rPr>
                      <w:rFonts w:cs="Arial" w:ascii="Arial" w:hAnsi="Arial"/>
                      <w:sz w:val="20"/>
                      <w:szCs w:val="20"/>
                      <w:shd w:fill="auto" w:val="clear"/>
                    </w:rPr>
                    <w:t>Média</w:t>
                  </w:r>
                </w:p>
              </w:tc>
              <w:tc>
                <w:tcPr>
                  <w:tcW w:w="1979"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b/>
                      <w:sz w:val="20"/>
                      <w:szCs w:val="20"/>
                      <w:shd w:fill="auto" w:val="clear"/>
                    </w:rPr>
                    <w:t>9.886,91</w:t>
                  </w:r>
                </w:p>
              </w:tc>
              <w:tc>
                <w:tcPr>
                  <w:tcW w:w="1216" w:type="dxa"/>
                  <w:tcBorders>
                    <w:left w:val="single" w:sz="4" w:space="0" w:color="000000"/>
                    <w:bottom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cs="Arial"/>
                      <w:b/>
                      <w:sz w:val="20"/>
                      <w:szCs w:val="20"/>
                      <w:shd w:fill="auto" w:val="clear"/>
                    </w:rPr>
                  </w:pPr>
                  <w:r>
                    <w:rPr>
                      <w:rFonts w:cs="Arial" w:ascii="Arial" w:hAnsi="Arial"/>
                      <w:b/>
                      <w:sz w:val="20"/>
                      <w:szCs w:val="20"/>
                      <w:shd w:fill="auto" w:val="clear"/>
                    </w:rPr>
                  </w:r>
                </w:p>
              </w:tc>
              <w:tc>
                <w:tcPr>
                  <w:tcW w:w="2654" w:type="dxa"/>
                  <w:tcBorders>
                    <w:left w:val="single" w:sz="4" w:space="0" w:color="000000"/>
                    <w:bottom w:val="single" w:sz="4" w:space="0" w:color="000000"/>
                    <w:right w:val="single" w:sz="4" w:space="0" w:color="000000"/>
                  </w:tcBorders>
                  <w:vAlign w:val="bottom"/>
                </w:tcPr>
                <w:p>
                  <w:pPr>
                    <w:pStyle w:val="Normal"/>
                    <w:tabs>
                      <w:tab w:val="clear" w:pos="708"/>
                      <w:tab w:val="left" w:pos="17" w:leader="none"/>
                    </w:tabs>
                    <w:snapToGrid w:val="false"/>
                    <w:spacing w:lineRule="auto" w:line="360" w:before="0" w:after="0"/>
                    <w:ind w:firstLine="17" w:right="0"/>
                    <w:jc w:val="center"/>
                    <w:rPr>
                      <w:rFonts w:ascii="Arial" w:hAnsi="Arial"/>
                      <w:sz w:val="20"/>
                      <w:szCs w:val="20"/>
                    </w:rPr>
                  </w:pPr>
                  <w:r>
                    <w:rPr>
                      <w:rFonts w:cs="Arial" w:ascii="Arial" w:hAnsi="Arial"/>
                      <w:b/>
                      <w:sz w:val="20"/>
                      <w:szCs w:val="20"/>
                      <w:shd w:fill="auto" w:val="clear"/>
                    </w:rPr>
                    <w:t>378,53</w:t>
                  </w:r>
                </w:p>
              </w:tc>
            </w:tr>
          </w:tbl>
          <w:p>
            <w:pPr>
              <w:pStyle w:val="BodyText"/>
              <w:widowControl/>
              <w:suppressAutoHyphens w:val="true"/>
              <w:spacing w:lineRule="auto" w:line="360" w:before="57" w:after="57"/>
              <w:jc w:val="center"/>
              <w:rPr>
                <w:rFonts w:ascii="Arial" w:hAnsi="Arial" w:eastAsia="Calibri" w:cs="Arial"/>
                <w:b w:val="false"/>
                <w:bCs w:val="false"/>
                <w:color w:val="000000"/>
              </w:rPr>
            </w:pPr>
            <w:r>
              <w:rPr>
                <w:rFonts w:eastAsia="Calibri" w:cs="Arial" w:ascii="Arial" w:hAnsi="Arial"/>
                <w:b w:val="false"/>
                <w:bCs w:val="false"/>
                <w:color w:val="000000"/>
              </w:rPr>
            </w:r>
          </w:p>
          <w:p>
            <w:pPr>
              <w:pStyle w:val="BodyText"/>
              <w:widowControl/>
              <w:suppressAutoHyphens w:val="true"/>
              <w:spacing w:lineRule="auto" w:line="360" w:before="57" w:after="57"/>
              <w:jc w:val="both"/>
              <w:rPr>
                <w:rFonts w:ascii="Arial" w:hAnsi="Arial" w:eastAsia="Calibri" w:cs="Arial"/>
                <w:b w:val="false"/>
                <w:bCs w:val="false"/>
                <w:color w:val="000000"/>
              </w:rPr>
            </w:pPr>
            <w:r>
              <w:rPr>
                <w:rFonts w:eastAsia="Calibri" w:cs="Arial" w:ascii="Arial" w:hAnsi="Arial"/>
                <w:b w:val="false"/>
                <w:bCs w:val="false"/>
                <w:color w:val="000000"/>
              </w:rPr>
            </w:r>
          </w:p>
          <w:p>
            <w:pPr>
              <w:pStyle w:val="FootnoteText"/>
              <w:tabs>
                <w:tab w:val="clear" w:pos="851"/>
              </w:tabs>
              <w:spacing w:lineRule="auto" w:line="360"/>
              <w:ind w:hanging="0" w:left="1276" w:right="0"/>
              <w:jc w:val="both"/>
              <w:rPr>
                <w:b/>
                <w:bCs/>
                <w:shd w:fill="auto" w:val="clear"/>
              </w:rPr>
            </w:pPr>
            <w:r>
              <w:rPr>
                <w:b/>
                <w:bCs/>
                <w:shd w:fill="auto" w:val="clear"/>
              </w:rPr>
            </w:r>
          </w:p>
          <w:p>
            <w:pPr>
              <w:pStyle w:val="FootnoteText"/>
              <w:tabs>
                <w:tab w:val="clear" w:pos="851"/>
              </w:tabs>
              <w:spacing w:lineRule="auto" w:line="360"/>
              <w:ind w:hanging="0" w:left="1276" w:right="0"/>
              <w:jc w:val="both"/>
              <w:rPr>
                <w:b/>
                <w:bCs/>
                <w:shd w:fill="auto" w:val="clear"/>
              </w:rPr>
            </w:pPr>
            <w:r>
              <w:rPr>
                <w:b/>
                <w:bCs/>
                <w:shd w:fill="auto" w:val="clear"/>
              </w:rPr>
            </w:r>
          </w:p>
          <w:p>
            <w:pPr>
              <w:pStyle w:val="FootnoteText"/>
              <w:tabs>
                <w:tab w:val="clear" w:pos="851"/>
              </w:tabs>
              <w:spacing w:lineRule="auto" w:line="360"/>
              <w:ind w:hanging="0" w:left="1276" w:right="0"/>
              <w:jc w:val="both"/>
              <w:rPr>
                <w:b/>
                <w:bCs/>
                <w:shd w:fill="auto" w:val="clear"/>
              </w:rPr>
            </w:pPr>
            <w:r>
              <w:rPr>
                <w:b/>
                <w:bCs/>
                <w:shd w:fill="auto" w:val="clear"/>
              </w:rPr>
            </w:r>
          </w:p>
          <w:p>
            <w:pPr>
              <w:pStyle w:val="FootnoteText"/>
              <w:widowControl w:val="false"/>
              <w:tabs>
                <w:tab w:val="clear" w:pos="851"/>
              </w:tabs>
              <w:suppressAutoHyphens w:val="true"/>
              <w:bidi w:val="0"/>
              <w:spacing w:lineRule="auto" w:line="360" w:before="0" w:after="160"/>
              <w:ind w:hanging="0" w:left="-113" w:right="113"/>
              <w:jc w:val="both"/>
              <w:rPr/>
            </w:pPr>
            <w:r>
              <w:rPr>
                <w:b/>
                <w:bCs/>
                <w:shd w:fill="auto" w:val="clear"/>
              </w:rPr>
              <w:t xml:space="preserve">Tabela 3 </w:t>
            </w:r>
            <w:r>
              <w:rPr>
                <w:b w:val="false"/>
                <w:bCs/>
                <w:shd w:fill="auto" w:val="clear"/>
              </w:rPr>
              <w:t xml:space="preserve">- </w:t>
            </w:r>
            <w:r>
              <w:rPr>
                <w:b/>
                <w:bCs/>
                <w:shd w:fill="auto" w:val="clear"/>
              </w:rPr>
              <w:t>Quantidade máxima diária mensal de aporte de resíduos na Estação Transbordo</w:t>
            </w:r>
          </w:p>
          <w:tbl>
            <w:tblPr>
              <w:tblW w:w="5375" w:type="dxa"/>
              <w:jc w:val="left"/>
              <w:tblInd w:w="2476" w:type="dxa"/>
              <w:tblLayout w:type="fixed"/>
              <w:tblCellMar>
                <w:top w:w="0" w:type="dxa"/>
                <w:left w:w="70" w:type="dxa"/>
                <w:bottom w:w="0" w:type="dxa"/>
                <w:right w:w="70" w:type="dxa"/>
              </w:tblCellMar>
            </w:tblPr>
            <w:tblGrid>
              <w:gridCol w:w="2762"/>
              <w:gridCol w:w="2612"/>
            </w:tblGrid>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Arial" w:ascii="Arial" w:hAnsi="Arial"/>
                      <w:b/>
                      <w:bCs/>
                      <w:sz w:val="20"/>
                      <w:szCs w:val="20"/>
                      <w:shd w:fill="auto" w:val="clear"/>
                    </w:rPr>
                    <w:t>Ano 2025</w:t>
                  </w:r>
                </w:p>
              </w:tc>
              <w:tc>
                <w:tcPr>
                  <w:tcW w:w="2612"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Arial" w:ascii="Arial" w:hAnsi="Arial"/>
                      <w:b/>
                      <w:bCs/>
                      <w:sz w:val="20"/>
                      <w:szCs w:val="20"/>
                      <w:shd w:fill="auto" w:val="clear"/>
                    </w:rPr>
                    <w:t>Máximas diárias/mês (t)</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b/>
                      <w:bCs/>
                      <w:color w:val="000000"/>
                      <w:sz w:val="20"/>
                      <w:szCs w:val="20"/>
                      <w:shd w:fill="auto" w:val="clear"/>
                    </w:rPr>
                    <w:t>Dezembro/2024</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b/>
                      <w:bCs/>
                      <w:color w:val="000000"/>
                      <w:sz w:val="20"/>
                      <w:szCs w:val="20"/>
                      <w:shd w:fill="auto" w:val="clear"/>
                    </w:rPr>
                    <w:t>841,97</w:t>
                  </w:r>
                </w:p>
              </w:tc>
            </w:tr>
            <w:tr>
              <w:trPr>
                <w:trHeight w:val="289" w:hRule="exact"/>
              </w:trPr>
              <w:tc>
                <w:tcPr>
                  <w:tcW w:w="2762" w:type="dxa"/>
                  <w:tcBorders>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Janeiro/2025</w:t>
                  </w:r>
                </w:p>
              </w:tc>
              <w:tc>
                <w:tcPr>
                  <w:tcW w:w="2612" w:type="dxa"/>
                  <w:tcBorders>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507,13</w:t>
                  </w:r>
                </w:p>
              </w:tc>
            </w:tr>
            <w:tr>
              <w:trPr>
                <w:trHeight w:val="289" w:hRule="exact"/>
              </w:trPr>
              <w:tc>
                <w:tcPr>
                  <w:tcW w:w="2762" w:type="dxa"/>
                  <w:tcBorders>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Fevereiro/2025</w:t>
                  </w:r>
                </w:p>
              </w:tc>
              <w:tc>
                <w:tcPr>
                  <w:tcW w:w="2612" w:type="dxa"/>
                  <w:tcBorders>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478,39</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Março/2025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599,75</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Abril/2025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468,43</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Maio/2025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467,37</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Junho/2025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621,15</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Julho/2025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537,50</w:t>
                  </w:r>
                </w:p>
              </w:tc>
            </w:tr>
            <w:tr>
              <w:trPr>
                <w:trHeight w:val="285"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Agosto/2025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582,42</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Setembro/2025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523,73</w:t>
                  </w:r>
                </w:p>
              </w:tc>
            </w:tr>
            <w:tr>
              <w:trPr>
                <w:trHeight w:val="289" w:hRule="exact"/>
              </w:trPr>
              <w:tc>
                <w:tcPr>
                  <w:tcW w:w="2762" w:type="dxa"/>
                  <w:tcBorders>
                    <w:top w:val="single" w:sz="4" w:space="0" w:color="000000"/>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Outubro/2025</w:t>
                  </w:r>
                </w:p>
              </w:tc>
              <w:tc>
                <w:tcPr>
                  <w:tcW w:w="2612"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668,94</w:t>
                  </w:r>
                </w:p>
              </w:tc>
            </w:tr>
            <w:tr>
              <w:trPr>
                <w:trHeight w:val="289" w:hRule="exact"/>
              </w:trPr>
              <w:tc>
                <w:tcPr>
                  <w:tcW w:w="2762" w:type="dxa"/>
                  <w:tcBorders>
                    <w:left w:val="single" w:sz="4" w:space="0" w:color="000000"/>
                    <w:bottom w:val="single" w:sz="4" w:space="0" w:color="000000"/>
                  </w:tcBorders>
                </w:tcPr>
                <w:p>
                  <w:pPr>
                    <w:pStyle w:val="Normal"/>
                    <w:tabs>
                      <w:tab w:val="clear" w:pos="708"/>
                      <w:tab w:val="left" w:pos="0" w:leader="none"/>
                    </w:tabs>
                    <w:spacing w:lineRule="auto" w:line="360" w:before="0" w:after="57"/>
                    <w:jc w:val="center"/>
                    <w:rPr>
                      <w:rFonts w:ascii="Arial" w:hAnsi="Arial"/>
                      <w:sz w:val="20"/>
                      <w:szCs w:val="20"/>
                    </w:rPr>
                  </w:pPr>
                  <w:r>
                    <w:rPr>
                      <w:rFonts w:cs="Calibri" w:ascii="Arial" w:hAnsi="Arial"/>
                      <w:color w:val="000000"/>
                      <w:sz w:val="20"/>
                      <w:szCs w:val="20"/>
                      <w:shd w:fill="auto" w:val="clear"/>
                    </w:rPr>
                    <w:t>Novembro/2025</w:t>
                  </w:r>
                </w:p>
              </w:tc>
              <w:tc>
                <w:tcPr>
                  <w:tcW w:w="2612" w:type="dxa"/>
                  <w:tcBorders>
                    <w:left w:val="single" w:sz="4" w:space="0" w:color="000000"/>
                    <w:bottom w:val="single" w:sz="4" w:space="0" w:color="000000"/>
                    <w:right w:val="single" w:sz="4" w:space="0" w:color="000000"/>
                  </w:tcBorders>
                  <w:vAlign w:val="bottom"/>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color w:val="000000"/>
                      <w:sz w:val="20"/>
                      <w:szCs w:val="20"/>
                      <w:shd w:fill="auto" w:val="clear"/>
                    </w:rPr>
                    <w:t>738,5</w:t>
                  </w:r>
                </w:p>
              </w:tc>
            </w:tr>
            <w:tr>
              <w:trPr>
                <w:trHeight w:val="289" w:hRule="exact"/>
              </w:trPr>
              <w:tc>
                <w:tcPr>
                  <w:tcW w:w="2762" w:type="dxa"/>
                  <w:tcBorders>
                    <w:left w:val="single" w:sz="4" w:space="0" w:color="000000"/>
                    <w:bottom w:val="single" w:sz="4" w:space="0" w:color="000000"/>
                  </w:tcBorders>
                  <w:vAlign w:val="center"/>
                </w:tcPr>
                <w:p>
                  <w:pPr>
                    <w:pStyle w:val="Normal"/>
                    <w:tabs>
                      <w:tab w:val="clear" w:pos="708"/>
                      <w:tab w:val="left" w:pos="0" w:leader="none"/>
                    </w:tabs>
                    <w:spacing w:lineRule="auto" w:line="360" w:before="0" w:after="57"/>
                    <w:rPr>
                      <w:rFonts w:ascii="Arial" w:hAnsi="Arial"/>
                      <w:sz w:val="20"/>
                      <w:szCs w:val="20"/>
                    </w:rPr>
                  </w:pPr>
                  <w:r>
                    <w:rPr>
                      <w:rFonts w:cs="Arial" w:ascii="Arial" w:hAnsi="Arial"/>
                      <w:b/>
                      <w:bCs/>
                      <w:sz w:val="20"/>
                      <w:szCs w:val="20"/>
                      <w:shd w:fill="auto" w:val="clear"/>
                    </w:rPr>
                    <w:t>Média das máximas diárias</w:t>
                  </w:r>
                </w:p>
              </w:tc>
              <w:tc>
                <w:tcPr>
                  <w:tcW w:w="2612" w:type="dxa"/>
                  <w:tcBorders>
                    <w:left w:val="single" w:sz="4" w:space="0" w:color="000000"/>
                    <w:bottom w:val="single" w:sz="4" w:space="0" w:color="000000"/>
                    <w:right w:val="single" w:sz="4" w:space="0" w:color="000000"/>
                  </w:tcBorders>
                  <w:vAlign w:val="center"/>
                </w:tcPr>
                <w:p>
                  <w:pPr>
                    <w:pStyle w:val="Normal"/>
                    <w:tabs>
                      <w:tab w:val="clear" w:pos="708"/>
                      <w:tab w:val="left" w:pos="0" w:leader="none"/>
                    </w:tabs>
                    <w:snapToGrid w:val="false"/>
                    <w:spacing w:lineRule="auto" w:line="360" w:before="0" w:after="57"/>
                    <w:jc w:val="center"/>
                    <w:rPr>
                      <w:rFonts w:ascii="Arial" w:hAnsi="Arial"/>
                      <w:sz w:val="20"/>
                      <w:szCs w:val="20"/>
                    </w:rPr>
                  </w:pPr>
                  <w:r>
                    <w:rPr>
                      <w:rFonts w:cs="Calibri" w:ascii="Arial" w:hAnsi="Arial"/>
                      <w:b/>
                      <w:color w:val="000000"/>
                      <w:sz w:val="20"/>
                      <w:szCs w:val="20"/>
                      <w:shd w:fill="auto" w:val="clear"/>
                    </w:rPr>
                    <w:t>586,28</w:t>
                  </w:r>
                </w:p>
              </w:tc>
            </w:tr>
          </w:tbl>
          <w:p>
            <w:pPr>
              <w:pStyle w:val="Normal"/>
              <w:tabs>
                <w:tab w:val="clear" w:pos="708"/>
                <w:tab w:val="left" w:pos="1985" w:leader="none"/>
              </w:tabs>
              <w:spacing w:lineRule="auto" w:line="360"/>
              <w:jc w:val="center"/>
              <w:rPr>
                <w:rFonts w:ascii="Arial" w:hAnsi="Arial" w:cs="Arial"/>
                <w:b w:val="false"/>
                <w:bCs w:val="false"/>
                <w:sz w:val="20"/>
                <w:szCs w:val="20"/>
                <w:shd w:fill="auto" w:val="clear"/>
              </w:rPr>
            </w:pPr>
            <w:r>
              <w:rPr>
                <w:rFonts w:eastAsia="Calibri" w:cs="Arial" w:ascii="Arial" w:hAnsi="Arial"/>
                <w:b w:val="false"/>
                <w:bCs w:val="false"/>
                <w:color w:val="000000"/>
                <w:sz w:val="20"/>
                <w:szCs w:val="20"/>
                <w:shd w:fill="auto" w:val="clear"/>
              </w:rPr>
              <w:t>Fonte: SANEP/DERS dezembro 2024 a novembro 2025</w:t>
            </w:r>
          </w:p>
          <w:p>
            <w:pPr>
              <w:pStyle w:val="Heading2"/>
              <w:widowControl/>
              <w:suppressAutoHyphens w:val="true"/>
              <w:spacing w:lineRule="auto" w:line="360" w:before="57" w:after="57"/>
              <w:jc w:val="center"/>
              <w:rPr/>
            </w:pPr>
            <w:r>
              <w:rPr>
                <w:rStyle w:val="Strong"/>
                <w:rFonts w:eastAsia="Calibri" w:cs="Arial" w:ascii="Arial" w:hAnsi="Arial"/>
                <w:b/>
                <w:bCs/>
                <w:color w:val="000000"/>
                <w:sz w:val="22"/>
                <w:szCs w:val="22"/>
              </w:rPr>
              <w:t>Dimensionamento da Frota</w:t>
            </w:r>
          </w:p>
          <w:p>
            <w:pPr>
              <w:pStyle w:val="BodyText"/>
              <w:spacing w:lineRule="auto" w:line="360" w:before="57" w:after="57"/>
              <w:jc w:val="both"/>
              <w:rPr/>
            </w:pPr>
            <w:r>
              <w:rPr>
                <w:rFonts w:cs="Arial" w:ascii="Arial" w:hAnsi="Arial"/>
                <w:color w:val="000000"/>
              </w:rPr>
              <w:t>A frota destinada ao transporte de resíduos deverá ser dimensionada a partir da determinação de um número mínimo de unidades de transporte, acrescido de uma frota reserva. Ambas deverão permanecer disponíveis para plena execução dos serviços, sujeitas à fiscalização permanente do SANEP.</w:t>
            </w:r>
          </w:p>
          <w:p>
            <w:pPr>
              <w:pStyle w:val="Heading3"/>
              <w:spacing w:lineRule="auto" w:line="360" w:before="57" w:after="57"/>
              <w:jc w:val="both"/>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r>
          </w:p>
          <w:p>
            <w:pPr>
              <w:pStyle w:val="Heading3"/>
              <w:spacing w:lineRule="auto" w:line="360" w:before="57" w:after="57"/>
              <w:jc w:val="center"/>
              <w:rPr/>
            </w:pPr>
            <w:r>
              <w:rPr>
                <w:rStyle w:val="Strong"/>
                <w:rFonts w:eastAsia="Calibri" w:cs="Arial" w:ascii="Arial" w:hAnsi="Arial"/>
                <w:b/>
                <w:bCs/>
                <w:color w:val="000000"/>
                <w:sz w:val="22"/>
                <w:szCs w:val="22"/>
              </w:rPr>
              <w:t>Frota Mínima (Nmin)</w:t>
            </w:r>
          </w:p>
          <w:p>
            <w:pPr>
              <w:pStyle w:val="BodyText"/>
              <w:spacing w:lineRule="auto" w:line="360" w:before="57" w:after="57"/>
              <w:jc w:val="both"/>
              <w:rPr/>
            </w:pPr>
            <w:r>
              <w:rPr>
                <w:rFonts w:cs="Arial" w:ascii="Arial" w:hAnsi="Arial"/>
                <w:color w:val="000000"/>
              </w:rPr>
              <w:t>Conforme a Tabela 2, a média dos máximos aportes de resíduos na Estação de Transbordo (ETP) é de 378</w:t>
            </w:r>
            <w:r>
              <w:rPr>
                <w:rStyle w:val="Strong"/>
                <w:rFonts w:cs="Arial" w:ascii="Arial" w:hAnsi="Arial"/>
                <w:color w:val="FE007F"/>
              </w:rPr>
              <w:t xml:space="preserve"> </w:t>
            </w:r>
            <w:r>
              <w:rPr>
                <w:rStyle w:val="Strong"/>
                <w:rFonts w:cs="Arial" w:ascii="Arial" w:hAnsi="Arial"/>
                <w:b w:val="false"/>
                <w:bCs w:val="false"/>
                <w:color w:val="000000"/>
              </w:rPr>
              <w:t>toneladas</w:t>
            </w:r>
            <w:r>
              <w:rPr>
                <w:rFonts w:cs="Arial" w:ascii="Arial" w:hAnsi="Arial"/>
                <w:color w:val="000000"/>
              </w:rPr>
              <w:t>, adotada como referência para os cálculos da frota mínima.</w:t>
            </w:r>
          </w:p>
          <w:p>
            <w:pPr>
              <w:pStyle w:val="BodyText"/>
              <w:spacing w:lineRule="auto" w:line="360" w:before="57" w:after="57"/>
              <w:jc w:val="both"/>
              <w:rPr>
                <w:rFonts w:ascii="Arial" w:hAnsi="Arial" w:cs="Arial"/>
                <w:color w:val="000000"/>
              </w:rPr>
            </w:pPr>
            <w:r>
              <w:rPr>
                <w:rFonts w:cs="Arial" w:ascii="Arial" w:hAnsi="Arial"/>
                <w:color w:val="000000"/>
              </w:rPr>
            </w:r>
          </w:p>
          <w:p>
            <w:pPr>
              <w:pStyle w:val="BodyText"/>
              <w:spacing w:lineRule="auto" w:line="360" w:before="57" w:after="57"/>
              <w:jc w:val="both"/>
              <w:rPr/>
            </w:pPr>
            <w:r>
              <w:rPr>
                <w:rFonts w:cs="Arial" w:ascii="Arial" w:hAnsi="Arial"/>
                <w:color w:val="000000"/>
              </w:rPr>
              <w:t>Para definição da frota mínima, foram utilizados os seguintes parâmetros:</w:t>
            </w:r>
          </w:p>
          <w:p>
            <w:pPr>
              <w:pStyle w:val="BodyText"/>
              <w:spacing w:lineRule="auto" w:line="360" w:before="57" w:after="57"/>
              <w:jc w:val="left"/>
              <w:rPr/>
            </w:pPr>
            <w:r>
              <w:rPr>
                <w:rFonts w:cs="Arial" w:ascii="Arial" w:hAnsi="Arial"/>
                <w:color w:val="000000"/>
              </w:rPr>
              <w:t xml:space="preserve">a) </w:t>
            </w:r>
            <w:r>
              <w:rPr>
                <w:rStyle w:val="Strong"/>
                <w:rFonts w:cs="Arial" w:ascii="Arial" w:hAnsi="Arial"/>
                <w:color w:val="000000"/>
              </w:rPr>
              <w:t>Qtmáx:</w:t>
            </w:r>
            <w:r>
              <w:rPr>
                <w:rFonts w:cs="Arial" w:ascii="Arial" w:hAnsi="Arial"/>
                <w:color w:val="000000"/>
              </w:rPr>
              <w:t xml:space="preserve"> Média dos máximos aportes de resíduos (t);</w:t>
              <w:br/>
              <w:t xml:space="preserve">b) </w:t>
            </w:r>
            <w:r>
              <w:rPr>
                <w:rStyle w:val="Strong"/>
                <w:rFonts w:cs="Arial" w:ascii="Arial" w:hAnsi="Arial"/>
                <w:color w:val="000000"/>
              </w:rPr>
              <w:t>me:</w:t>
            </w:r>
            <w:r>
              <w:rPr>
                <w:rFonts w:cs="Arial" w:ascii="Arial" w:hAnsi="Arial"/>
                <w:color w:val="000000"/>
              </w:rPr>
              <w:t xml:space="preserve"> Massa Específica Média de Transporte (t/m³);</w:t>
              <w:br/>
              <w:t xml:space="preserve">c) </w:t>
            </w:r>
            <w:r>
              <w:rPr>
                <w:rStyle w:val="Strong"/>
                <w:rFonts w:cs="Arial" w:ascii="Arial" w:hAnsi="Arial"/>
                <w:color w:val="000000"/>
              </w:rPr>
              <w:t>V:</w:t>
            </w:r>
            <w:r>
              <w:rPr>
                <w:rFonts w:cs="Arial" w:ascii="Arial" w:hAnsi="Arial"/>
                <w:color w:val="000000"/>
              </w:rPr>
              <w:t xml:space="preserve"> Capacidade volumétrica da unidade de carga (m³);</w:t>
              <w:br/>
              <w:t xml:space="preserve">d) </w:t>
            </w:r>
            <w:r>
              <w:rPr>
                <w:rStyle w:val="Strong"/>
                <w:rFonts w:cs="Arial" w:ascii="Arial" w:hAnsi="Arial"/>
                <w:color w:val="000000"/>
              </w:rPr>
              <w:t>Tc:</w:t>
            </w:r>
            <w:r>
              <w:rPr>
                <w:rFonts w:cs="Arial" w:ascii="Arial" w:hAnsi="Arial"/>
                <w:color w:val="000000"/>
              </w:rPr>
              <w:t xml:space="preserve"> Tempo de ciclo completo (h);</w:t>
              <w:br/>
              <w:t xml:space="preserve">e) </w:t>
            </w:r>
            <w:r>
              <w:rPr>
                <w:rStyle w:val="Strong"/>
                <w:rFonts w:cs="Arial" w:ascii="Arial" w:hAnsi="Arial"/>
                <w:color w:val="000000"/>
              </w:rPr>
              <w:t>To:</w:t>
            </w:r>
            <w:r>
              <w:rPr>
                <w:rFonts w:cs="Arial" w:ascii="Arial" w:hAnsi="Arial"/>
                <w:color w:val="000000"/>
              </w:rPr>
              <w:t xml:space="preserve"> Tempo médio de operação da frota (h/dia).</w:t>
            </w:r>
          </w:p>
          <w:p>
            <w:pPr>
              <w:pStyle w:val="BodyText"/>
              <w:widowControl/>
              <w:suppressAutoHyphens w:val="true"/>
              <w:spacing w:lineRule="auto" w:line="360" w:before="57" w:after="57"/>
              <w:jc w:val="both"/>
              <w:rPr>
                <w:rFonts w:ascii="Arial" w:hAnsi="Arial" w:eastAsia="Calibri" w:cs="Arial"/>
                <w:b w:val="false"/>
                <w:bCs w:val="false"/>
                <w:color w:val="000000"/>
              </w:rPr>
            </w:pPr>
            <w:r>
              <w:rPr>
                <w:rFonts w:eastAsia="Calibri" w:cs="Arial" w:ascii="Arial" w:hAnsi="Arial"/>
                <w:b w:val="false"/>
                <w:bCs w:val="false"/>
                <w:color w:val="000000"/>
              </w:rPr>
            </w:r>
          </w:p>
          <w:p>
            <w:pPr>
              <w:pStyle w:val="BodyText"/>
              <w:widowControl/>
              <w:suppressAutoHyphens w:val="true"/>
              <w:spacing w:lineRule="auto" w:line="360" w:before="57" w:after="57"/>
              <w:jc w:val="both"/>
              <w:rPr/>
            </w:pPr>
            <w:r>
              <w:rPr>
                <w:rFonts w:eastAsia="Calibri" w:cs="Arial" w:ascii="Arial" w:hAnsi="Arial"/>
                <w:b w:val="false"/>
                <w:bCs w:val="false"/>
                <w:color w:val="000000"/>
              </w:rPr>
              <w:t xml:space="preserve">A </w:t>
            </w:r>
            <w:r>
              <w:rPr>
                <w:rStyle w:val="Strong"/>
                <w:rFonts w:eastAsia="Calibri" w:cs="Arial" w:ascii="Arial" w:hAnsi="Arial"/>
                <w:color w:val="000000"/>
              </w:rPr>
              <w:t>Massa Específica Média de Transporte (me)</w:t>
            </w:r>
            <w:r>
              <w:rPr>
                <w:rFonts w:eastAsia="Calibri" w:cs="Arial" w:ascii="Arial" w:hAnsi="Arial"/>
                <w:b w:val="false"/>
                <w:bCs w:val="false"/>
                <w:color w:val="000000"/>
              </w:rPr>
              <w:t xml:space="preserve"> tem papel determinante, considerando que o RSU apresenta variações significativas em sua composição gravimétrica, influenciadas por tipologia da coleta, sazonalidade, condições climáticas, entre outros.</w:t>
            </w:r>
          </w:p>
          <w:p>
            <w:pPr>
              <w:pStyle w:val="BodyText"/>
              <w:spacing w:lineRule="auto" w:line="360" w:before="57" w:after="57"/>
              <w:jc w:val="both"/>
              <w:rPr/>
            </w:pPr>
            <w:r>
              <w:rPr>
                <w:rFonts w:cs="Arial" w:ascii="Arial" w:hAnsi="Arial"/>
                <w:color w:val="000000"/>
              </w:rPr>
              <w:t>A quantidade mínima de unidades de transporte (Nmin) deverá ser calculada pela expressão:</w:t>
            </w:r>
          </w:p>
          <w:p>
            <w:pPr>
              <w:pStyle w:val="Normal"/>
              <w:widowControl w:val="false"/>
              <w:spacing w:lineRule="auto" w:line="360"/>
              <w:ind w:firstLine="540"/>
              <w:jc w:val="left"/>
              <w:rPr>
                <w:sz w:val="24"/>
                <w:szCs w:val="24"/>
              </w:rPr>
            </w:pPr>
            <w:r>
              <w:rPr>
                <w:rFonts w:cs="Arial" w:ascii="Arial" w:hAnsi="Arial"/>
                <w:b/>
                <w:bCs/>
                <w:color w:val="000000"/>
                <w:sz w:val="24"/>
                <w:szCs w:val="24"/>
                <w:lang w:val="es-ES_tradnl"/>
              </w:rPr>
              <w:t>N</w:t>
            </w:r>
            <w:r>
              <w:rPr>
                <w:rFonts w:cs="Arial" w:ascii="Arial" w:hAnsi="Arial"/>
                <w:b/>
                <w:bCs/>
                <w:color w:val="000000"/>
                <w:sz w:val="24"/>
                <w:szCs w:val="24"/>
                <w:vertAlign w:val="subscript"/>
                <w:lang w:val="es-ES_tradnl"/>
              </w:rPr>
              <w:t xml:space="preserve">min </w:t>
            </w:r>
            <w:r>
              <w:rPr>
                <w:rFonts w:cs="Arial" w:ascii="Arial" w:hAnsi="Arial"/>
                <w:b/>
                <w:bCs/>
                <w:color w:val="000000"/>
                <w:sz w:val="24"/>
                <w:szCs w:val="24"/>
                <w:lang w:val="es-ES_tradnl"/>
              </w:rPr>
              <w:t>=</w:t>
            </w:r>
            <w:r>
              <w:rPr>
                <w:rFonts w:cs="Arial" w:ascii="Arial" w:hAnsi="Arial"/>
                <w:b/>
                <w:bCs/>
                <w:color w:val="000000"/>
                <w:sz w:val="24"/>
                <w:szCs w:val="24"/>
                <w:vertAlign w:val="subscript"/>
                <w:lang w:val="es-ES_tradnl"/>
              </w:rPr>
              <w:t xml:space="preserve"> </w:t>
            </w:r>
            <w:r>
              <w:rPr>
                <w:rFonts w:cs="Arial" w:ascii="Arial" w:hAnsi="Arial"/>
                <w:b/>
                <w:bCs/>
                <w:color w:val="000000"/>
                <w:sz w:val="24"/>
                <w:szCs w:val="24"/>
                <w:lang w:val="es-ES_tradnl"/>
              </w:rPr>
              <w:t>(Qt</w:t>
            </w:r>
            <w:r>
              <w:rPr>
                <w:rFonts w:cs="Arial" w:ascii="Arial" w:hAnsi="Arial"/>
                <w:b/>
                <w:bCs/>
                <w:color w:val="000000"/>
                <w:sz w:val="24"/>
                <w:szCs w:val="24"/>
                <w:vertAlign w:val="subscript"/>
                <w:lang w:val="es-ES_tradnl"/>
              </w:rPr>
              <w:t>máx</w:t>
            </w:r>
            <w:r>
              <w:rPr>
                <w:rFonts w:cs="Arial" w:ascii="Arial" w:hAnsi="Arial"/>
                <w:b/>
                <w:bCs/>
                <w:color w:val="000000"/>
                <w:sz w:val="24"/>
                <w:szCs w:val="24"/>
                <w:lang w:val="es-ES_tradnl"/>
              </w:rPr>
              <w:t>xT</w:t>
            </w:r>
            <w:r>
              <w:rPr>
                <w:rFonts w:cs="Arial" w:ascii="Arial" w:hAnsi="Arial"/>
                <w:b/>
                <w:bCs/>
                <w:color w:val="000000"/>
                <w:sz w:val="24"/>
                <w:szCs w:val="24"/>
                <w:vertAlign w:val="subscript"/>
                <w:lang w:val="es-ES_tradnl"/>
              </w:rPr>
              <w:t>c</w:t>
            </w:r>
            <w:r>
              <w:rPr>
                <w:rFonts w:cs="Arial" w:ascii="Arial" w:hAnsi="Arial"/>
                <w:b/>
                <w:bCs/>
                <w:color w:val="000000"/>
                <w:sz w:val="24"/>
                <w:szCs w:val="24"/>
                <w:lang w:val="es-ES_tradnl"/>
              </w:rPr>
              <w:t>)/(m</w:t>
            </w:r>
            <w:r>
              <w:rPr>
                <w:rFonts w:cs="Arial" w:ascii="Arial" w:hAnsi="Arial"/>
                <w:b/>
                <w:bCs/>
                <w:color w:val="000000"/>
                <w:sz w:val="24"/>
                <w:szCs w:val="24"/>
                <w:vertAlign w:val="subscript"/>
                <w:lang w:val="es-ES_tradnl"/>
              </w:rPr>
              <w:t>e</w:t>
            </w:r>
            <w:r>
              <w:rPr>
                <w:rFonts w:cs="Arial" w:ascii="Arial" w:hAnsi="Arial"/>
                <w:b/>
                <w:bCs/>
                <w:color w:val="000000"/>
                <w:sz w:val="24"/>
                <w:szCs w:val="24"/>
                <w:lang w:val="es-ES_tradnl"/>
              </w:rPr>
              <w:t>xVxT</w:t>
            </w:r>
            <w:r>
              <w:rPr>
                <w:rFonts w:cs="Arial" w:ascii="Arial" w:hAnsi="Arial"/>
                <w:b/>
                <w:bCs/>
                <w:color w:val="000000"/>
                <w:sz w:val="24"/>
                <w:szCs w:val="24"/>
                <w:vertAlign w:val="subscript"/>
                <w:lang w:val="es-ES_tradnl"/>
              </w:rPr>
              <w:t>o</w:t>
            </w:r>
            <w:r>
              <w:rPr>
                <w:rFonts w:cs="Arial" w:ascii="Arial" w:hAnsi="Arial"/>
                <w:b/>
                <w:bCs/>
                <w:color w:val="000000"/>
                <w:sz w:val="24"/>
                <w:szCs w:val="24"/>
                <w:lang w:val="es-ES_tradnl"/>
              </w:rPr>
              <w:t>)</w:t>
            </w:r>
            <w:r>
              <w:rPr>
                <w:rFonts w:cs="Arial" w:ascii="Arial" w:hAnsi="Arial"/>
                <w:b/>
                <w:bCs/>
                <w:iCs/>
                <w:color w:val="000000"/>
                <w:sz w:val="24"/>
                <w:szCs w:val="24"/>
                <w:lang w:val="es-ES_tradnl"/>
              </w:rPr>
              <w:t>.</w:t>
            </w:r>
          </w:p>
          <w:p>
            <w:pPr>
              <w:pStyle w:val="Heading3"/>
              <w:widowControl/>
              <w:suppressAutoHyphens w:val="true"/>
              <w:spacing w:lineRule="auto" w:line="360" w:before="57" w:after="57"/>
              <w:jc w:val="center"/>
              <w:rPr/>
            </w:pPr>
            <w:r>
              <w:rPr>
                <w:rStyle w:val="Strong"/>
                <w:rFonts w:eastAsia="Calibri" w:cs="Arial" w:ascii="Arial" w:hAnsi="Arial"/>
                <w:b/>
                <w:bCs/>
                <w:color w:val="000000"/>
                <w:sz w:val="22"/>
                <w:szCs w:val="22"/>
              </w:rPr>
              <w:t>Frota Reserva (Nres)</w:t>
            </w:r>
          </w:p>
          <w:p>
            <w:pPr>
              <w:pStyle w:val="BodyText"/>
              <w:spacing w:lineRule="auto" w:line="360" w:before="57" w:after="57"/>
              <w:jc w:val="both"/>
              <w:rPr/>
            </w:pPr>
            <w:r>
              <w:rPr>
                <w:rFonts w:cs="Arial" w:ascii="Arial" w:hAnsi="Arial"/>
                <w:color w:val="000000"/>
              </w:rPr>
              <w:t>A frota reserva deverá ser dimensionada mediante a aplicação de percentual sobre a frota mínima calculada no item anterior. As unidades da frota reserva devem ser completas (unidade de tração + unidade de carga + condutor) e permanecer à disposição do SANEP.</w:t>
            </w:r>
          </w:p>
          <w:p>
            <w:pPr>
              <w:pStyle w:val="BodyText"/>
              <w:spacing w:lineRule="auto" w:line="360" w:before="57" w:after="57"/>
              <w:jc w:val="both"/>
              <w:rPr/>
            </w:pPr>
            <w:r>
              <w:rPr>
                <w:rFonts w:cs="Arial" w:ascii="Arial" w:hAnsi="Arial"/>
                <w:color w:val="000000"/>
              </w:rPr>
              <w:t>A frota reserva será calculada conforme:</w:t>
            </w:r>
          </w:p>
          <w:p>
            <w:pPr>
              <w:pStyle w:val="Normal"/>
              <w:widowControl w:val="false"/>
              <w:spacing w:lineRule="auto" w:line="360"/>
              <w:ind w:firstLine="540"/>
              <w:jc w:val="both"/>
              <w:rPr>
                <w:sz w:val="24"/>
                <w:szCs w:val="24"/>
              </w:rPr>
            </w:pPr>
            <w:r>
              <w:rPr>
                <w:rFonts w:eastAsia="Calibri" w:cs="Arial" w:ascii="Arial" w:hAnsi="Arial"/>
                <w:b/>
                <w:bCs/>
                <w:color w:val="000000"/>
                <w:sz w:val="24"/>
                <w:szCs w:val="24"/>
                <w:shd w:fill="FFFFFF" w:val="clear"/>
              </w:rPr>
              <w:t>N</w:t>
            </w:r>
            <w:r>
              <w:rPr>
                <w:rFonts w:eastAsia="Calibri" w:cs="Arial" w:ascii="Arial" w:hAnsi="Arial"/>
                <w:b/>
                <w:bCs/>
                <w:color w:val="000000"/>
                <w:sz w:val="24"/>
                <w:szCs w:val="24"/>
                <w:shd w:fill="FFFFFF" w:val="clear"/>
                <w:vertAlign w:val="subscript"/>
              </w:rPr>
              <w:t>res</w:t>
            </w:r>
            <w:r>
              <w:rPr>
                <w:rFonts w:eastAsia="Calibri" w:cs="Arial" w:ascii="Arial" w:hAnsi="Arial"/>
                <w:b/>
                <w:bCs/>
                <w:color w:val="000000"/>
                <w:sz w:val="24"/>
                <w:szCs w:val="24"/>
                <w:shd w:fill="FFFFFF" w:val="clear"/>
              </w:rPr>
              <w:t>= N</w:t>
            </w:r>
            <w:r>
              <w:rPr>
                <w:rFonts w:eastAsia="Calibri" w:cs="Arial" w:ascii="Arial" w:hAnsi="Arial"/>
                <w:b/>
                <w:bCs/>
                <w:color w:val="000000"/>
                <w:sz w:val="24"/>
                <w:szCs w:val="24"/>
                <w:shd w:fill="FFFFFF" w:val="clear"/>
                <w:vertAlign w:val="subscript"/>
              </w:rPr>
              <w:t>min</w:t>
            </w:r>
            <w:r>
              <w:rPr>
                <w:rFonts w:eastAsia="Calibri" w:cs="Arial" w:ascii="Arial" w:hAnsi="Arial"/>
                <w:b/>
                <w:bCs/>
                <w:color w:val="000000"/>
                <w:sz w:val="24"/>
                <w:szCs w:val="24"/>
                <w:shd w:fill="FFFFFF" w:val="clear"/>
              </w:rPr>
              <w:t>x15%</w:t>
            </w:r>
          </w:p>
          <w:p>
            <w:pPr>
              <w:pStyle w:val="BodyText"/>
              <w:widowControl/>
              <w:suppressAutoHyphens w:val="true"/>
              <w:spacing w:lineRule="auto" w:line="360" w:before="57" w:after="57"/>
              <w:jc w:val="both"/>
              <w:rPr/>
            </w:pPr>
            <w:r>
              <w:rPr>
                <w:rFonts w:eastAsia="Calibri" w:cs="Arial" w:ascii="Arial" w:hAnsi="Arial"/>
                <w:b w:val="false"/>
                <w:bCs w:val="false"/>
                <w:color w:val="000000"/>
              </w:rPr>
              <w:t>Onde:</w:t>
            </w:r>
          </w:p>
          <w:p>
            <w:pPr>
              <w:pStyle w:val="BodyText"/>
              <w:numPr>
                <w:ilvl w:val="0"/>
                <w:numId w:val="12"/>
              </w:numPr>
              <w:tabs>
                <w:tab w:val="clear" w:pos="708"/>
                <w:tab w:val="left" w:pos="0" w:leader="none"/>
              </w:tabs>
              <w:spacing w:lineRule="auto" w:line="360" w:before="57" w:after="57"/>
              <w:ind w:hanging="283" w:left="709"/>
              <w:jc w:val="both"/>
              <w:rPr/>
            </w:pPr>
            <w:r>
              <w:rPr>
                <w:rStyle w:val="Strong"/>
                <w:rFonts w:cs="Arial" w:ascii="Arial" w:hAnsi="Arial"/>
                <w:color w:val="000000"/>
              </w:rPr>
              <w:t>Nmin:</w:t>
            </w:r>
            <w:r>
              <w:rPr>
                <w:rFonts w:cs="Arial" w:ascii="Arial" w:hAnsi="Arial"/>
                <w:color w:val="000000"/>
              </w:rPr>
              <w:t xml:space="preserve"> frota mínima</w:t>
            </w:r>
          </w:p>
          <w:p>
            <w:pPr>
              <w:pStyle w:val="BodyText"/>
              <w:numPr>
                <w:ilvl w:val="0"/>
                <w:numId w:val="12"/>
              </w:numPr>
              <w:tabs>
                <w:tab w:val="clear" w:pos="708"/>
                <w:tab w:val="left" w:pos="0" w:leader="none"/>
              </w:tabs>
              <w:spacing w:lineRule="auto" w:line="360" w:before="57" w:after="57"/>
              <w:ind w:hanging="283" w:left="709"/>
              <w:jc w:val="both"/>
              <w:rPr/>
            </w:pPr>
            <w:r>
              <w:rPr>
                <w:rStyle w:val="Strong"/>
                <w:rFonts w:cs="Arial" w:ascii="Arial" w:hAnsi="Arial"/>
                <w:color w:val="000000"/>
              </w:rPr>
              <w:t>Nres:</w:t>
            </w:r>
            <w:r>
              <w:rPr>
                <w:rFonts w:cs="Arial" w:ascii="Arial" w:hAnsi="Arial"/>
                <w:color w:val="000000"/>
              </w:rPr>
              <w:t xml:space="preserve"> frota reserva</w:t>
            </w:r>
          </w:p>
          <w:p>
            <w:pPr>
              <w:pStyle w:val="Heading3"/>
              <w:widowControl/>
              <w:suppressAutoHyphens w:val="true"/>
              <w:spacing w:lineRule="auto" w:line="360" w:before="57" w:after="57"/>
              <w:jc w:val="center"/>
              <w:rPr/>
            </w:pPr>
            <w:r>
              <w:rPr>
                <w:rStyle w:val="Strong"/>
                <w:rFonts w:eastAsia="Calibri" w:cs="Arial" w:ascii="Arial" w:hAnsi="Arial"/>
                <w:b/>
                <w:bCs/>
                <w:color w:val="000000"/>
                <w:sz w:val="22"/>
                <w:szCs w:val="22"/>
              </w:rPr>
              <w:t>Frota Total (Nt)</w:t>
            </w:r>
          </w:p>
          <w:p>
            <w:pPr>
              <w:pStyle w:val="Normal"/>
              <w:widowControl w:val="false"/>
              <w:spacing w:lineRule="auto" w:line="360"/>
              <w:ind w:firstLine="540"/>
              <w:jc w:val="both"/>
              <w:rPr>
                <w:sz w:val="24"/>
                <w:szCs w:val="24"/>
              </w:rPr>
            </w:pPr>
            <w:r>
              <w:rPr>
                <w:rFonts w:cs="Arial" w:ascii="Arial" w:hAnsi="Arial"/>
                <w:sz w:val="24"/>
                <w:szCs w:val="24"/>
              </w:rPr>
              <w:t>O número de unidades de transporte da frota total (N</w:t>
            </w:r>
            <w:r>
              <w:rPr>
                <w:rFonts w:cs="Arial" w:ascii="Arial" w:hAnsi="Arial"/>
                <w:sz w:val="24"/>
                <w:szCs w:val="24"/>
                <w:vertAlign w:val="subscript"/>
              </w:rPr>
              <w:t>t</w:t>
            </w:r>
            <w:r>
              <w:rPr>
                <w:rFonts w:cs="Arial" w:ascii="Arial" w:hAnsi="Arial"/>
                <w:sz w:val="24"/>
                <w:szCs w:val="24"/>
              </w:rPr>
              <w:t>) é obtido pela soma do número de unidades da frota mínima (N</w:t>
            </w:r>
            <w:r>
              <w:rPr>
                <w:rFonts w:cs="Arial" w:ascii="Arial" w:hAnsi="Arial"/>
                <w:sz w:val="24"/>
                <w:szCs w:val="24"/>
                <w:vertAlign w:val="subscript"/>
              </w:rPr>
              <w:t>min</w:t>
            </w:r>
            <w:r>
              <w:rPr>
                <w:rFonts w:cs="Arial" w:ascii="Arial" w:hAnsi="Arial"/>
                <w:sz w:val="24"/>
                <w:szCs w:val="24"/>
              </w:rPr>
              <w:t>) com o número de unidades da frota reserva (N</w:t>
            </w:r>
            <w:r>
              <w:rPr>
                <w:rFonts w:cs="Arial" w:ascii="Arial" w:hAnsi="Arial"/>
                <w:sz w:val="24"/>
                <w:szCs w:val="24"/>
                <w:vertAlign w:val="subscript"/>
              </w:rPr>
              <w:t>res</w:t>
            </w:r>
            <w:r>
              <w:rPr>
                <w:rFonts w:cs="Arial" w:ascii="Arial" w:hAnsi="Arial"/>
                <w:sz w:val="24"/>
                <w:szCs w:val="24"/>
              </w:rPr>
              <w:t>).Tem-se, então:</w:t>
            </w:r>
          </w:p>
          <w:p>
            <w:pPr>
              <w:pStyle w:val="Normal"/>
              <w:widowControl w:val="false"/>
              <w:spacing w:lineRule="auto" w:line="360"/>
              <w:ind w:firstLine="540"/>
              <w:jc w:val="both"/>
              <w:rPr>
                <w:sz w:val="24"/>
                <w:szCs w:val="24"/>
              </w:rPr>
            </w:pPr>
            <w:r>
              <w:rPr>
                <w:rFonts w:eastAsia="Arial"/>
                <w:b/>
                <w:bCs/>
                <w:sz w:val="24"/>
                <w:szCs w:val="24"/>
              </w:rPr>
              <w:t xml:space="preserve"> </w:t>
            </w:r>
            <w:r>
              <w:rPr>
                <w:b/>
                <w:bCs/>
                <w:sz w:val="24"/>
                <w:szCs w:val="24"/>
              </w:rPr>
              <w:t>N</w:t>
            </w:r>
            <w:r>
              <w:rPr>
                <w:b/>
                <w:bCs/>
                <w:sz w:val="24"/>
                <w:szCs w:val="24"/>
                <w:vertAlign w:val="subscript"/>
              </w:rPr>
              <w:t>t</w:t>
            </w:r>
            <w:r>
              <w:rPr>
                <w:b/>
                <w:bCs/>
                <w:sz w:val="24"/>
                <w:szCs w:val="24"/>
              </w:rPr>
              <w:t>= N</w:t>
            </w:r>
            <w:r>
              <w:rPr>
                <w:b/>
                <w:bCs/>
                <w:sz w:val="24"/>
                <w:szCs w:val="24"/>
                <w:vertAlign w:val="subscript"/>
              </w:rPr>
              <w:t>min</w:t>
            </w:r>
            <w:r>
              <w:rPr>
                <w:b/>
                <w:bCs/>
                <w:sz w:val="24"/>
                <w:szCs w:val="24"/>
              </w:rPr>
              <w:t>+Nr</w:t>
            </w:r>
            <w:r>
              <w:rPr>
                <w:b/>
                <w:bCs/>
                <w:sz w:val="24"/>
                <w:szCs w:val="24"/>
                <w:vertAlign w:val="subscript"/>
              </w:rPr>
              <w:t>es</w:t>
            </w:r>
          </w:p>
          <w:p>
            <w:pPr>
              <w:pStyle w:val="BodyText"/>
              <w:widowControl/>
              <w:suppressAutoHyphens w:val="true"/>
              <w:spacing w:lineRule="auto" w:line="360" w:before="57" w:after="57"/>
              <w:jc w:val="both"/>
              <w:rPr/>
            </w:pPr>
            <w:r>
              <w:rPr>
                <w:rFonts w:eastAsia="Calibri" w:cs="Arial" w:ascii="Arial" w:hAnsi="Arial"/>
                <w:b w:val="false"/>
                <w:bCs w:val="false"/>
                <w:color w:val="000000"/>
              </w:rPr>
              <w:t xml:space="preserve">Caso qualquer unidade da frota – incluindo a reserva – necessite afastamento por período superior a 48 horas (por manutenção, acidente, entre outros), a contratada deverá disponibilizar </w:t>
            </w:r>
            <w:r>
              <w:rPr>
                <w:rStyle w:val="Strong"/>
                <w:rFonts w:eastAsia="Calibri" w:cs="Arial" w:ascii="Arial" w:hAnsi="Arial"/>
                <w:color w:val="000000"/>
              </w:rPr>
              <w:t>veículo substituto</w:t>
            </w:r>
            <w:r>
              <w:rPr>
                <w:rFonts w:eastAsia="Calibri" w:cs="Arial" w:ascii="Arial" w:hAnsi="Arial"/>
                <w:b w:val="false"/>
                <w:bCs w:val="false"/>
                <w:color w:val="000000"/>
              </w:rPr>
              <w:t xml:space="preserve"> pelo tempo necessário, sem ônus adicional ao SANEP.</w:t>
            </w:r>
          </w:p>
        </w:tc>
      </w:tr>
    </w:tbl>
    <w:p>
      <w:pPr>
        <w:pStyle w:val="Normal"/>
        <w:spacing w:lineRule="auto" w:line="276" w:before="0" w:after="0"/>
        <w:jc w:val="both"/>
        <w:rPr>
          <w:rFonts w:ascii="Arial" w:hAnsi="Arial" w:cs="Arial"/>
        </w:rPr>
      </w:pPr>
      <w:r>
        <w:rPr>
          <w:rFonts w:cs="Arial" w:ascii="Arial" w:hAnsi="Arial"/>
        </w:rPr>
      </w:r>
    </w:p>
    <w:tbl>
      <w:tblPr>
        <w:tblStyle w:val="Tabelacomgrade"/>
        <w:tblW w:w="912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15"/>
        <w:gridCol w:w="4653"/>
        <w:gridCol w:w="1306"/>
        <w:gridCol w:w="1021"/>
        <w:gridCol w:w="1425"/>
      </w:tblGrid>
      <w:tr>
        <w:trPr/>
        <w:tc>
          <w:tcPr>
            <w:tcW w:w="9120" w:type="dxa"/>
            <w:gridSpan w:val="5"/>
            <w:tcBorders/>
            <w:shd w:color="auto" w:fill="BFBFBF" w:themeFill="background1" w:themeFillShade="bf" w:val="clear"/>
          </w:tcPr>
          <w:p>
            <w:pPr>
              <w:pStyle w:val="Normal"/>
              <w:widowControl/>
              <w:suppressAutoHyphens w:val="true"/>
              <w:spacing w:lineRule="auto" w:line="240" w:before="57" w:after="57"/>
              <w:jc w:val="left"/>
              <w:rPr>
                <w:rFonts w:ascii="Arial" w:hAnsi="Arial" w:eastAsia="Calibri"/>
              </w:rPr>
            </w:pPr>
            <w:r>
              <w:rPr>
                <w:rFonts w:eastAsia="Calibri" w:cs="Arial" w:ascii="Arial" w:hAnsi="Arial"/>
                <w:b/>
                <w:bCs/>
                <w:kern w:val="2"/>
                <w:sz w:val="22"/>
                <w:szCs w:val="22"/>
                <w:lang w:val="pt-BR" w:eastAsia="en-US" w:bidi="ar-SA"/>
              </w:rPr>
              <w:t>5 ESTIMATIVA DAS QUANTIDADES</w:t>
            </w:r>
          </w:p>
        </w:tc>
      </w:tr>
      <w:tr>
        <w:trPr/>
        <w:tc>
          <w:tcPr>
            <w:tcW w:w="715" w:type="dxa"/>
            <w:tcBorders>
              <w:right w:val="nil"/>
            </w:tcBorders>
            <w:vAlign w:val="center"/>
          </w:tcPr>
          <w:p>
            <w:pPr>
              <w:pStyle w:val="Normal"/>
              <w:widowControl/>
              <w:suppressAutoHyphens w:val="true"/>
              <w:spacing w:lineRule="auto" w:line="240" w:before="57" w:after="57"/>
              <w:jc w:val="center"/>
              <w:rPr>
                <w:b/>
                <w:bCs/>
              </w:rPr>
            </w:pPr>
            <w:r>
              <w:rPr>
                <w:b/>
                <w:bCs/>
                <w:sz w:val="22"/>
              </w:rPr>
              <w:t>ITEM</w:t>
            </w:r>
          </w:p>
        </w:tc>
        <w:tc>
          <w:tcPr>
            <w:tcW w:w="4653" w:type="dxa"/>
            <w:tcBorders>
              <w:right w:val="nil"/>
            </w:tcBorders>
            <w:vAlign w:val="center"/>
          </w:tcPr>
          <w:p>
            <w:pPr>
              <w:pStyle w:val="Normal"/>
              <w:widowControl/>
              <w:suppressAutoHyphens w:val="true"/>
              <w:spacing w:lineRule="auto" w:line="240" w:before="57" w:after="57"/>
              <w:jc w:val="center"/>
              <w:rPr>
                <w:b/>
                <w:bCs/>
              </w:rPr>
            </w:pPr>
            <w:r>
              <w:rPr>
                <w:b/>
                <w:bCs/>
                <w:sz w:val="22"/>
              </w:rPr>
              <w:t>DESCRIÇÃO</w:t>
            </w:r>
          </w:p>
        </w:tc>
        <w:tc>
          <w:tcPr>
            <w:tcW w:w="1306" w:type="dxa"/>
            <w:tcBorders>
              <w:right w:val="nil"/>
            </w:tcBorders>
            <w:vAlign w:val="center"/>
          </w:tcPr>
          <w:p>
            <w:pPr>
              <w:pStyle w:val="Normal"/>
              <w:widowControl/>
              <w:suppressAutoHyphens w:val="true"/>
              <w:spacing w:lineRule="auto" w:line="240" w:before="57" w:after="57"/>
              <w:jc w:val="center"/>
              <w:rPr>
                <w:rFonts w:ascii="Arial" w:hAnsi="Arial"/>
                <w:b/>
                <w:bCs/>
                <w:sz w:val="20"/>
                <w:szCs w:val="20"/>
              </w:rPr>
            </w:pPr>
            <w:r>
              <w:rPr>
                <w:rFonts w:ascii="Arial" w:hAnsi="Arial"/>
                <w:b/>
                <w:bCs/>
                <w:sz w:val="20"/>
                <w:szCs w:val="20"/>
              </w:rPr>
              <w:t>UN.</w:t>
            </w:r>
          </w:p>
        </w:tc>
        <w:tc>
          <w:tcPr>
            <w:tcW w:w="1021" w:type="dxa"/>
            <w:tcBorders>
              <w:right w:val="nil"/>
            </w:tcBorders>
            <w:vAlign w:val="center"/>
          </w:tcPr>
          <w:p>
            <w:pPr>
              <w:pStyle w:val="Normal"/>
              <w:widowControl/>
              <w:suppressAutoHyphens w:val="true"/>
              <w:spacing w:lineRule="auto" w:line="240" w:before="57" w:after="57"/>
              <w:jc w:val="center"/>
              <w:rPr>
                <w:rFonts w:ascii="Arial" w:hAnsi="Arial"/>
                <w:b/>
                <w:bCs/>
                <w:sz w:val="20"/>
                <w:szCs w:val="20"/>
              </w:rPr>
            </w:pPr>
            <w:r>
              <w:rPr>
                <w:rFonts w:ascii="Arial" w:hAnsi="Arial"/>
                <w:b/>
                <w:bCs/>
                <w:sz w:val="20"/>
                <w:szCs w:val="20"/>
              </w:rPr>
              <w:t>QUANT.</w:t>
            </w:r>
          </w:p>
        </w:tc>
        <w:tc>
          <w:tcPr>
            <w:tcW w:w="1425" w:type="dxa"/>
            <w:tcBorders/>
            <w:vAlign w:val="center"/>
          </w:tcPr>
          <w:p>
            <w:pPr>
              <w:pStyle w:val="Normal"/>
              <w:widowControl/>
              <w:suppressAutoHyphens w:val="true"/>
              <w:spacing w:lineRule="auto" w:line="240" w:before="57" w:after="57"/>
              <w:jc w:val="center"/>
              <w:rPr>
                <w:rFonts w:ascii="Arial" w:hAnsi="Arial"/>
                <w:b/>
                <w:bCs/>
                <w:sz w:val="20"/>
                <w:szCs w:val="20"/>
              </w:rPr>
            </w:pPr>
            <w:r>
              <w:rPr>
                <w:rFonts w:ascii="Arial" w:hAnsi="Arial"/>
                <w:b/>
                <w:bCs/>
                <w:sz w:val="20"/>
                <w:szCs w:val="20"/>
              </w:rPr>
              <w:t>CATSER</w:t>
            </w:r>
          </w:p>
        </w:tc>
      </w:tr>
      <w:tr>
        <w:trPr/>
        <w:tc>
          <w:tcPr>
            <w:tcW w:w="715" w:type="dxa"/>
            <w:tcBorders>
              <w:right w:val="nil"/>
            </w:tcBorders>
            <w:vAlign w:val="center"/>
          </w:tcPr>
          <w:p>
            <w:pPr>
              <w:pStyle w:val="Normal"/>
              <w:widowControl/>
              <w:suppressAutoHyphens w:val="true"/>
              <w:spacing w:lineRule="auto" w:line="360" w:before="57" w:after="57"/>
              <w:jc w:val="center"/>
              <w:rPr>
                <w:sz w:val="22"/>
              </w:rPr>
            </w:pPr>
            <w:r>
              <w:rPr>
                <w:rFonts w:ascii="Arial" w:hAnsi="Arial"/>
                <w:b w:val="false"/>
                <w:bCs w:val="false"/>
                <w:sz w:val="20"/>
                <w:szCs w:val="20"/>
              </w:rPr>
              <w:t>1</w:t>
            </w:r>
          </w:p>
        </w:tc>
        <w:tc>
          <w:tcPr>
            <w:tcW w:w="4653" w:type="dxa"/>
            <w:tcBorders>
              <w:right w:val="nil"/>
            </w:tcBorders>
            <w:vAlign w:val="center"/>
          </w:tcPr>
          <w:p>
            <w:pPr>
              <w:pStyle w:val="Normal"/>
              <w:widowControl/>
              <w:suppressAutoHyphens w:val="true"/>
              <w:spacing w:lineRule="auto" w:line="360" w:before="57" w:after="57"/>
              <w:jc w:val="both"/>
              <w:rPr/>
            </w:pPr>
            <w:r>
              <w:rPr>
                <w:rFonts w:eastAsia="Arial" w:cs="Arial" w:ascii="Arial" w:hAnsi="Arial"/>
                <w:b w:val="false"/>
                <w:bCs w:val="false"/>
                <w:i w:val="false"/>
                <w:iCs w:val="false"/>
                <w:color w:val="auto"/>
                <w:kern w:val="2"/>
                <w:sz w:val="20"/>
                <w:szCs w:val="20"/>
                <w:lang w:val="pt-BR" w:eastAsia="zh-CN" w:bidi="ar-SA"/>
              </w:rPr>
              <w:t xml:space="preserve">Contratação de empresa especializada para a realização de destinação final em aterro sanitário licenciado de resíduo sólido urbano (RSU), classe II, </w:t>
            </w:r>
            <w:r>
              <w:rPr>
                <w:rFonts w:eastAsia="Calibri" w:cs="Arial" w:ascii="Arial" w:hAnsi="Arial"/>
                <w:b w:val="false"/>
                <w:bCs w:val="false"/>
                <w:i w:val="false"/>
                <w:iCs w:val="false"/>
                <w:color w:val="auto"/>
                <w:kern w:val="2"/>
                <w:sz w:val="20"/>
                <w:szCs w:val="20"/>
                <w:lang w:val="pt-BR" w:eastAsia="en-US" w:bidi="ar-SA"/>
              </w:rPr>
              <w:t>pelo período de 12 (doze) meses, prorrogável por iguais e sucessivos períodos, até o limite previsto em lei e respeitada a vigência decenal, conforme legislação vigente.</w:t>
            </w:r>
          </w:p>
        </w:tc>
        <w:tc>
          <w:tcPr>
            <w:tcW w:w="1306" w:type="dxa"/>
            <w:tcBorders>
              <w:right w:val="nil"/>
            </w:tcBorders>
            <w:vAlign w:val="center"/>
          </w:tcPr>
          <w:p>
            <w:pPr>
              <w:pStyle w:val="Normal"/>
              <w:widowControl/>
              <w:suppressAutoHyphens w:val="true"/>
              <w:spacing w:lineRule="auto" w:line="360" w:before="57" w:after="57"/>
              <w:jc w:val="center"/>
              <w:rPr>
                <w:sz w:val="22"/>
              </w:rPr>
            </w:pPr>
            <w:r>
              <w:rPr>
                <w:rFonts w:ascii="Arial" w:hAnsi="Arial"/>
                <w:b w:val="false"/>
                <w:bCs w:val="false"/>
                <w:sz w:val="20"/>
                <w:szCs w:val="20"/>
              </w:rPr>
              <w:t>Tonelada</w:t>
            </w:r>
          </w:p>
        </w:tc>
        <w:tc>
          <w:tcPr>
            <w:tcW w:w="1021" w:type="dxa"/>
            <w:tcBorders>
              <w:right w:val="nil"/>
            </w:tcBorders>
            <w:vAlign w:val="center"/>
          </w:tcPr>
          <w:p>
            <w:pPr>
              <w:pStyle w:val="Normal"/>
              <w:widowControl/>
              <w:suppressAutoHyphens w:val="true"/>
              <w:spacing w:lineRule="auto" w:line="360" w:before="57" w:after="57"/>
              <w:jc w:val="center"/>
              <w:rPr>
                <w:color w:val="000000"/>
                <w:sz w:val="22"/>
              </w:rPr>
            </w:pPr>
            <w:r>
              <w:rPr>
                <w:rFonts w:ascii="Arial" w:hAnsi="Arial"/>
                <w:b w:val="false"/>
                <w:bCs w:val="false"/>
                <w:color w:val="000000"/>
                <w:sz w:val="20"/>
                <w:szCs w:val="20"/>
              </w:rPr>
              <w:t>9.883</w:t>
            </w:r>
          </w:p>
        </w:tc>
        <w:tc>
          <w:tcPr>
            <w:tcW w:w="1425" w:type="dxa"/>
            <w:tcBorders/>
            <w:vAlign w:val="center"/>
          </w:tcPr>
          <w:p>
            <w:pPr>
              <w:pStyle w:val="Contedodatabelauser"/>
              <w:widowControl/>
              <w:suppressAutoHyphens w:val="true"/>
              <w:overflowPunct w:val="false"/>
              <w:spacing w:lineRule="auto" w:line="360" w:before="0" w:after="60"/>
              <w:jc w:val="center"/>
              <w:rPr>
                <w:rFonts w:ascii="Arial" w:hAnsi="Arial" w:eastAsia="Arial" w:cs="Arial"/>
                <w:b w:val="false"/>
                <w:bCs w:val="false"/>
                <w:kern w:val="2"/>
                <w:sz w:val="20"/>
                <w:szCs w:val="20"/>
                <w:lang w:val="pt-BR" w:eastAsia="pt-BR" w:bidi="ar-SA"/>
              </w:rPr>
            </w:pPr>
            <w:r>
              <w:rPr>
                <w:rFonts w:eastAsia="Arial" w:cs="Arial" w:ascii="Arial" w:hAnsi="Arial"/>
                <w:b w:val="false"/>
                <w:bCs w:val="false"/>
                <w:kern w:val="2"/>
                <w:sz w:val="20"/>
                <w:szCs w:val="20"/>
                <w:lang w:val="pt-BR" w:eastAsia="pt-BR" w:bidi="ar-SA"/>
              </w:rPr>
              <w:t>3799</w:t>
            </w:r>
          </w:p>
        </w:tc>
      </w:tr>
      <w:tr>
        <w:trPr>
          <w:trHeight w:val="231" w:hRule="atLeast"/>
        </w:trPr>
        <w:tc>
          <w:tcPr>
            <w:tcW w:w="9120" w:type="dxa"/>
            <w:gridSpan w:val="5"/>
            <w:tcBorders/>
          </w:tcPr>
          <w:p>
            <w:pPr>
              <w:pStyle w:val="Normal"/>
              <w:widowControl/>
              <w:suppressAutoHyphens w:val="true"/>
              <w:spacing w:lineRule="auto" w:line="276" w:before="57" w:after="57"/>
              <w:jc w:val="both"/>
              <w:rPr/>
            </w:pPr>
            <w:r>
              <w:rPr>
                <w:rStyle w:val="Strong"/>
                <w:rFonts w:eastAsia="Calibri" w:cs="Arial" w:ascii="Arial" w:hAnsi="Arial"/>
                <w:i w:val="false"/>
                <w:iCs w:val="false"/>
                <w:color w:val="000000"/>
                <w:sz w:val="20"/>
                <w:szCs w:val="20"/>
              </w:rPr>
              <w:t>CATSer 3</w:t>
            </w:r>
            <w:r>
              <w:rPr>
                <w:rStyle w:val="Strong"/>
                <w:rFonts w:eastAsia="Calibri" w:cs="Arial" w:ascii="Arial" w:hAnsi="Arial"/>
                <w:i w:val="false"/>
                <w:iCs w:val="false"/>
                <w:color w:val="000000"/>
                <w:sz w:val="20"/>
                <w:szCs w:val="20"/>
              </w:rPr>
              <w:t>799</w:t>
            </w:r>
            <w:r>
              <w:rPr>
                <w:rFonts w:eastAsia="Calibri" w:cs="Arial" w:ascii="Arial" w:hAnsi="Arial"/>
                <w:b/>
                <w:bCs/>
                <w:i w:val="false"/>
                <w:iCs w:val="false"/>
                <w:color w:val="000000"/>
                <w:sz w:val="20"/>
                <w:szCs w:val="20"/>
              </w:rPr>
              <w:t xml:space="preserve"> – O serviço objeto da licitação enquadra-se como </w:t>
            </w:r>
            <w:r>
              <w:rPr>
                <w:b/>
                <w:bCs/>
              </w:rPr>
              <w:t>Serviços de destinação final de resíduos sólidos urbanos</w:t>
            </w:r>
            <w:r>
              <w:rPr>
                <w:b/>
                <w:bCs/>
              </w:rPr>
              <w:t>.</w:t>
            </w:r>
          </w:p>
        </w:tc>
      </w:tr>
    </w:tbl>
    <w:p>
      <w:pPr>
        <w:pStyle w:val="Normal"/>
        <w:spacing w:lineRule="auto" w:line="276"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360" w:before="57" w:after="57"/>
              <w:jc w:val="both"/>
              <w:rPr>
                <w:rFonts w:ascii="Arial" w:hAnsi="Arial" w:eastAsia="Calibri"/>
              </w:rPr>
            </w:pPr>
            <w:r>
              <w:rPr>
                <w:rFonts w:eastAsia="Calibri" w:cs="Arial" w:ascii="Arial" w:hAnsi="Arial"/>
                <w:b/>
                <w:bCs/>
                <w:kern w:val="2"/>
                <w:sz w:val="22"/>
                <w:szCs w:val="22"/>
                <w:lang w:val="pt-BR" w:eastAsia="en-US" w:bidi="ar-SA"/>
              </w:rPr>
              <w:t>6 LEVANTAMENTO DE MERCADO</w:t>
            </w:r>
          </w:p>
        </w:tc>
      </w:tr>
      <w:tr>
        <w:trPr/>
        <w:tc>
          <w:tcPr>
            <w:tcW w:w="9061" w:type="dxa"/>
            <w:tcBorders/>
          </w:tcPr>
          <w:p>
            <w:pPr>
              <w:pStyle w:val="BodyText"/>
              <w:widowControl w:val="false"/>
              <w:suppressAutoHyphens w:val="true"/>
              <w:spacing w:lineRule="auto" w:line="360" w:before="57" w:after="57"/>
              <w:jc w:val="both"/>
              <w:textAlignment w:val="baseline"/>
              <w:rPr/>
            </w:pPr>
            <w:r>
              <w:rPr>
                <w:rFonts w:eastAsia="Calibri" w:cs="Arial" w:ascii="Arial" w:hAnsi="Arial"/>
                <w:b w:val="false"/>
                <w:bCs w:val="false"/>
                <w:color w:val="000000"/>
              </w:rPr>
              <w:t xml:space="preserve">Para o levantamento de mercado referente à </w:t>
            </w:r>
            <w:r>
              <w:rPr>
                <w:rStyle w:val="Strong"/>
                <w:rFonts w:eastAsia="Calibri" w:cs="Arial" w:ascii="Arial" w:hAnsi="Arial"/>
                <w:b w:val="false"/>
                <w:bCs w:val="false"/>
                <w:color w:val="000000"/>
              </w:rPr>
              <w:t>Operação da Unidade de Transbordo</w:t>
            </w:r>
            <w:r>
              <w:rPr>
                <w:rFonts w:eastAsia="Calibri" w:cs="Arial" w:ascii="Arial" w:hAnsi="Arial"/>
                <w:b w:val="false"/>
                <w:bCs w:val="false"/>
                <w:color w:val="000000"/>
              </w:rPr>
              <w:t xml:space="preserve">, ao </w:t>
            </w:r>
            <w:r>
              <w:rPr>
                <w:rStyle w:val="Strong"/>
                <w:rFonts w:eastAsia="Calibri" w:cs="Arial" w:ascii="Arial" w:hAnsi="Arial"/>
                <w:b w:val="false"/>
                <w:bCs w:val="false"/>
                <w:color w:val="000000"/>
              </w:rPr>
              <w:t>Transporte</w:t>
            </w:r>
            <w:r>
              <w:rPr>
                <w:rFonts w:eastAsia="Calibri" w:cs="Arial" w:ascii="Arial" w:hAnsi="Arial"/>
                <w:b w:val="false"/>
                <w:bCs w:val="false"/>
                <w:color w:val="000000"/>
              </w:rPr>
              <w:t xml:space="preserve"> e ao </w:t>
            </w:r>
            <w:r>
              <w:rPr>
                <w:rStyle w:val="Strong"/>
                <w:rFonts w:eastAsia="Calibri" w:cs="Arial" w:ascii="Arial" w:hAnsi="Arial"/>
                <w:b w:val="false"/>
                <w:bCs w:val="false"/>
                <w:color w:val="000000"/>
              </w:rPr>
              <w:t>Destino Final</w:t>
            </w:r>
            <w:r>
              <w:rPr>
                <w:rFonts w:eastAsia="Calibri" w:cs="Arial" w:ascii="Arial" w:hAnsi="Arial"/>
                <w:b w:val="false"/>
                <w:bCs w:val="false"/>
                <w:color w:val="000000"/>
              </w:rPr>
              <w:t xml:space="preserve"> dos resíduos sólidos urbanos, foram considerados diversos critérios técnicos e econômicos. Tomou-se como referência, para definição de </w:t>
            </w:r>
            <w:r>
              <w:rPr>
                <w:rStyle w:val="Strong"/>
                <w:rFonts w:eastAsia="Calibri" w:cs="Arial" w:ascii="Arial" w:hAnsi="Arial"/>
                <w:b w:val="false"/>
                <w:bCs w:val="false"/>
                <w:color w:val="000000"/>
              </w:rPr>
              <w:t>valores de mercado</w:t>
            </w:r>
            <w:r>
              <w:rPr>
                <w:rFonts w:eastAsia="Calibri" w:cs="Arial" w:ascii="Arial" w:hAnsi="Arial"/>
                <w:b w:val="false"/>
                <w:bCs w:val="false"/>
                <w:color w:val="000000"/>
              </w:rPr>
              <w:t xml:space="preserve">, tanto a distância quanto os custos atualmente praticados pelos dois aterros regionais licenciados mais próximos do Município de Pelotas: </w:t>
            </w:r>
            <w:r>
              <w:rPr>
                <w:rStyle w:val="Strong"/>
                <w:rFonts w:eastAsia="Calibri" w:cs="Arial" w:ascii="Arial" w:hAnsi="Arial"/>
                <w:b w:val="false"/>
                <w:bCs w:val="false"/>
                <w:color w:val="000000"/>
              </w:rPr>
              <w:t>Aterro Minas do Leão</w:t>
            </w:r>
            <w:r>
              <w:rPr>
                <w:rFonts w:eastAsia="Calibri" w:cs="Arial" w:ascii="Arial" w:hAnsi="Arial"/>
                <w:b w:val="false"/>
                <w:bCs w:val="false"/>
                <w:color w:val="000000"/>
              </w:rPr>
              <w:t xml:space="preserve"> e </w:t>
            </w:r>
            <w:r>
              <w:rPr>
                <w:rStyle w:val="Strong"/>
                <w:rFonts w:eastAsia="Calibri" w:cs="Arial" w:ascii="Arial" w:hAnsi="Arial"/>
                <w:b w:val="false"/>
                <w:bCs w:val="false"/>
                <w:color w:val="000000"/>
              </w:rPr>
              <w:t>Aterro Sanitário de Candiota</w:t>
            </w:r>
            <w:r>
              <w:rPr>
                <w:rFonts w:eastAsia="Calibri" w:cs="Arial" w:ascii="Arial" w:hAnsi="Arial"/>
                <w:b w:val="false"/>
                <w:bCs w:val="false"/>
                <w:color w:val="000000"/>
              </w:rPr>
              <w:t>.</w:t>
            </w:r>
          </w:p>
          <w:p>
            <w:pPr>
              <w:pStyle w:val="BodyText"/>
              <w:widowControl w:val="false"/>
              <w:suppressAutoHyphens w:val="true"/>
              <w:spacing w:lineRule="auto" w:line="360" w:before="57" w:after="57"/>
              <w:jc w:val="both"/>
              <w:textAlignment w:val="baseline"/>
              <w:rPr/>
            </w:pPr>
            <w:r>
              <w:rPr>
                <w:rFonts w:cs="Arial" w:ascii="Arial" w:hAnsi="Arial"/>
                <w:b w:val="false"/>
                <w:bCs w:val="false"/>
                <w:color w:val="000000"/>
              </w:rPr>
              <w:t xml:space="preserve">Buscou-se avaliar os </w:t>
            </w:r>
            <w:r>
              <w:rPr>
                <w:rStyle w:val="Strong"/>
                <w:rFonts w:cs="Arial" w:ascii="Arial" w:hAnsi="Arial"/>
                <w:b w:val="false"/>
                <w:bCs w:val="false"/>
                <w:color w:val="000000"/>
              </w:rPr>
              <w:t>valores médios praticados para a disposição final</w:t>
            </w:r>
            <w:r>
              <w:rPr>
                <w:rFonts w:cs="Arial" w:ascii="Arial" w:hAnsi="Arial"/>
                <w:b w:val="false"/>
                <w:bCs w:val="false"/>
                <w:color w:val="000000"/>
              </w:rPr>
              <w:t xml:space="preserve"> em cada um desses aterros, priorizando sempre a alternativa economicamente mais vantajosa, bem como as distâncias (em km) entre Pelotas e os respectivos locais de destinação. Para esse levantamento, foram considerados:</w:t>
            </w:r>
          </w:p>
          <w:p>
            <w:pPr>
              <w:pStyle w:val="BodyText"/>
              <w:widowControl w:val="false"/>
              <w:numPr>
                <w:ilvl w:val="0"/>
                <w:numId w:val="16"/>
              </w:numPr>
              <w:tabs>
                <w:tab w:val="clear" w:pos="708"/>
                <w:tab w:val="left" w:pos="0" w:leader="none"/>
              </w:tabs>
              <w:suppressAutoHyphens w:val="true"/>
              <w:spacing w:lineRule="auto" w:line="360" w:before="57" w:after="57"/>
              <w:ind w:hanging="283" w:left="709"/>
              <w:jc w:val="both"/>
              <w:textAlignment w:val="baseline"/>
              <w:rPr/>
            </w:pPr>
            <w:r>
              <w:rPr>
                <w:rFonts w:cs="Arial" w:ascii="Arial" w:hAnsi="Arial"/>
                <w:b w:val="false"/>
                <w:bCs w:val="false"/>
                <w:color w:val="000000"/>
              </w:rPr>
              <w:t xml:space="preserve">A média de </w:t>
            </w:r>
            <w:r>
              <w:rPr>
                <w:rStyle w:val="Strong"/>
                <w:rFonts w:cs="Arial" w:ascii="Arial" w:hAnsi="Arial"/>
                <w:b w:val="false"/>
                <w:bCs w:val="false"/>
                <w:color w:val="000000"/>
              </w:rPr>
              <w:t>300 toneladas/dia</w:t>
            </w:r>
            <w:r>
              <w:rPr>
                <w:rFonts w:cs="Arial" w:ascii="Arial" w:hAnsi="Arial"/>
                <w:b w:val="false"/>
                <w:bCs w:val="false"/>
                <w:color w:val="000000"/>
              </w:rPr>
              <w:t xml:space="preserve"> de resíduos a serem transportadas;</w:t>
            </w:r>
          </w:p>
          <w:p>
            <w:pPr>
              <w:pStyle w:val="BodyText"/>
              <w:widowControl w:val="false"/>
              <w:numPr>
                <w:ilvl w:val="0"/>
                <w:numId w:val="16"/>
              </w:numPr>
              <w:tabs>
                <w:tab w:val="clear" w:pos="708"/>
                <w:tab w:val="left" w:pos="0" w:leader="none"/>
              </w:tabs>
              <w:suppressAutoHyphens w:val="true"/>
              <w:spacing w:lineRule="auto" w:line="360" w:before="57" w:after="57"/>
              <w:ind w:hanging="283" w:left="709"/>
              <w:jc w:val="both"/>
              <w:textAlignment w:val="baseline"/>
              <w:rPr/>
            </w:pPr>
            <w:r>
              <w:rPr>
                <w:rFonts w:cs="Arial" w:ascii="Arial" w:hAnsi="Arial"/>
                <w:b w:val="false"/>
                <w:bCs w:val="false"/>
                <w:color w:val="000000"/>
              </w:rPr>
              <w:t>A capacidade dos veículos de transporte e seus respectivos custos de operação e manutenção;</w:t>
            </w:r>
          </w:p>
          <w:p>
            <w:pPr>
              <w:pStyle w:val="BodyText"/>
              <w:widowControl w:val="false"/>
              <w:numPr>
                <w:ilvl w:val="0"/>
                <w:numId w:val="16"/>
              </w:numPr>
              <w:tabs>
                <w:tab w:val="clear" w:pos="708"/>
                <w:tab w:val="left" w:pos="0" w:leader="none"/>
              </w:tabs>
              <w:suppressAutoHyphens w:val="true"/>
              <w:spacing w:lineRule="auto" w:line="360" w:before="57" w:after="57"/>
              <w:ind w:hanging="283" w:left="709"/>
              <w:jc w:val="both"/>
              <w:textAlignment w:val="baseline"/>
              <w:rPr/>
            </w:pPr>
            <w:r>
              <w:rPr>
                <w:rFonts w:cs="Arial" w:ascii="Arial" w:hAnsi="Arial"/>
                <w:b w:val="false"/>
                <w:bCs w:val="false"/>
                <w:color w:val="000000"/>
              </w:rPr>
              <w:t>Os valores praticados por outros municípios que utilizam os mesmos aterros;</w:t>
            </w:r>
          </w:p>
          <w:p>
            <w:pPr>
              <w:pStyle w:val="BodyText"/>
              <w:widowControl w:val="false"/>
              <w:numPr>
                <w:ilvl w:val="0"/>
                <w:numId w:val="16"/>
              </w:numPr>
              <w:tabs>
                <w:tab w:val="clear" w:pos="708"/>
                <w:tab w:val="left" w:pos="0" w:leader="none"/>
              </w:tabs>
              <w:suppressAutoHyphens w:val="true"/>
              <w:spacing w:lineRule="auto" w:line="360" w:before="57" w:after="57"/>
              <w:ind w:hanging="283" w:left="709"/>
              <w:jc w:val="both"/>
              <w:textAlignment w:val="baseline"/>
              <w:rPr/>
            </w:pPr>
            <w:r>
              <w:rPr>
                <w:rFonts w:cs="Arial" w:ascii="Arial" w:hAnsi="Arial"/>
                <w:b w:val="false"/>
                <w:bCs w:val="false"/>
                <w:color w:val="000000"/>
              </w:rPr>
              <w:t>As possibilidades logísticas e eventuais rotas emergenciais.</w:t>
            </w:r>
          </w:p>
          <w:p>
            <w:pPr>
              <w:pStyle w:val="BodyText"/>
              <w:widowControl w:val="false"/>
              <w:suppressAutoHyphens w:val="true"/>
              <w:spacing w:lineRule="auto" w:line="360" w:before="57" w:after="57"/>
              <w:jc w:val="both"/>
              <w:textAlignment w:val="baseline"/>
              <w:rPr>
                <w:rFonts w:ascii="Arial" w:hAnsi="Arial" w:eastAsia="Calibri" w:cs="Arial"/>
                <w:b w:val="false"/>
                <w:bCs w:val="false"/>
                <w:color w:val="000000"/>
              </w:rPr>
            </w:pPr>
            <w:r>
              <w:rPr>
                <w:rFonts w:eastAsia="Calibri" w:cs="Arial" w:ascii="Arial" w:hAnsi="Arial"/>
                <w:b w:val="false"/>
                <w:bCs w:val="false"/>
                <w:color w:val="000000"/>
              </w:rPr>
            </w:r>
          </w:p>
          <w:p>
            <w:pPr>
              <w:pStyle w:val="Heading2"/>
              <w:numPr>
                <w:ilvl w:val="0"/>
                <w:numId w:val="0"/>
              </w:numPr>
              <w:tabs>
                <w:tab w:val="clear" w:pos="708"/>
                <w:tab w:val="left" w:pos="0" w:leader="none"/>
              </w:tabs>
              <w:spacing w:lineRule="auto" w:line="360" w:before="57" w:after="57"/>
              <w:ind w:hanging="0" w:left="426"/>
              <w:jc w:val="center"/>
              <w:rPr/>
            </w:pPr>
            <w:r>
              <w:rPr>
                <w:rStyle w:val="Strong"/>
                <w:rFonts w:eastAsia="Calibri" w:cs="Arial" w:ascii="Arial" w:hAnsi="Arial"/>
                <w:b/>
                <w:bCs/>
                <w:color w:val="000000"/>
                <w:sz w:val="22"/>
                <w:szCs w:val="22"/>
              </w:rPr>
              <w:t>Transporte e Destino Final</w:t>
            </w:r>
          </w:p>
          <w:p>
            <w:pPr>
              <w:pStyle w:val="BodyText"/>
              <w:tabs>
                <w:tab w:val="clear" w:pos="708"/>
                <w:tab w:val="left" w:pos="0" w:leader="none"/>
              </w:tabs>
              <w:spacing w:lineRule="auto" w:line="360" w:before="57" w:after="57"/>
              <w:jc w:val="both"/>
              <w:rPr/>
            </w:pPr>
            <w:r>
              <w:rPr>
                <w:rFonts w:cs="Arial" w:ascii="Arial" w:hAnsi="Arial"/>
                <w:b w:val="false"/>
                <w:bCs w:val="false"/>
                <w:color w:val="000000"/>
              </w:rPr>
              <w:t xml:space="preserve">Atualmente, o SANEP possui custo de </w:t>
            </w:r>
            <w:r>
              <w:rPr>
                <w:rStyle w:val="Strong"/>
                <w:rFonts w:cs="Arial" w:ascii="Arial" w:hAnsi="Arial"/>
                <w:b w:val="false"/>
                <w:bCs w:val="false"/>
                <w:color w:val="000000"/>
              </w:rPr>
              <w:t>R$ 105,00/tonelada</w:t>
            </w:r>
            <w:r>
              <w:rPr>
                <w:rFonts w:cs="Arial" w:ascii="Arial" w:hAnsi="Arial"/>
                <w:b w:val="false"/>
                <w:bCs w:val="false"/>
                <w:color w:val="000000"/>
              </w:rPr>
              <w:t xml:space="preserve"> para o destino final no </w:t>
            </w:r>
            <w:r>
              <w:rPr>
                <w:rStyle w:val="Strong"/>
                <w:rFonts w:cs="Arial" w:ascii="Arial" w:hAnsi="Arial"/>
                <w:b w:val="false"/>
                <w:bCs w:val="false"/>
                <w:color w:val="000000"/>
              </w:rPr>
              <w:t>Aterro de Candiota</w:t>
            </w:r>
            <w:r>
              <w:rPr>
                <w:rFonts w:cs="Arial" w:ascii="Arial" w:hAnsi="Arial"/>
                <w:b w:val="false"/>
                <w:bCs w:val="false"/>
                <w:color w:val="000000"/>
              </w:rPr>
              <w:t xml:space="preserve">, valor também praticado para as Prefeituras de </w:t>
            </w:r>
            <w:r>
              <w:rPr>
                <w:rStyle w:val="Strong"/>
                <w:rFonts w:cs="Arial" w:ascii="Arial" w:hAnsi="Arial"/>
                <w:b w:val="false"/>
                <w:bCs w:val="false"/>
                <w:color w:val="000000"/>
              </w:rPr>
              <w:t>Rio Grande</w:t>
            </w:r>
            <w:r>
              <w:rPr>
                <w:rFonts w:cs="Arial" w:ascii="Arial" w:hAnsi="Arial"/>
                <w:b w:val="false"/>
                <w:bCs w:val="false"/>
                <w:color w:val="000000"/>
              </w:rPr>
              <w:t xml:space="preserve"> e </w:t>
            </w:r>
            <w:r>
              <w:rPr>
                <w:rStyle w:val="Strong"/>
                <w:rFonts w:cs="Arial" w:ascii="Arial" w:hAnsi="Arial"/>
                <w:b w:val="false"/>
                <w:bCs w:val="false"/>
                <w:color w:val="000000"/>
              </w:rPr>
              <w:t>Bagé</w:t>
            </w:r>
            <w:r>
              <w:rPr>
                <w:rFonts w:cs="Arial" w:ascii="Arial" w:hAnsi="Arial"/>
                <w:b w:val="false"/>
                <w:bCs w:val="false"/>
                <w:color w:val="000000"/>
              </w:rPr>
              <w:t>, que utilizam o mesmo local de disposição final. Para eventual contratação futura o valor orçado é de R$ 109,39 (cento e nove reais com trinta e nove centavos/tonelada).</w:t>
            </w:r>
          </w:p>
          <w:p>
            <w:pPr>
              <w:pStyle w:val="BodyText"/>
              <w:tabs>
                <w:tab w:val="clear" w:pos="708"/>
                <w:tab w:val="left" w:pos="0" w:leader="none"/>
              </w:tabs>
              <w:spacing w:lineRule="auto" w:line="360" w:before="57" w:after="57"/>
              <w:jc w:val="both"/>
              <w:rPr/>
            </w:pPr>
            <w:r>
              <w:rPr>
                <w:rFonts w:cs="Arial" w:ascii="Arial" w:hAnsi="Arial"/>
                <w:b w:val="false"/>
                <w:bCs w:val="false"/>
                <w:color w:val="000000"/>
              </w:rPr>
              <w:t xml:space="preserve">O custo do transporte está atualmente em </w:t>
            </w:r>
            <w:r>
              <w:rPr>
                <w:rStyle w:val="Strong"/>
                <w:rFonts w:cs="Arial" w:ascii="Arial" w:hAnsi="Arial"/>
                <w:b w:val="false"/>
                <w:bCs w:val="false"/>
                <w:color w:val="000000"/>
              </w:rPr>
              <w:t>R$ 56,00/tonelada</w:t>
            </w:r>
            <w:r>
              <w:rPr>
                <w:rFonts w:cs="Arial" w:ascii="Arial" w:hAnsi="Arial"/>
                <w:b w:val="false"/>
                <w:bCs w:val="false"/>
                <w:color w:val="000000"/>
              </w:rPr>
              <w:t xml:space="preserve">, para uma distância aproximada de </w:t>
            </w:r>
            <w:r>
              <w:rPr>
                <w:rStyle w:val="Strong"/>
                <w:rFonts w:cs="Arial" w:ascii="Arial" w:hAnsi="Arial"/>
                <w:b w:val="false"/>
                <w:bCs w:val="false"/>
                <w:color w:val="000000"/>
              </w:rPr>
              <w:t>150 km</w:t>
            </w:r>
            <w:r>
              <w:rPr>
                <w:rFonts w:cs="Arial" w:ascii="Arial" w:hAnsi="Arial"/>
                <w:b w:val="false"/>
                <w:bCs w:val="false"/>
                <w:color w:val="000000"/>
              </w:rPr>
              <w:t xml:space="preserve"> entre a Estação de Transbordo de Pelotas e o Aterro de Candiota.</w:t>
            </w:r>
          </w:p>
          <w:p>
            <w:pPr>
              <w:pStyle w:val="BodyText"/>
              <w:tabs>
                <w:tab w:val="clear" w:pos="708"/>
                <w:tab w:val="left" w:pos="0" w:leader="none"/>
              </w:tabs>
              <w:spacing w:lineRule="auto" w:line="360" w:before="57" w:after="57"/>
              <w:jc w:val="both"/>
              <w:rPr/>
            </w:pPr>
            <w:r>
              <w:rPr>
                <w:rFonts w:cs="Arial" w:ascii="Arial" w:hAnsi="Arial"/>
                <w:b w:val="false"/>
                <w:bCs w:val="false"/>
                <w:color w:val="000000"/>
              </w:rPr>
              <w:t>Como referência adicional:</w:t>
            </w:r>
          </w:p>
          <w:p>
            <w:pPr>
              <w:pStyle w:val="BodyText"/>
              <w:numPr>
                <w:ilvl w:val="0"/>
                <w:numId w:val="17"/>
              </w:numPr>
              <w:tabs>
                <w:tab w:val="clear" w:pos="708"/>
                <w:tab w:val="left" w:pos="0" w:leader="none"/>
              </w:tabs>
              <w:spacing w:lineRule="auto" w:line="360" w:before="57" w:after="57"/>
              <w:ind w:hanging="283" w:left="709"/>
              <w:jc w:val="both"/>
              <w:rPr/>
            </w:pPr>
            <w:r>
              <w:rPr>
                <w:rFonts w:cs="Arial" w:ascii="Arial" w:hAnsi="Arial"/>
                <w:b w:val="false"/>
                <w:bCs w:val="false"/>
                <w:color w:val="000000"/>
              </w:rPr>
              <w:t xml:space="preserve">A </w:t>
            </w:r>
            <w:r>
              <w:rPr>
                <w:rStyle w:val="Strong"/>
                <w:rFonts w:cs="Arial" w:ascii="Arial" w:hAnsi="Arial"/>
                <w:b w:val="false"/>
                <w:bCs w:val="false"/>
                <w:color w:val="000000"/>
              </w:rPr>
              <w:t>Prefeitura de Canoas</w:t>
            </w:r>
            <w:r>
              <w:rPr>
                <w:rFonts w:cs="Arial" w:ascii="Arial" w:hAnsi="Arial"/>
                <w:b w:val="false"/>
                <w:bCs w:val="false"/>
                <w:color w:val="000000"/>
              </w:rPr>
              <w:t xml:space="preserve"> paga </w:t>
            </w:r>
            <w:r>
              <w:rPr>
                <w:rStyle w:val="Strong"/>
                <w:rFonts w:cs="Arial" w:ascii="Arial" w:hAnsi="Arial"/>
                <w:b w:val="false"/>
                <w:bCs w:val="false"/>
                <w:color w:val="000000"/>
              </w:rPr>
              <w:t>R$ 55,26/tonelada</w:t>
            </w:r>
            <w:r>
              <w:rPr>
                <w:rFonts w:cs="Arial" w:ascii="Arial" w:hAnsi="Arial"/>
                <w:b w:val="false"/>
                <w:bCs w:val="false"/>
                <w:color w:val="000000"/>
              </w:rPr>
              <w:t xml:space="preserve"> para o transporte ao Aterro Minas do Leão, em um percurso de </w:t>
            </w:r>
            <w:r>
              <w:rPr>
                <w:rStyle w:val="Strong"/>
                <w:rFonts w:cs="Arial" w:ascii="Arial" w:hAnsi="Arial"/>
                <w:b w:val="false"/>
                <w:bCs w:val="false"/>
                <w:color w:val="000000"/>
              </w:rPr>
              <w:t>110 km</w:t>
            </w:r>
            <w:r>
              <w:rPr>
                <w:rFonts w:cs="Arial" w:ascii="Arial" w:hAnsi="Arial"/>
                <w:b w:val="false"/>
                <w:bCs w:val="false"/>
                <w:color w:val="000000"/>
              </w:rPr>
              <w:t xml:space="preserve"> (Contrato nº 0124/2022);</w:t>
            </w:r>
          </w:p>
          <w:p>
            <w:pPr>
              <w:pStyle w:val="BodyText"/>
              <w:numPr>
                <w:ilvl w:val="0"/>
                <w:numId w:val="17"/>
              </w:numPr>
              <w:tabs>
                <w:tab w:val="clear" w:pos="708"/>
                <w:tab w:val="left" w:pos="0" w:leader="none"/>
              </w:tabs>
              <w:spacing w:lineRule="auto" w:line="360" w:before="57" w:after="57"/>
              <w:ind w:hanging="283" w:left="709"/>
              <w:jc w:val="both"/>
              <w:rPr/>
            </w:pPr>
            <w:r>
              <w:rPr>
                <w:rFonts w:cs="Arial" w:ascii="Arial" w:hAnsi="Arial"/>
                <w:b w:val="false"/>
                <w:bCs w:val="false"/>
                <w:color w:val="000000"/>
              </w:rPr>
              <w:t xml:space="preserve">A </w:t>
            </w:r>
            <w:r>
              <w:rPr>
                <w:rStyle w:val="Strong"/>
                <w:rFonts w:cs="Arial" w:ascii="Arial" w:hAnsi="Arial"/>
                <w:b w:val="false"/>
                <w:bCs w:val="false"/>
                <w:color w:val="000000"/>
              </w:rPr>
              <w:t>Prefeitura de Gravataí</w:t>
            </w:r>
            <w:r>
              <w:rPr>
                <w:rFonts w:cs="Arial" w:ascii="Arial" w:hAnsi="Arial"/>
                <w:b w:val="false"/>
                <w:bCs w:val="false"/>
                <w:color w:val="000000"/>
              </w:rPr>
              <w:t xml:space="preserve">, em Termo de Referência, estimou </w:t>
            </w:r>
            <w:r>
              <w:rPr>
                <w:rStyle w:val="Strong"/>
                <w:rFonts w:cs="Arial" w:ascii="Arial" w:hAnsi="Arial"/>
                <w:b w:val="false"/>
                <w:bCs w:val="false"/>
                <w:color w:val="000000"/>
              </w:rPr>
              <w:t>R$ 53,87/tonelada</w:t>
            </w:r>
            <w:r>
              <w:rPr>
                <w:rFonts w:cs="Arial" w:ascii="Arial" w:hAnsi="Arial"/>
                <w:b w:val="false"/>
                <w:bCs w:val="false"/>
                <w:color w:val="000000"/>
              </w:rPr>
              <w:t xml:space="preserve"> para transporte na mesma distância (110 km) até o Aterro Minas do Leão.</w:t>
            </w:r>
          </w:p>
          <w:p>
            <w:pPr>
              <w:pStyle w:val="BodyText"/>
              <w:numPr>
                <w:ilvl w:val="0"/>
                <w:numId w:val="17"/>
              </w:numPr>
              <w:tabs>
                <w:tab w:val="clear" w:pos="708"/>
                <w:tab w:val="left" w:pos="0" w:leader="none"/>
              </w:tabs>
              <w:spacing w:lineRule="auto" w:line="360" w:before="57" w:after="57"/>
              <w:ind w:hanging="283" w:left="709"/>
              <w:jc w:val="both"/>
              <w:rPr>
                <w:rFonts w:ascii="Arial" w:hAnsi="Arial" w:cs="Arial"/>
                <w:b w:val="false"/>
                <w:bCs w:val="false"/>
                <w:color w:val="000000"/>
              </w:rPr>
            </w:pPr>
            <w:r>
              <w:rPr>
                <w:rFonts w:cs="Arial" w:ascii="Arial" w:hAnsi="Arial"/>
                <w:b w:val="false"/>
                <w:bCs w:val="false"/>
                <w:color w:val="000000"/>
              </w:rPr>
            </w:r>
          </w:p>
          <w:p>
            <w:pPr>
              <w:pStyle w:val="Heading3"/>
              <w:widowControl w:val="false"/>
              <w:numPr>
                <w:ilvl w:val="0"/>
                <w:numId w:val="0"/>
              </w:numPr>
              <w:spacing w:lineRule="auto" w:line="360" w:before="57" w:after="57"/>
              <w:ind w:hanging="0" w:left="0"/>
              <w:jc w:val="center"/>
              <w:textAlignment w:val="baseline"/>
              <w:rPr/>
            </w:pPr>
            <w:r>
              <w:rPr>
                <w:rStyle w:val="Strong"/>
                <w:rFonts w:eastAsia="Calibri" w:cs="Arial" w:ascii="Arial" w:hAnsi="Arial"/>
                <w:b/>
                <w:bCs/>
                <w:color w:val="000000"/>
                <w:sz w:val="22"/>
                <w:szCs w:val="22"/>
              </w:rPr>
              <w:t>Opção Alternativa — Aterro Minas do Leão</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Outra opção para disposição final seria o </w:t>
            </w:r>
            <w:r>
              <w:rPr>
                <w:rStyle w:val="Strong"/>
                <w:rFonts w:cs="Arial" w:ascii="Arial" w:hAnsi="Arial"/>
                <w:b w:val="false"/>
                <w:bCs w:val="false"/>
                <w:color w:val="000000"/>
              </w:rPr>
              <w:t>Aterro Minas do Leão</w:t>
            </w:r>
            <w:r>
              <w:rPr>
                <w:rFonts w:cs="Arial" w:ascii="Arial" w:hAnsi="Arial"/>
                <w:b w:val="false"/>
                <w:bCs w:val="false"/>
                <w:color w:val="000000"/>
              </w:rPr>
              <w:t>, localizado a:</w:t>
            </w:r>
          </w:p>
          <w:p>
            <w:pPr>
              <w:pStyle w:val="BodyText"/>
              <w:widowControl w:val="false"/>
              <w:numPr>
                <w:ilvl w:val="0"/>
                <w:numId w:val="18"/>
              </w:numPr>
              <w:tabs>
                <w:tab w:val="clear" w:pos="708"/>
                <w:tab w:val="left" w:pos="0" w:leader="none"/>
              </w:tabs>
              <w:spacing w:lineRule="auto" w:line="360" w:before="57" w:after="57"/>
              <w:ind w:hanging="283" w:left="709"/>
              <w:jc w:val="both"/>
              <w:textAlignment w:val="baseline"/>
              <w:rPr/>
            </w:pPr>
            <w:r>
              <w:rPr>
                <w:rStyle w:val="Strong"/>
                <w:rFonts w:cs="Arial" w:ascii="Arial" w:hAnsi="Arial"/>
                <w:b w:val="false"/>
                <w:bCs w:val="false"/>
                <w:color w:val="000000"/>
              </w:rPr>
              <w:t>272 km</w:t>
            </w:r>
            <w:r>
              <w:rPr>
                <w:rFonts w:cs="Arial" w:ascii="Arial" w:hAnsi="Arial"/>
                <w:b w:val="false"/>
                <w:bCs w:val="false"/>
                <w:color w:val="000000"/>
              </w:rPr>
              <w:t>, pela BR-392 (Canguçu), BR-471 (Encruzilhada do Sul) e BR-290 (Pântano Grande); ou</w:t>
            </w:r>
          </w:p>
          <w:p>
            <w:pPr>
              <w:pStyle w:val="BodyText"/>
              <w:widowControl w:val="false"/>
              <w:numPr>
                <w:ilvl w:val="0"/>
                <w:numId w:val="18"/>
              </w:numPr>
              <w:tabs>
                <w:tab w:val="clear" w:pos="708"/>
                <w:tab w:val="left" w:pos="0" w:leader="none"/>
              </w:tabs>
              <w:spacing w:lineRule="auto" w:line="360" w:before="57" w:after="57"/>
              <w:ind w:hanging="283" w:left="709"/>
              <w:jc w:val="both"/>
              <w:textAlignment w:val="baseline"/>
              <w:rPr/>
            </w:pPr>
            <w:r>
              <w:rPr>
                <w:rStyle w:val="Strong"/>
                <w:rFonts w:cs="Arial" w:ascii="Arial" w:hAnsi="Arial"/>
                <w:b w:val="false"/>
                <w:bCs w:val="false"/>
                <w:color w:val="000000"/>
              </w:rPr>
              <w:t>300 km</w:t>
            </w:r>
            <w:r>
              <w:rPr>
                <w:rFonts w:cs="Arial" w:ascii="Arial" w:hAnsi="Arial"/>
                <w:b w:val="false"/>
                <w:bCs w:val="false"/>
                <w:color w:val="000000"/>
              </w:rPr>
              <w:t>, pela BR-116 (Guaíba) e BR-290 (Eldorado do Sul).</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O valor praticado pela </w:t>
            </w:r>
            <w:r>
              <w:rPr>
                <w:rStyle w:val="Strong"/>
                <w:rFonts w:cs="Arial" w:ascii="Arial" w:hAnsi="Arial"/>
                <w:b w:val="false"/>
                <w:bCs w:val="false"/>
                <w:color w:val="000000"/>
              </w:rPr>
              <w:t>CRVR</w:t>
            </w:r>
            <w:r>
              <w:rPr>
                <w:rFonts w:cs="Arial" w:ascii="Arial" w:hAnsi="Arial"/>
                <w:b w:val="false"/>
                <w:bCs w:val="false"/>
                <w:color w:val="000000"/>
              </w:rPr>
              <w:t xml:space="preserve"> para disposição final de resíduos nesse aterro, considerando volume médio de </w:t>
            </w:r>
            <w:r>
              <w:rPr>
                <w:rStyle w:val="Strong"/>
                <w:rFonts w:cs="Arial" w:ascii="Arial" w:hAnsi="Arial"/>
                <w:b w:val="false"/>
                <w:bCs w:val="false"/>
                <w:color w:val="000000"/>
              </w:rPr>
              <w:t>300 t/dia</w:t>
            </w:r>
            <w:r>
              <w:rPr>
                <w:rFonts w:cs="Arial" w:ascii="Arial" w:hAnsi="Arial"/>
                <w:b w:val="false"/>
                <w:bCs w:val="false"/>
                <w:color w:val="000000"/>
              </w:rPr>
              <w:t>, é de R$ 134,78 (cento e trinta e quatro reais com setenta e oito centavos).</w:t>
            </w:r>
          </w:p>
          <w:p>
            <w:pPr>
              <w:pStyle w:val="Heading3"/>
              <w:widowControl w:val="false"/>
              <w:spacing w:lineRule="auto" w:line="360" w:before="57" w:after="57"/>
              <w:jc w:val="both"/>
              <w:textAlignment w:val="baseline"/>
              <w:rPr/>
            </w:pPr>
            <w:r>
              <w:rPr>
                <w:rStyle w:val="Strong"/>
                <w:rFonts w:eastAsia="Calibri" w:cs="Arial" w:ascii="Arial" w:hAnsi="Arial"/>
                <w:b w:val="false"/>
                <w:bCs w:val="false"/>
                <w:color w:val="000000"/>
                <w:sz w:val="22"/>
                <w:szCs w:val="22"/>
              </w:rPr>
              <w:t>Comparativo e Conclusão:</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Com base nos dados levantados, conclui-se que o </w:t>
            </w:r>
            <w:r>
              <w:rPr>
                <w:rStyle w:val="Strong"/>
                <w:rFonts w:cs="Arial" w:ascii="Arial" w:hAnsi="Arial"/>
                <w:b w:val="false"/>
                <w:bCs w:val="false"/>
                <w:color w:val="000000"/>
              </w:rPr>
              <w:t>Aterro Sanitário de Candiota</w:t>
            </w:r>
            <w:r>
              <w:rPr>
                <w:rFonts w:cs="Arial" w:ascii="Arial" w:hAnsi="Arial"/>
                <w:b w:val="false"/>
                <w:bCs w:val="false"/>
                <w:color w:val="000000"/>
              </w:rPr>
              <w:t xml:space="preserve"> é a alternativa </w:t>
            </w:r>
            <w:r>
              <w:rPr>
                <w:rStyle w:val="Strong"/>
                <w:rFonts w:cs="Arial" w:ascii="Arial" w:hAnsi="Arial"/>
                <w:b w:val="false"/>
                <w:bCs w:val="false"/>
                <w:color w:val="000000"/>
              </w:rPr>
              <w:t>mais vantajosa</w:t>
            </w:r>
            <w:r>
              <w:rPr>
                <w:rFonts w:cs="Arial" w:ascii="Arial" w:hAnsi="Arial"/>
                <w:b w:val="false"/>
                <w:bCs w:val="false"/>
                <w:color w:val="000000"/>
              </w:rPr>
              <w:t xml:space="preserve"> para o SANEP, considerando:</w:t>
            </w:r>
          </w:p>
          <w:p>
            <w:pPr>
              <w:pStyle w:val="BodyText"/>
              <w:widowControl w:val="false"/>
              <w:numPr>
                <w:ilvl w:val="0"/>
                <w:numId w:val="19"/>
              </w:numPr>
              <w:tabs>
                <w:tab w:val="clear" w:pos="708"/>
                <w:tab w:val="left" w:pos="0" w:leader="none"/>
              </w:tabs>
              <w:spacing w:lineRule="auto" w:line="360" w:before="57" w:after="57"/>
              <w:ind w:hanging="283" w:left="709"/>
              <w:jc w:val="both"/>
              <w:textAlignment w:val="baseline"/>
              <w:rPr/>
            </w:pPr>
            <w:r>
              <w:rPr>
                <w:rFonts w:cs="Arial" w:ascii="Arial" w:hAnsi="Arial"/>
                <w:b w:val="false"/>
                <w:bCs w:val="false"/>
                <w:color w:val="000000"/>
              </w:rPr>
              <w:t>Menor custo por tonelada;</w:t>
            </w:r>
          </w:p>
          <w:p>
            <w:pPr>
              <w:pStyle w:val="BodyText"/>
              <w:widowControl w:val="false"/>
              <w:numPr>
                <w:ilvl w:val="0"/>
                <w:numId w:val="19"/>
              </w:numPr>
              <w:tabs>
                <w:tab w:val="clear" w:pos="708"/>
                <w:tab w:val="left" w:pos="0" w:leader="none"/>
              </w:tabs>
              <w:spacing w:lineRule="auto" w:line="360" w:before="57" w:after="57"/>
              <w:ind w:hanging="283" w:left="709"/>
              <w:jc w:val="both"/>
              <w:textAlignment w:val="baseline"/>
              <w:rPr/>
            </w:pPr>
            <w:r>
              <w:rPr>
                <w:rFonts w:cs="Arial" w:ascii="Arial" w:hAnsi="Arial"/>
                <w:b w:val="false"/>
                <w:bCs w:val="false"/>
                <w:color w:val="000000"/>
              </w:rPr>
              <w:t>Menor distância a ser percorrida;</w:t>
            </w:r>
          </w:p>
          <w:p>
            <w:pPr>
              <w:pStyle w:val="BodyText"/>
              <w:widowControl w:val="false"/>
              <w:numPr>
                <w:ilvl w:val="0"/>
                <w:numId w:val="19"/>
              </w:numPr>
              <w:tabs>
                <w:tab w:val="clear" w:pos="708"/>
                <w:tab w:val="left" w:pos="0" w:leader="none"/>
              </w:tabs>
              <w:spacing w:lineRule="auto" w:line="360" w:before="57" w:after="57"/>
              <w:ind w:hanging="283" w:left="709"/>
              <w:jc w:val="both"/>
              <w:textAlignment w:val="baseline"/>
              <w:rPr/>
            </w:pPr>
            <w:r>
              <w:rPr>
                <w:rFonts w:cs="Arial" w:ascii="Arial" w:hAnsi="Arial"/>
                <w:b w:val="false"/>
                <w:bCs w:val="false"/>
                <w:color w:val="000000"/>
              </w:rPr>
              <w:t>Consequente redução de custos logísticos, frota e combustível.</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Ressalte-se que, em </w:t>
            </w:r>
            <w:r>
              <w:rPr>
                <w:rStyle w:val="Strong"/>
                <w:rFonts w:cs="Arial" w:ascii="Arial" w:hAnsi="Arial"/>
                <w:b w:val="false"/>
                <w:bCs w:val="false"/>
                <w:color w:val="000000"/>
              </w:rPr>
              <w:t>setembro de 2025</w:t>
            </w:r>
            <w:r>
              <w:rPr>
                <w:rFonts w:cs="Arial" w:ascii="Arial" w:hAnsi="Arial"/>
                <w:b w:val="false"/>
                <w:bCs w:val="false"/>
                <w:color w:val="000000"/>
              </w:rPr>
              <w:t xml:space="preserve">, ocorreu a </w:t>
            </w:r>
            <w:r>
              <w:rPr>
                <w:rStyle w:val="Strong"/>
                <w:rFonts w:cs="Arial" w:ascii="Arial" w:hAnsi="Arial"/>
                <w:b w:val="false"/>
                <w:bCs w:val="false"/>
                <w:color w:val="000000"/>
              </w:rPr>
              <w:t>interdição da BR-293</w:t>
            </w:r>
            <w:r>
              <w:rPr>
                <w:rFonts w:cs="Arial" w:ascii="Arial" w:hAnsi="Arial"/>
                <w:b w:val="false"/>
                <w:bCs w:val="false"/>
                <w:color w:val="000000"/>
              </w:rPr>
              <w:t xml:space="preserve">, no trecho de Bagé, por problemas estruturais na ponte sobre o rio Piratinizinho. Com isso, o transporte aos resíduos precisou ser desviado pela rota: BR-392 (Caçapava), BR-153 (Trevo de Bagé) e BR-293 (Candiota), totalizando </w:t>
            </w:r>
            <w:r>
              <w:rPr>
                <w:rStyle w:val="Strong"/>
                <w:rFonts w:cs="Arial" w:ascii="Arial" w:hAnsi="Arial"/>
                <w:b w:val="false"/>
                <w:bCs w:val="false"/>
                <w:color w:val="000000"/>
              </w:rPr>
              <w:t>275 km</w:t>
            </w:r>
            <w:r>
              <w:rPr>
                <w:rFonts w:cs="Arial" w:ascii="Arial" w:hAnsi="Arial"/>
                <w:b w:val="false"/>
                <w:bCs w:val="false"/>
                <w:color w:val="000000"/>
              </w:rPr>
              <w:t>.</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Esse aumento de </w:t>
            </w:r>
            <w:r>
              <w:rPr>
                <w:rStyle w:val="Strong"/>
                <w:rFonts w:cs="Arial" w:ascii="Arial" w:hAnsi="Arial"/>
                <w:b w:val="false"/>
                <w:bCs w:val="false"/>
                <w:color w:val="000000"/>
              </w:rPr>
              <w:t>125 km</w:t>
            </w:r>
            <w:r>
              <w:rPr>
                <w:rFonts w:cs="Arial" w:ascii="Arial" w:hAnsi="Arial"/>
                <w:b w:val="false"/>
                <w:bCs w:val="false"/>
                <w:color w:val="000000"/>
              </w:rPr>
              <w:t xml:space="preserve"> no trajeto resultou em acréscimo de </w:t>
            </w:r>
            <w:r>
              <w:rPr>
                <w:rStyle w:val="Strong"/>
                <w:rFonts w:cs="Arial" w:ascii="Arial" w:hAnsi="Arial"/>
                <w:b w:val="false"/>
                <w:bCs w:val="false"/>
                <w:color w:val="000000"/>
              </w:rPr>
              <w:t>R$ 550.551,00/mês</w:t>
            </w:r>
            <w:r>
              <w:rPr>
                <w:rFonts w:cs="Arial" w:ascii="Arial" w:hAnsi="Arial"/>
                <w:b w:val="false"/>
                <w:bCs w:val="false"/>
                <w:color w:val="000000"/>
              </w:rPr>
              <w:t xml:space="preserve"> para o SANEP.</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A distância </w:t>
            </w:r>
            <w:r>
              <w:rPr>
                <w:rStyle w:val="Strong"/>
                <w:rFonts w:cs="Arial" w:ascii="Arial" w:hAnsi="Arial"/>
                <w:b w:val="false"/>
                <w:bCs w:val="false"/>
                <w:color w:val="000000"/>
              </w:rPr>
              <w:t>Pelotas → Aterro Minas do Leão</w:t>
            </w:r>
            <w:r>
              <w:rPr>
                <w:rFonts w:cs="Arial" w:ascii="Arial" w:hAnsi="Arial"/>
                <w:b w:val="false"/>
                <w:bCs w:val="false"/>
                <w:color w:val="000000"/>
              </w:rPr>
              <w:t xml:space="preserve"> é exatamente equivalente (</w:t>
            </w:r>
            <w:r>
              <w:rPr>
                <w:rStyle w:val="Strong"/>
                <w:rFonts w:cs="Arial" w:ascii="Arial" w:hAnsi="Arial"/>
                <w:b w:val="false"/>
                <w:bCs w:val="false"/>
                <w:color w:val="000000"/>
              </w:rPr>
              <w:t>275 km</w:t>
            </w:r>
            <w:r>
              <w:rPr>
                <w:rFonts w:cs="Arial" w:ascii="Arial" w:hAnsi="Arial"/>
                <w:b w:val="false"/>
                <w:bCs w:val="false"/>
                <w:color w:val="000000"/>
              </w:rPr>
              <w:t>), o que comprova — de forma objetiva — a vantajosidade da escolha de Candiota, considerando que:</w:t>
            </w:r>
          </w:p>
          <w:p>
            <w:pPr>
              <w:pStyle w:val="BodyText"/>
              <w:widowControl w:val="false"/>
              <w:numPr>
                <w:ilvl w:val="0"/>
                <w:numId w:val="20"/>
              </w:numPr>
              <w:tabs>
                <w:tab w:val="clear" w:pos="708"/>
                <w:tab w:val="left" w:pos="0" w:leader="none"/>
              </w:tabs>
              <w:spacing w:lineRule="auto" w:line="360" w:before="57" w:after="57"/>
              <w:ind w:hanging="283" w:left="709"/>
              <w:jc w:val="both"/>
              <w:textAlignment w:val="baseline"/>
              <w:rPr/>
            </w:pPr>
            <w:r>
              <w:rPr>
                <w:rFonts w:cs="Arial" w:ascii="Arial" w:hAnsi="Arial"/>
                <w:b w:val="false"/>
                <w:bCs w:val="false"/>
                <w:color w:val="000000"/>
              </w:rPr>
              <w:t>Os custos logísticos seriam similares aos do desvio temporário (muito superiores à rota regular);</w:t>
            </w:r>
          </w:p>
          <w:p>
            <w:pPr>
              <w:pStyle w:val="BodyText"/>
              <w:widowControl w:val="false"/>
              <w:numPr>
                <w:ilvl w:val="0"/>
                <w:numId w:val="20"/>
              </w:numPr>
              <w:tabs>
                <w:tab w:val="clear" w:pos="708"/>
                <w:tab w:val="left" w:pos="0" w:leader="none"/>
              </w:tabs>
              <w:spacing w:lineRule="auto" w:line="360" w:before="57" w:after="57"/>
              <w:ind w:hanging="283" w:left="709"/>
              <w:jc w:val="both"/>
              <w:textAlignment w:val="baseline"/>
              <w:rPr/>
            </w:pPr>
            <w:r>
              <w:rPr>
                <w:rFonts w:cs="Arial" w:ascii="Arial" w:hAnsi="Arial"/>
                <w:b w:val="false"/>
                <w:bCs w:val="false"/>
                <w:color w:val="000000"/>
              </w:rPr>
              <w:t>O custo por tonelada em Minas do Leão (</w:t>
            </w:r>
            <w:r>
              <w:rPr>
                <w:rStyle w:val="Strong"/>
                <w:rFonts w:cs="Arial" w:ascii="Arial" w:hAnsi="Arial"/>
                <w:b w:val="false"/>
                <w:bCs w:val="false"/>
                <w:color w:val="000000"/>
              </w:rPr>
              <w:t>R$ 134,78</w:t>
            </w:r>
            <w:r>
              <w:rPr>
                <w:rFonts w:cs="Arial" w:ascii="Arial" w:hAnsi="Arial"/>
                <w:b w:val="false"/>
                <w:bCs w:val="false"/>
                <w:color w:val="000000"/>
              </w:rPr>
              <w:t>) é significativamente maior do que o praticado em Candiota.</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Dessa forma, tanto pelos aspectos econômicos quanto pela viabilidade operacional, </w:t>
            </w:r>
            <w:r>
              <w:rPr>
                <w:rStyle w:val="Strong"/>
                <w:rFonts w:cs="Arial" w:ascii="Arial" w:hAnsi="Arial"/>
                <w:b w:val="false"/>
                <w:bCs w:val="false"/>
                <w:color w:val="000000"/>
              </w:rPr>
              <w:t>Candiota permanece como a melhor alternativa para o interesse público</w:t>
            </w:r>
            <w:r>
              <w:rPr>
                <w:rFonts w:cs="Arial" w:ascii="Arial" w:hAnsi="Arial"/>
                <w:b w:val="false"/>
                <w:bCs w:val="false"/>
                <w:color w:val="000000"/>
              </w:rPr>
              <w:t>.</w:t>
            </w:r>
          </w:p>
          <w:p>
            <w:pPr>
              <w:pStyle w:val="Heading2"/>
              <w:widowControl w:val="false"/>
              <w:numPr>
                <w:ilvl w:val="0"/>
                <w:numId w:val="0"/>
              </w:numPr>
              <w:spacing w:lineRule="auto" w:line="360" w:before="57" w:after="57"/>
              <w:ind w:hanging="0" w:left="0"/>
              <w:jc w:val="both"/>
              <w:textAlignment w:val="baseline"/>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r>
          </w:p>
          <w:p>
            <w:pPr>
              <w:pStyle w:val="Heading2"/>
              <w:widowControl w:val="false"/>
              <w:numPr>
                <w:ilvl w:val="0"/>
                <w:numId w:val="0"/>
              </w:numPr>
              <w:spacing w:lineRule="auto" w:line="360" w:before="57" w:after="57"/>
              <w:ind w:hanging="0" w:left="0"/>
              <w:jc w:val="center"/>
              <w:textAlignment w:val="baseline"/>
              <w:rPr/>
            </w:pPr>
            <w:r>
              <w:rPr>
                <w:rStyle w:val="Strong"/>
                <w:rFonts w:eastAsia="Calibri" w:cs="Arial" w:ascii="Arial" w:hAnsi="Arial"/>
                <w:b/>
                <w:bCs/>
                <w:color w:val="000000"/>
                <w:sz w:val="22"/>
                <w:szCs w:val="22"/>
              </w:rPr>
              <w:t>Operação da Estação de Transbordo (ETP)</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O SANEP não dispõe de pessoal, máquinas ou equipamentos em quantidade suficiente para realizar diretamente a </w:t>
            </w:r>
            <w:r>
              <w:rPr>
                <w:rStyle w:val="Strong"/>
                <w:rFonts w:cs="Arial" w:ascii="Arial" w:hAnsi="Arial"/>
                <w:b w:val="false"/>
                <w:bCs w:val="false"/>
                <w:color w:val="000000"/>
              </w:rPr>
              <w:t>operação da Estação de Transbordo</w:t>
            </w:r>
            <w:r>
              <w:rPr>
                <w:rFonts w:cs="Arial" w:ascii="Arial" w:hAnsi="Arial"/>
                <w:b w:val="false"/>
                <w:bCs w:val="false"/>
                <w:color w:val="000000"/>
              </w:rPr>
              <w:t xml:space="preserve">. Assim, torna-se </w:t>
            </w:r>
            <w:r>
              <w:rPr>
                <w:rStyle w:val="Strong"/>
                <w:rFonts w:cs="Arial" w:ascii="Arial" w:hAnsi="Arial"/>
                <w:b w:val="false"/>
                <w:bCs w:val="false"/>
                <w:color w:val="000000"/>
              </w:rPr>
              <w:t>indispensável</w:t>
            </w:r>
            <w:r>
              <w:rPr>
                <w:rFonts w:cs="Arial" w:ascii="Arial" w:hAnsi="Arial"/>
                <w:b w:val="false"/>
                <w:bCs w:val="false"/>
                <w:color w:val="000000"/>
              </w:rPr>
              <w:t xml:space="preserve"> a contratação de empresa especializada para execução desse serviço.</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Atualmente, o custo médio da operação registrada no período de </w:t>
            </w:r>
            <w:r>
              <w:rPr>
                <w:rStyle w:val="Strong"/>
                <w:rFonts w:cs="Arial" w:ascii="Arial" w:hAnsi="Arial"/>
                <w:b w:val="false"/>
                <w:bCs w:val="false"/>
                <w:color w:val="000000"/>
              </w:rPr>
              <w:t>janeiro a outubro de 2025</w:t>
            </w:r>
            <w:r>
              <w:rPr>
                <w:rFonts w:cs="Arial" w:ascii="Arial" w:hAnsi="Arial"/>
                <w:b w:val="false"/>
                <w:bCs w:val="false"/>
                <w:color w:val="000000"/>
              </w:rPr>
              <w:t xml:space="preserve"> é de </w:t>
            </w:r>
            <w:r>
              <w:rPr>
                <w:rStyle w:val="Strong"/>
                <w:rFonts w:cs="Arial" w:ascii="Arial" w:hAnsi="Arial"/>
                <w:b w:val="false"/>
                <w:bCs w:val="false"/>
                <w:color w:val="000000"/>
              </w:rPr>
              <w:t>R$ 295.472,00/mês</w:t>
            </w:r>
            <w:r>
              <w:rPr>
                <w:rFonts w:cs="Arial" w:ascii="Arial" w:hAnsi="Arial"/>
                <w:b w:val="false"/>
                <w:bCs w:val="false"/>
                <w:color w:val="000000"/>
              </w:rPr>
              <w:t>, valor que serve como referência no planejamento da contratação.</w:t>
            </w:r>
          </w:p>
        </w:tc>
      </w:tr>
    </w:tbl>
    <w:p>
      <w:pPr>
        <w:pStyle w:val="Normal"/>
        <w:spacing w:lineRule="auto" w:line="276" w:before="0" w:after="0"/>
        <w:jc w:val="both"/>
        <w:rPr>
          <w:rFonts w:ascii="Arial" w:hAnsi="Arial" w:cs="Arial"/>
        </w:rPr>
      </w:pPr>
      <w:r>
        <w:rPr>
          <w:rFonts w:cs="Arial" w:ascii="Arial" w:hAnsi="Arial"/>
        </w:rPr>
      </w:r>
    </w:p>
    <w:p>
      <w:pPr>
        <w:pStyle w:val="Normal"/>
        <w:spacing w:lineRule="auto" w:line="276" w:before="0" w:after="0"/>
        <w:jc w:val="both"/>
        <w:rPr>
          <w:rFonts w:ascii="Arial" w:hAnsi="Arial" w:cs="Arial"/>
        </w:rPr>
      </w:pPr>
      <w:r>
        <w:rPr>
          <w:rFonts w:cs="Arial" w:ascii="Arial" w:hAnsi="Arial"/>
        </w:rPr>
      </w:r>
    </w:p>
    <w:p>
      <w:pPr>
        <w:pStyle w:val="Normal"/>
        <w:spacing w:lineRule="auto" w:line="276" w:before="0" w:after="0"/>
        <w:jc w:val="both"/>
        <w:rPr>
          <w:rFonts w:ascii="Arial" w:hAnsi="Arial" w:cs="Arial"/>
        </w:rPr>
      </w:pPr>
      <w:r>
        <w:rPr>
          <w:rFonts w:cs="Arial" w:ascii="Arial" w:hAnsi="Arial"/>
        </w:rPr>
      </w:r>
    </w:p>
    <w:p>
      <w:pPr>
        <w:pStyle w:val="Normal"/>
        <w:spacing w:lineRule="auto" w:line="276" w:before="0" w:after="0"/>
        <w:jc w:val="both"/>
        <w:rPr>
          <w:rFonts w:ascii="Arial" w:hAnsi="Arial" w:cs="Arial"/>
        </w:rPr>
      </w:pPr>
      <w:r>
        <w:rPr>
          <w:rFonts w:cs="Arial" w:ascii="Arial" w:hAnsi="Arial"/>
        </w:rPr>
      </w:r>
    </w:p>
    <w:p>
      <w:pPr>
        <w:pStyle w:val="Normal"/>
        <w:spacing w:lineRule="auto" w:line="276" w:before="0" w:after="0"/>
        <w:jc w:val="both"/>
        <w:rPr>
          <w:rFonts w:ascii="Arial" w:hAnsi="Arial" w:cs="Arial"/>
        </w:rPr>
      </w:pPr>
      <w:r>
        <w:rPr>
          <w:rFonts w:cs="Arial" w:ascii="Arial" w:hAnsi="Arial"/>
        </w:rPr>
      </w:r>
    </w:p>
    <w:tbl>
      <w:tblPr>
        <w:tblStyle w:val="Tabelacomgrade"/>
        <w:tblW w:w="906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2"/>
        <w:gridCol w:w="2883"/>
        <w:gridCol w:w="1200"/>
        <w:gridCol w:w="1185"/>
        <w:gridCol w:w="1365"/>
        <w:gridCol w:w="1694"/>
      </w:tblGrid>
      <w:tr>
        <w:trPr/>
        <w:tc>
          <w:tcPr>
            <w:tcW w:w="9059" w:type="dxa"/>
            <w:gridSpan w:val="6"/>
            <w:tcBorders/>
            <w:shd w:color="auto" w:fill="BFBFBF" w:themeFill="background1" w:themeFillShade="bf" w:val="clear"/>
          </w:tcPr>
          <w:p>
            <w:pPr>
              <w:pStyle w:val="Normal"/>
              <w:widowControl/>
              <w:suppressAutoHyphens w:val="true"/>
              <w:spacing w:lineRule="auto" w:line="240" w:before="57" w:after="57"/>
              <w:jc w:val="both"/>
              <w:rPr>
                <w:rFonts w:ascii="Arial" w:hAnsi="Arial" w:eastAsia="Calibri"/>
              </w:rPr>
            </w:pPr>
            <w:r>
              <w:rPr>
                <w:rFonts w:eastAsia="Calibri" w:cs="Arial" w:ascii="Arial" w:hAnsi="Arial"/>
                <w:b/>
                <w:bCs/>
                <w:kern w:val="2"/>
                <w:sz w:val="22"/>
                <w:szCs w:val="22"/>
                <w:lang w:val="pt-BR" w:eastAsia="en-US" w:bidi="ar-SA"/>
              </w:rPr>
              <w:t>7 ESTIMATIVA DO VALOR DA CONTRATAÇÃO</w:t>
            </w:r>
          </w:p>
        </w:tc>
      </w:tr>
      <w:tr>
        <w:trPr/>
        <w:tc>
          <w:tcPr>
            <w:tcW w:w="732" w:type="dxa"/>
            <w:tcBorders/>
            <w:shd w:color="auto" w:fill="EEEEEE" w:val="clear"/>
            <w:vAlign w:val="center"/>
          </w:tcPr>
          <w:p>
            <w:pPr>
              <w:pStyle w:val="Normal"/>
              <w:widowControl/>
              <w:suppressAutoHyphens w:val="true"/>
              <w:spacing w:lineRule="auto" w:line="240" w:before="57" w:after="57"/>
              <w:jc w:val="center"/>
              <w:rPr>
                <w:rFonts w:ascii="Arial" w:hAnsi="Arial"/>
                <w:b/>
                <w:bCs/>
                <w:sz w:val="20"/>
                <w:szCs w:val="20"/>
              </w:rPr>
            </w:pPr>
            <w:r>
              <w:rPr>
                <w:rFonts w:eastAsia="Calibri" w:cs="Arial" w:ascii="Arial" w:hAnsi="Arial"/>
                <w:b/>
                <w:bCs/>
                <w:kern w:val="2"/>
                <w:sz w:val="20"/>
                <w:szCs w:val="20"/>
                <w:lang w:val="pt-BR" w:eastAsia="en-US" w:bidi="ar-SA"/>
              </w:rPr>
              <w:t>ITEM</w:t>
            </w:r>
          </w:p>
        </w:tc>
        <w:tc>
          <w:tcPr>
            <w:tcW w:w="2883" w:type="dxa"/>
            <w:tcBorders/>
            <w:shd w:color="auto" w:fill="EEEEEE" w:val="clear"/>
            <w:vAlign w:val="center"/>
          </w:tcPr>
          <w:p>
            <w:pPr>
              <w:pStyle w:val="Normal"/>
              <w:widowControl/>
              <w:suppressAutoHyphens w:val="true"/>
              <w:spacing w:lineRule="auto" w:line="240" w:before="57" w:after="57"/>
              <w:jc w:val="center"/>
              <w:rPr>
                <w:rFonts w:ascii="Arial" w:hAnsi="Arial"/>
                <w:b/>
                <w:bCs/>
                <w:sz w:val="20"/>
                <w:szCs w:val="20"/>
              </w:rPr>
            </w:pPr>
            <w:r>
              <w:rPr>
                <w:rFonts w:eastAsia="Calibri" w:cs="Arial" w:ascii="Arial" w:hAnsi="Arial"/>
                <w:b/>
                <w:bCs/>
                <w:kern w:val="2"/>
                <w:sz w:val="20"/>
                <w:szCs w:val="20"/>
                <w:lang w:val="pt-BR" w:eastAsia="en-US" w:bidi="ar-SA"/>
              </w:rPr>
              <w:t>DESCRIÇÃO</w:t>
            </w:r>
          </w:p>
        </w:tc>
        <w:tc>
          <w:tcPr>
            <w:tcW w:w="1200" w:type="dxa"/>
            <w:tcBorders/>
            <w:shd w:color="auto" w:fill="EEEEEE" w:val="clear"/>
            <w:vAlign w:val="center"/>
          </w:tcPr>
          <w:p>
            <w:pPr>
              <w:pStyle w:val="Normal"/>
              <w:widowControl/>
              <w:suppressAutoHyphens w:val="true"/>
              <w:spacing w:lineRule="auto" w:line="240" w:before="57" w:after="57"/>
              <w:jc w:val="center"/>
              <w:rPr>
                <w:rFonts w:ascii="Arial" w:hAnsi="Arial"/>
                <w:b/>
                <w:bCs/>
                <w:sz w:val="20"/>
                <w:szCs w:val="20"/>
              </w:rPr>
            </w:pPr>
            <w:r>
              <w:rPr>
                <w:rFonts w:eastAsia="Calibri" w:cs="" w:ascii="Arial" w:hAnsi="Arial"/>
                <w:b/>
                <w:bCs/>
                <w:kern w:val="2"/>
                <w:sz w:val="20"/>
                <w:szCs w:val="20"/>
                <w:lang w:val="pt-BR" w:eastAsia="en-US" w:bidi="ar-SA"/>
              </w:rPr>
              <w:t>UN.</w:t>
            </w:r>
          </w:p>
        </w:tc>
        <w:tc>
          <w:tcPr>
            <w:tcW w:w="1185" w:type="dxa"/>
            <w:tcBorders/>
            <w:shd w:color="auto" w:fill="EEEEEE" w:val="clear"/>
            <w:vAlign w:val="center"/>
          </w:tcPr>
          <w:p>
            <w:pPr>
              <w:pStyle w:val="Normal"/>
              <w:widowControl/>
              <w:suppressAutoHyphens w:val="true"/>
              <w:spacing w:lineRule="auto" w:line="240" w:before="57" w:after="57"/>
              <w:jc w:val="center"/>
              <w:rPr>
                <w:rFonts w:ascii="Arial" w:hAnsi="Arial"/>
                <w:b/>
                <w:bCs/>
                <w:sz w:val="20"/>
                <w:szCs w:val="20"/>
              </w:rPr>
            </w:pPr>
            <w:r>
              <w:rPr>
                <w:rFonts w:eastAsia="Calibri" w:cs="" w:ascii="Arial" w:hAnsi="Arial"/>
                <w:b/>
                <w:bCs/>
                <w:kern w:val="2"/>
                <w:sz w:val="20"/>
                <w:szCs w:val="20"/>
                <w:lang w:val="pt-BR" w:eastAsia="en-US" w:bidi="ar-SA"/>
              </w:rPr>
              <w:t>QUANT. (ton/mês)</w:t>
            </w:r>
          </w:p>
        </w:tc>
        <w:tc>
          <w:tcPr>
            <w:tcW w:w="1365" w:type="dxa"/>
            <w:tcBorders>
              <w:right w:val="nil"/>
            </w:tcBorders>
            <w:shd w:color="auto" w:fill="EEEEEE" w:val="clear"/>
            <w:vAlign w:val="center"/>
          </w:tcPr>
          <w:p>
            <w:pPr>
              <w:pStyle w:val="Normal"/>
              <w:widowControl/>
              <w:suppressAutoHyphens w:val="true"/>
              <w:spacing w:lineRule="auto" w:line="240" w:before="57" w:after="57"/>
              <w:jc w:val="center"/>
              <w:rPr>
                <w:rFonts w:ascii="Arial" w:hAnsi="Arial"/>
                <w:b/>
                <w:bCs/>
                <w:sz w:val="20"/>
                <w:szCs w:val="20"/>
              </w:rPr>
            </w:pPr>
            <w:r>
              <w:rPr>
                <w:rFonts w:eastAsia="Calibri" w:cs="" w:ascii="Arial" w:hAnsi="Arial"/>
                <w:b/>
                <w:bCs/>
                <w:kern w:val="2"/>
                <w:sz w:val="20"/>
                <w:szCs w:val="20"/>
                <w:lang w:val="pt-BR" w:eastAsia="en-US" w:bidi="ar-SA"/>
              </w:rPr>
              <w:t>VALOR UNITÁRIO (R$)</w:t>
            </w:r>
          </w:p>
        </w:tc>
        <w:tc>
          <w:tcPr>
            <w:tcW w:w="1694" w:type="dxa"/>
            <w:tcBorders/>
            <w:shd w:color="auto" w:fill="EEEEEE" w:val="clear"/>
            <w:vAlign w:val="center"/>
          </w:tcPr>
          <w:p>
            <w:pPr>
              <w:pStyle w:val="Normal"/>
              <w:widowControl/>
              <w:suppressAutoHyphens w:val="true"/>
              <w:spacing w:lineRule="auto" w:line="240" w:before="57" w:after="57"/>
              <w:jc w:val="center"/>
              <w:rPr>
                <w:rFonts w:ascii="Arial" w:hAnsi="Arial"/>
                <w:b/>
                <w:bCs/>
                <w:sz w:val="20"/>
                <w:szCs w:val="20"/>
              </w:rPr>
            </w:pPr>
            <w:r>
              <w:rPr>
                <w:rFonts w:eastAsia="Calibri" w:cs="" w:ascii="Arial" w:hAnsi="Arial"/>
                <w:b/>
                <w:bCs/>
                <w:kern w:val="2"/>
                <w:sz w:val="20"/>
                <w:szCs w:val="20"/>
                <w:lang w:val="pt-BR" w:eastAsia="en-US" w:bidi="ar-SA"/>
              </w:rPr>
              <w:t>VALOR TOTAL (R$)</w:t>
            </w:r>
          </w:p>
        </w:tc>
      </w:tr>
      <w:tr>
        <w:trPr/>
        <w:tc>
          <w:tcPr>
            <w:tcW w:w="732" w:type="dxa"/>
            <w:tcBorders>
              <w:top w:val="nil"/>
            </w:tcBorders>
            <w:vAlign w:val="center"/>
          </w:tcPr>
          <w:p>
            <w:pPr>
              <w:pStyle w:val="Normal"/>
              <w:widowControl/>
              <w:suppressAutoHyphens w:val="true"/>
              <w:spacing w:lineRule="auto" w:line="240" w:before="57" w:after="57"/>
              <w:jc w:val="center"/>
              <w:rPr>
                <w:rFonts w:ascii="Arial" w:hAnsi="Arial"/>
                <w:sz w:val="22"/>
                <w:szCs w:val="22"/>
              </w:rPr>
            </w:pPr>
            <w:r>
              <w:rPr>
                <w:rFonts w:ascii="Arial" w:hAnsi="Arial"/>
                <w:b w:val="false"/>
                <w:bCs w:val="false"/>
                <w:sz w:val="22"/>
                <w:szCs w:val="22"/>
              </w:rPr>
              <w:t>1</w:t>
            </w:r>
          </w:p>
        </w:tc>
        <w:tc>
          <w:tcPr>
            <w:tcW w:w="2883" w:type="dxa"/>
            <w:tcBorders>
              <w:top w:val="nil"/>
            </w:tcBorders>
            <w:vAlign w:val="center"/>
          </w:tcPr>
          <w:p>
            <w:pPr>
              <w:pStyle w:val="Normal"/>
              <w:widowControl/>
              <w:suppressAutoHyphens w:val="true"/>
              <w:spacing w:lineRule="auto" w:line="360" w:before="57" w:after="57"/>
              <w:jc w:val="both"/>
              <w:rPr>
                <w:sz w:val="22"/>
              </w:rPr>
            </w:pPr>
            <w:r>
              <w:rPr>
                <w:rFonts w:ascii="Arial" w:hAnsi="Arial"/>
                <w:b w:val="false"/>
                <w:bCs w:val="false"/>
                <w:sz w:val="22"/>
                <w:szCs w:val="22"/>
              </w:rPr>
              <w:t>Contratação de empresa especializada para a execução dos serviços de operação da Estação de Transbordo de Pelotas - ETP</w:t>
            </w:r>
          </w:p>
        </w:tc>
        <w:tc>
          <w:tcPr>
            <w:tcW w:w="1200" w:type="dxa"/>
            <w:tcBorders>
              <w:top w:val="nil"/>
            </w:tcBorders>
            <w:vAlign w:val="center"/>
          </w:tcPr>
          <w:p>
            <w:pPr>
              <w:pStyle w:val="Normal"/>
              <w:widowControl/>
              <w:suppressAutoHyphens w:val="true"/>
              <w:spacing w:lineRule="auto" w:line="240" w:before="57" w:after="57"/>
              <w:jc w:val="center"/>
              <w:rPr>
                <w:b w:val="false"/>
                <w:bCs w:val="false"/>
                <w:sz w:val="22"/>
              </w:rPr>
            </w:pPr>
            <w:r>
              <w:rPr>
                <w:rFonts w:ascii="Arial" w:hAnsi="Arial"/>
                <w:b w:val="false"/>
                <w:bCs w:val="false"/>
                <w:sz w:val="22"/>
                <w:szCs w:val="22"/>
              </w:rPr>
              <w:t>Tonelada</w:t>
            </w:r>
          </w:p>
        </w:tc>
        <w:tc>
          <w:tcPr>
            <w:tcW w:w="1185" w:type="dxa"/>
            <w:tcBorders>
              <w:top w:val="nil"/>
            </w:tcBorders>
            <w:vAlign w:val="center"/>
          </w:tcPr>
          <w:p>
            <w:pPr>
              <w:pStyle w:val="Normal"/>
              <w:widowControl/>
              <w:suppressAutoHyphens w:val="true"/>
              <w:spacing w:lineRule="auto" w:line="240" w:before="57" w:after="57"/>
              <w:jc w:val="center"/>
              <w:rPr>
                <w:color w:val="000000"/>
                <w:sz w:val="22"/>
              </w:rPr>
            </w:pPr>
            <w:r>
              <w:rPr>
                <w:rFonts w:ascii="Arial" w:hAnsi="Arial"/>
                <w:b w:val="false"/>
                <w:bCs w:val="false"/>
                <w:color w:val="000000"/>
                <w:sz w:val="22"/>
                <w:szCs w:val="22"/>
              </w:rPr>
              <w:t>9.883</w:t>
            </w:r>
          </w:p>
        </w:tc>
        <w:tc>
          <w:tcPr>
            <w:tcW w:w="1365" w:type="dxa"/>
            <w:tcBorders>
              <w:top w:val="nil"/>
              <w:right w:val="nil"/>
            </w:tcBorders>
            <w:vAlign w:val="center"/>
          </w:tcPr>
          <w:p>
            <w:pPr>
              <w:pStyle w:val="Normal"/>
              <w:widowControl/>
              <w:suppressAutoHyphens w:val="true"/>
              <w:spacing w:lineRule="auto" w:line="240" w:before="57" w:after="57"/>
              <w:jc w:val="center"/>
              <w:rPr>
                <w:rFonts w:ascii="Arial" w:hAnsi="Arial"/>
                <w:b/>
                <w:bCs/>
                <w:sz w:val="22"/>
                <w:szCs w:val="22"/>
              </w:rPr>
            </w:pPr>
            <w:r>
              <w:rPr>
                <w:rFonts w:ascii="Arial" w:hAnsi="Arial"/>
                <w:b/>
                <w:bCs/>
                <w:sz w:val="22"/>
                <w:szCs w:val="22"/>
              </w:rPr>
              <w:t>-</w:t>
            </w:r>
          </w:p>
        </w:tc>
        <w:tc>
          <w:tcPr>
            <w:tcW w:w="1694" w:type="dxa"/>
            <w:tcBorders>
              <w:top w:val="nil"/>
            </w:tcBorders>
            <w:vAlign w:val="center"/>
          </w:tcPr>
          <w:p>
            <w:pPr>
              <w:pStyle w:val="Normal"/>
              <w:widowControl/>
              <w:suppressAutoHyphens w:val="true"/>
              <w:spacing w:lineRule="auto" w:line="240" w:before="57" w:after="57"/>
              <w:jc w:val="center"/>
              <w:rPr>
                <w:rFonts w:ascii="Arial" w:hAnsi="Arial"/>
                <w:b/>
                <w:bCs/>
                <w:sz w:val="22"/>
                <w:szCs w:val="22"/>
              </w:rPr>
            </w:pPr>
            <w:r>
              <w:rPr>
                <w:rFonts w:ascii="Arial" w:hAnsi="Arial"/>
                <w:b/>
                <w:bCs/>
                <w:sz w:val="22"/>
                <w:szCs w:val="22"/>
              </w:rPr>
              <w:t>-</w:t>
            </w:r>
          </w:p>
        </w:tc>
      </w:tr>
      <w:tr>
        <w:trPr/>
        <w:tc>
          <w:tcPr>
            <w:tcW w:w="732" w:type="dxa"/>
            <w:tcBorders>
              <w:top w:val="nil"/>
            </w:tcBorders>
            <w:vAlign w:val="center"/>
          </w:tcPr>
          <w:p>
            <w:pPr>
              <w:pStyle w:val="Normal"/>
              <w:widowControl/>
              <w:suppressAutoHyphens w:val="true"/>
              <w:spacing w:lineRule="auto" w:line="240" w:before="57" w:after="57"/>
              <w:jc w:val="center"/>
              <w:rPr>
                <w:rFonts w:ascii="Arial" w:hAnsi="Arial"/>
                <w:b w:val="false"/>
                <w:bCs w:val="false"/>
                <w:sz w:val="22"/>
                <w:szCs w:val="22"/>
              </w:rPr>
            </w:pPr>
            <w:r>
              <w:rPr>
                <w:rFonts w:ascii="Arial" w:hAnsi="Arial"/>
                <w:b w:val="false"/>
                <w:bCs w:val="false"/>
                <w:sz w:val="22"/>
                <w:szCs w:val="22"/>
              </w:rPr>
            </w:r>
          </w:p>
          <w:p>
            <w:pPr>
              <w:pStyle w:val="Normal"/>
              <w:widowControl/>
              <w:suppressAutoHyphens w:val="true"/>
              <w:spacing w:lineRule="auto" w:line="240" w:before="57" w:after="57"/>
              <w:jc w:val="center"/>
              <w:rPr>
                <w:rFonts w:ascii="Arial" w:hAnsi="Arial"/>
                <w:b w:val="false"/>
                <w:bCs w:val="false"/>
                <w:sz w:val="22"/>
                <w:szCs w:val="22"/>
              </w:rPr>
            </w:pPr>
            <w:r>
              <w:rPr>
                <w:rFonts w:ascii="Arial" w:hAnsi="Arial"/>
                <w:b w:val="false"/>
                <w:bCs w:val="false"/>
                <w:sz w:val="22"/>
                <w:szCs w:val="22"/>
              </w:rPr>
            </w:r>
          </w:p>
          <w:p>
            <w:pPr>
              <w:pStyle w:val="Normal"/>
              <w:widowControl/>
              <w:suppressAutoHyphens w:val="true"/>
              <w:spacing w:lineRule="auto" w:line="240" w:before="57" w:after="57"/>
              <w:jc w:val="center"/>
              <w:rPr>
                <w:rFonts w:ascii="Arial" w:hAnsi="Arial"/>
                <w:b w:val="false"/>
                <w:bCs w:val="false"/>
                <w:sz w:val="22"/>
                <w:szCs w:val="22"/>
              </w:rPr>
            </w:pPr>
            <w:r>
              <w:rPr>
                <w:rFonts w:ascii="Arial" w:hAnsi="Arial"/>
                <w:b w:val="false"/>
                <w:bCs w:val="false"/>
                <w:sz w:val="22"/>
                <w:szCs w:val="22"/>
              </w:rPr>
              <w:t>2</w:t>
            </w:r>
          </w:p>
        </w:tc>
        <w:tc>
          <w:tcPr>
            <w:tcW w:w="2883" w:type="dxa"/>
            <w:tcBorders>
              <w:top w:val="nil"/>
            </w:tcBorders>
            <w:vAlign w:val="center"/>
          </w:tcPr>
          <w:p>
            <w:pPr>
              <w:pStyle w:val="Normal"/>
              <w:widowControl/>
              <w:suppressAutoHyphens w:val="true"/>
              <w:spacing w:lineRule="auto" w:line="360" w:before="57" w:after="57"/>
              <w:jc w:val="both"/>
              <w:rPr>
                <w:sz w:val="22"/>
              </w:rPr>
            </w:pPr>
            <w:r>
              <w:rPr>
                <w:rFonts w:ascii="Arial" w:hAnsi="Arial"/>
                <w:sz w:val="22"/>
                <w:szCs w:val="22"/>
              </w:rPr>
              <w:t>Contratação de empresa especializada para a execução dos serviços de transporte de resíduo sólido urbano (RSU), classe II, desde a Estação de Transbordo de Pelotas até o Aterro Sanitário Metade Sul – Meioeste, localizado no Município de Candiota/RS, pelo período de 12 (doze) meses, prorrogável por iguais e sucessivos períodos, até o limite previsto em lei e respeitada a vigência decenal, conforme legislação vigente.</w:t>
            </w:r>
          </w:p>
        </w:tc>
        <w:tc>
          <w:tcPr>
            <w:tcW w:w="1200" w:type="dxa"/>
            <w:tcBorders>
              <w:top w:val="nil"/>
            </w:tcBorders>
            <w:vAlign w:val="center"/>
          </w:tcPr>
          <w:p>
            <w:pPr>
              <w:pStyle w:val="Normal"/>
              <w:widowControl/>
              <w:suppressAutoHyphens w:val="true"/>
              <w:spacing w:lineRule="auto" w:line="240" w:before="57" w:after="57"/>
              <w:jc w:val="center"/>
              <w:rPr>
                <w:rFonts w:ascii="Arial" w:hAnsi="Arial"/>
                <w:sz w:val="22"/>
                <w:szCs w:val="22"/>
              </w:rPr>
            </w:pPr>
            <w:r>
              <w:rPr>
                <w:rFonts w:ascii="Arial" w:hAnsi="Arial"/>
                <w:sz w:val="22"/>
                <w:szCs w:val="22"/>
              </w:rPr>
              <w:t>Tonelada</w:t>
            </w:r>
          </w:p>
        </w:tc>
        <w:tc>
          <w:tcPr>
            <w:tcW w:w="1185" w:type="dxa"/>
            <w:tcBorders>
              <w:top w:val="nil"/>
            </w:tcBorders>
            <w:vAlign w:val="center"/>
          </w:tcPr>
          <w:p>
            <w:pPr>
              <w:pStyle w:val="Normal"/>
              <w:widowControl/>
              <w:suppressAutoHyphens w:val="true"/>
              <w:spacing w:lineRule="auto" w:line="240" w:before="57" w:after="57"/>
              <w:jc w:val="center"/>
              <w:rPr>
                <w:color w:val="000000"/>
                <w:sz w:val="22"/>
              </w:rPr>
            </w:pPr>
            <w:r>
              <w:rPr>
                <w:rFonts w:ascii="Arial" w:hAnsi="Arial"/>
                <w:b w:val="false"/>
                <w:bCs w:val="false"/>
                <w:color w:val="000000"/>
                <w:sz w:val="22"/>
                <w:szCs w:val="22"/>
              </w:rPr>
              <w:t>9.883</w:t>
            </w:r>
          </w:p>
        </w:tc>
        <w:tc>
          <w:tcPr>
            <w:tcW w:w="1365" w:type="dxa"/>
            <w:tcBorders>
              <w:top w:val="nil"/>
              <w:right w:val="nil"/>
            </w:tcBorders>
            <w:vAlign w:val="center"/>
          </w:tcPr>
          <w:p>
            <w:pPr>
              <w:pStyle w:val="Normal"/>
              <w:widowControl/>
              <w:suppressAutoHyphens w:val="true"/>
              <w:spacing w:lineRule="auto" w:line="240" w:before="57" w:after="57"/>
              <w:jc w:val="center"/>
              <w:rPr>
                <w:color w:val="000000"/>
                <w:sz w:val="22"/>
              </w:rPr>
            </w:pPr>
            <w:r>
              <w:rPr>
                <w:rFonts w:ascii="Arial" w:hAnsi="Arial"/>
                <w:b w:val="false"/>
                <w:bCs w:val="false"/>
                <w:color w:val="000000"/>
                <w:sz w:val="22"/>
                <w:szCs w:val="22"/>
              </w:rPr>
              <w:t>114,10</w:t>
            </w:r>
          </w:p>
        </w:tc>
        <w:tc>
          <w:tcPr>
            <w:tcW w:w="1694" w:type="dxa"/>
            <w:tcBorders>
              <w:top w:val="nil"/>
            </w:tcBorders>
            <w:vAlign w:val="center"/>
          </w:tcPr>
          <w:p>
            <w:pPr>
              <w:pStyle w:val="Normal"/>
              <w:widowControl/>
              <w:suppressAutoHyphens w:val="true"/>
              <w:spacing w:lineRule="auto" w:line="240" w:before="57" w:after="57"/>
              <w:jc w:val="center"/>
              <w:rPr>
                <w:color w:val="000000"/>
                <w:sz w:val="22"/>
              </w:rPr>
            </w:pPr>
            <w:r>
              <w:rPr>
                <w:rFonts w:ascii="Arial" w:hAnsi="Arial"/>
                <w:b w:val="false"/>
                <w:bCs w:val="false"/>
                <w:color w:val="000000"/>
                <w:sz w:val="22"/>
                <w:szCs w:val="22"/>
              </w:rPr>
              <w:t>13.531.779,44</w:t>
            </w:r>
          </w:p>
        </w:tc>
      </w:tr>
      <w:tr>
        <w:trPr/>
        <w:tc>
          <w:tcPr>
            <w:tcW w:w="732" w:type="dxa"/>
            <w:tcBorders>
              <w:top w:val="nil"/>
            </w:tcBorders>
            <w:vAlign w:val="center"/>
          </w:tcPr>
          <w:p>
            <w:pPr>
              <w:pStyle w:val="Normal"/>
              <w:widowControl/>
              <w:suppressAutoHyphens w:val="true"/>
              <w:spacing w:lineRule="auto" w:line="240" w:before="57" w:after="57"/>
              <w:jc w:val="center"/>
              <w:rPr>
                <w:rFonts w:ascii="Arial" w:hAnsi="Arial"/>
                <w:b w:val="false"/>
                <w:bCs w:val="false"/>
                <w:sz w:val="22"/>
                <w:szCs w:val="22"/>
              </w:rPr>
            </w:pPr>
            <w:r>
              <w:rPr>
                <w:rFonts w:ascii="Arial" w:hAnsi="Arial"/>
                <w:b w:val="false"/>
                <w:bCs w:val="false"/>
                <w:sz w:val="22"/>
                <w:szCs w:val="22"/>
              </w:rPr>
              <w:t>3</w:t>
            </w:r>
          </w:p>
        </w:tc>
        <w:tc>
          <w:tcPr>
            <w:tcW w:w="2883" w:type="dxa"/>
            <w:tcBorders>
              <w:top w:val="nil"/>
            </w:tcBorders>
            <w:vAlign w:val="center"/>
          </w:tcPr>
          <w:p>
            <w:pPr>
              <w:pStyle w:val="Normal"/>
              <w:widowControl/>
              <w:suppressAutoHyphens w:val="true"/>
              <w:spacing w:lineRule="auto" w:line="360" w:before="57" w:after="57"/>
              <w:jc w:val="both"/>
              <w:rPr>
                <w:sz w:val="22"/>
              </w:rPr>
            </w:pPr>
            <w:r>
              <w:rPr>
                <w:rFonts w:ascii="Arial" w:hAnsi="Arial"/>
                <w:b w:val="false"/>
                <w:bCs w:val="false"/>
                <w:sz w:val="22"/>
                <w:szCs w:val="22"/>
              </w:rPr>
              <w:t>Contratação de aterro sanitário licenciado para a disposição final de resíduo sólido urbano (RSU), classe II (12 meses)</w:t>
            </w:r>
          </w:p>
        </w:tc>
        <w:tc>
          <w:tcPr>
            <w:tcW w:w="1200" w:type="dxa"/>
            <w:tcBorders>
              <w:top w:val="nil"/>
            </w:tcBorders>
            <w:vAlign w:val="center"/>
          </w:tcPr>
          <w:p>
            <w:pPr>
              <w:pStyle w:val="Normal"/>
              <w:widowControl/>
              <w:suppressAutoHyphens w:val="true"/>
              <w:spacing w:lineRule="auto" w:line="240" w:before="57" w:after="57"/>
              <w:jc w:val="center"/>
              <w:rPr>
                <w:rFonts w:ascii="Arial" w:hAnsi="Arial"/>
                <w:b w:val="false"/>
                <w:bCs w:val="false"/>
                <w:sz w:val="22"/>
                <w:szCs w:val="22"/>
              </w:rPr>
            </w:pPr>
            <w:r>
              <w:rPr>
                <w:rFonts w:ascii="Arial" w:hAnsi="Arial"/>
                <w:b w:val="false"/>
                <w:bCs w:val="false"/>
                <w:sz w:val="22"/>
                <w:szCs w:val="22"/>
              </w:rPr>
            </w:r>
          </w:p>
          <w:p>
            <w:pPr>
              <w:pStyle w:val="Normal"/>
              <w:widowControl/>
              <w:suppressAutoHyphens w:val="true"/>
              <w:spacing w:lineRule="auto" w:line="240" w:before="57" w:after="57"/>
              <w:jc w:val="center"/>
              <w:rPr>
                <w:rFonts w:ascii="Arial" w:hAnsi="Arial"/>
                <w:b w:val="false"/>
                <w:bCs w:val="false"/>
                <w:sz w:val="22"/>
                <w:szCs w:val="22"/>
              </w:rPr>
            </w:pPr>
            <w:r>
              <w:rPr>
                <w:rFonts w:ascii="Arial" w:hAnsi="Arial"/>
                <w:b w:val="false"/>
                <w:bCs w:val="false"/>
                <w:sz w:val="22"/>
                <w:szCs w:val="22"/>
              </w:rPr>
              <w:t>Tonelada</w:t>
            </w:r>
          </w:p>
        </w:tc>
        <w:tc>
          <w:tcPr>
            <w:tcW w:w="1185" w:type="dxa"/>
            <w:tcBorders>
              <w:top w:val="nil"/>
            </w:tcBorders>
            <w:vAlign w:val="center"/>
          </w:tcPr>
          <w:p>
            <w:pPr>
              <w:pStyle w:val="Normal"/>
              <w:widowControl/>
              <w:suppressAutoHyphens w:val="true"/>
              <w:spacing w:lineRule="auto" w:line="240" w:before="57" w:after="57"/>
              <w:jc w:val="center"/>
              <w:rPr>
                <w:b w:val="false"/>
                <w:bCs w:val="false"/>
                <w:color w:val="000000"/>
                <w:sz w:val="22"/>
              </w:rPr>
            </w:pPr>
            <w:r>
              <w:rPr>
                <w:b w:val="false"/>
                <w:bCs w:val="false"/>
                <w:color w:val="000000"/>
                <w:sz w:val="22"/>
              </w:rPr>
            </w:r>
          </w:p>
          <w:p>
            <w:pPr>
              <w:pStyle w:val="Normal"/>
              <w:widowControl/>
              <w:suppressAutoHyphens w:val="true"/>
              <w:spacing w:lineRule="auto" w:line="240" w:before="57" w:after="57"/>
              <w:jc w:val="center"/>
              <w:rPr>
                <w:b w:val="false"/>
                <w:bCs w:val="false"/>
                <w:color w:val="000000"/>
                <w:sz w:val="22"/>
              </w:rPr>
            </w:pPr>
            <w:r>
              <w:rPr>
                <w:rFonts w:ascii="Arial" w:hAnsi="Arial"/>
                <w:b w:val="false"/>
                <w:bCs w:val="false"/>
                <w:color w:val="000000"/>
                <w:sz w:val="22"/>
                <w:szCs w:val="22"/>
              </w:rPr>
              <w:t>9.883</w:t>
            </w:r>
          </w:p>
        </w:tc>
        <w:tc>
          <w:tcPr>
            <w:tcW w:w="1365" w:type="dxa"/>
            <w:tcBorders>
              <w:top w:val="nil"/>
              <w:right w:val="nil"/>
            </w:tcBorders>
            <w:vAlign w:val="center"/>
          </w:tcPr>
          <w:p>
            <w:pPr>
              <w:pStyle w:val="Normal"/>
              <w:widowControl/>
              <w:suppressAutoHyphens w:val="true"/>
              <w:spacing w:lineRule="auto" w:line="240" w:before="57" w:after="57"/>
              <w:jc w:val="center"/>
              <w:rPr>
                <w:b w:val="false"/>
                <w:bCs w:val="false"/>
                <w:color w:val="000000"/>
                <w:sz w:val="22"/>
              </w:rPr>
            </w:pPr>
            <w:r>
              <w:rPr>
                <w:b w:val="false"/>
                <w:bCs w:val="false"/>
                <w:color w:val="000000"/>
                <w:sz w:val="22"/>
              </w:rPr>
            </w:r>
          </w:p>
          <w:p>
            <w:pPr>
              <w:pStyle w:val="Normal"/>
              <w:widowControl/>
              <w:suppressAutoHyphens w:val="true"/>
              <w:spacing w:lineRule="auto" w:line="240" w:before="57" w:after="57"/>
              <w:jc w:val="center"/>
              <w:rPr>
                <w:b w:val="false"/>
                <w:bCs w:val="false"/>
                <w:color w:val="000000"/>
                <w:sz w:val="22"/>
              </w:rPr>
            </w:pPr>
            <w:r>
              <w:rPr>
                <w:rFonts w:ascii="Arial" w:hAnsi="Arial"/>
                <w:b w:val="false"/>
                <w:bCs w:val="false"/>
                <w:color w:val="000000"/>
                <w:sz w:val="22"/>
                <w:szCs w:val="22"/>
              </w:rPr>
              <w:t>109,39</w:t>
            </w:r>
          </w:p>
        </w:tc>
        <w:tc>
          <w:tcPr>
            <w:tcW w:w="1694" w:type="dxa"/>
            <w:tcBorders>
              <w:top w:val="nil"/>
            </w:tcBorders>
            <w:vAlign w:val="center"/>
          </w:tcPr>
          <w:p>
            <w:pPr>
              <w:pStyle w:val="Normal"/>
              <w:widowControl/>
              <w:suppressAutoHyphens w:val="true"/>
              <w:spacing w:lineRule="auto" w:line="240" w:before="57" w:after="57"/>
              <w:jc w:val="center"/>
              <w:rPr>
                <w:b w:val="false"/>
                <w:bCs w:val="false"/>
                <w:color w:val="000000"/>
                <w:sz w:val="22"/>
              </w:rPr>
            </w:pPr>
            <w:r>
              <w:rPr>
                <w:b w:val="false"/>
                <w:bCs w:val="false"/>
                <w:color w:val="000000"/>
                <w:sz w:val="22"/>
              </w:rPr>
            </w:r>
          </w:p>
          <w:p>
            <w:pPr>
              <w:pStyle w:val="Normal"/>
              <w:widowControl/>
              <w:suppressAutoHyphens w:val="true"/>
              <w:spacing w:lineRule="auto" w:line="240" w:before="57" w:after="57"/>
              <w:jc w:val="center"/>
              <w:rPr>
                <w:b w:val="false"/>
                <w:bCs w:val="false"/>
                <w:color w:val="000000"/>
                <w:sz w:val="22"/>
              </w:rPr>
            </w:pPr>
            <w:r>
              <w:rPr>
                <w:rFonts w:ascii="Arial" w:hAnsi="Arial"/>
                <w:b w:val="false"/>
                <w:bCs w:val="false"/>
                <w:color w:val="000000"/>
                <w:sz w:val="22"/>
                <w:szCs w:val="22"/>
              </w:rPr>
              <w:t>12.973.216,44</w:t>
            </w:r>
          </w:p>
        </w:tc>
      </w:tr>
    </w:tbl>
    <w:p>
      <w:pPr>
        <w:pStyle w:val="Normal"/>
        <w:spacing w:lineRule="auto" w:line="276" w:before="0" w:after="0"/>
        <w:jc w:val="both"/>
        <w:rPr>
          <w:rFonts w:ascii="Arial" w:hAnsi="Arial" w:cs="Arial"/>
        </w:rPr>
      </w:pPr>
      <w:r>
        <w:rPr>
          <w:rFonts w:cs="Arial" w:ascii="Arial" w:hAnsi="Arial"/>
        </w:rPr>
      </w:r>
    </w:p>
    <w:p>
      <w:pPr>
        <w:pStyle w:val="Normal"/>
        <w:spacing w:lineRule="auto" w:line="276"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360" w:before="57" w:after="57"/>
              <w:jc w:val="both"/>
              <w:rPr>
                <w:rFonts w:ascii="Arial" w:hAnsi="Arial" w:eastAsia="Calibri"/>
              </w:rPr>
            </w:pPr>
            <w:r>
              <w:rPr>
                <w:rFonts w:eastAsia="Calibri" w:cs="Arial" w:ascii="Arial" w:hAnsi="Arial"/>
                <w:b/>
                <w:bCs/>
                <w:kern w:val="2"/>
                <w:sz w:val="22"/>
                <w:szCs w:val="22"/>
                <w:lang w:val="pt-BR" w:eastAsia="en-US" w:bidi="ar-SA"/>
              </w:rPr>
              <w:t>8 DESCRIÇÃO DA SOLUÇÃO COMO UM TODO</w:t>
            </w:r>
          </w:p>
        </w:tc>
      </w:tr>
      <w:tr>
        <w:trPr/>
        <w:tc>
          <w:tcPr>
            <w:tcW w:w="9061" w:type="dxa"/>
            <w:tcBorders/>
          </w:tcPr>
          <w:p>
            <w:pPr>
              <w:pStyle w:val="BodyText"/>
              <w:widowControl w:val="false"/>
              <w:spacing w:lineRule="auto" w:line="240" w:before="57" w:after="57"/>
              <w:jc w:val="both"/>
              <w:textAlignment w:val="baseline"/>
              <w:rPr>
                <w:rFonts w:ascii="Arial" w:hAnsi="Arial" w:cs="Arial"/>
                <w:b w:val="false"/>
                <w:bCs w:val="false"/>
                <w:color w:val="C9211E"/>
              </w:rPr>
            </w:pPr>
            <w:r>
              <w:rPr>
                <w:rFonts w:cs="Arial" w:ascii="Arial" w:hAnsi="Arial"/>
                <w:b w:val="false"/>
                <w:bCs w:val="false"/>
                <w:color w:val="C9211E"/>
              </w:rPr>
            </w:r>
          </w:p>
          <w:p>
            <w:pPr>
              <w:pStyle w:val="Heading2"/>
              <w:widowControl w:val="false"/>
              <w:spacing w:lineRule="auto" w:line="360" w:before="57" w:after="57"/>
              <w:jc w:val="both"/>
              <w:textAlignment w:val="baseline"/>
              <w:rPr/>
            </w:pPr>
            <w:r>
              <w:rPr>
                <w:rStyle w:val="Strong"/>
                <w:rFonts w:eastAsia="Calibri" w:cs="Arial" w:ascii="Arial" w:hAnsi="Arial"/>
                <w:b/>
                <w:bCs/>
                <w:color w:val="000000"/>
                <w:sz w:val="22"/>
                <w:szCs w:val="22"/>
                <w:shd w:fill="auto" w:val="clear"/>
              </w:rPr>
              <w:t>Fundamentação da modalidade escolhida para cada objeto</w:t>
            </w:r>
          </w:p>
          <w:p>
            <w:pPr>
              <w:pStyle w:val="Heading3"/>
              <w:widowControl w:val="false"/>
              <w:spacing w:lineRule="auto" w:line="360" w:before="57" w:after="57"/>
              <w:jc w:val="both"/>
              <w:textAlignment w:val="baseline"/>
              <w:rPr/>
            </w:pPr>
            <w:r>
              <w:rPr>
                <w:rStyle w:val="Strong"/>
                <w:rFonts w:eastAsia="Calibri" w:cs="Arial" w:ascii="Arial" w:hAnsi="Arial"/>
                <w:b/>
                <w:bCs/>
                <w:color w:val="000000"/>
                <w:sz w:val="22"/>
                <w:szCs w:val="22"/>
              </w:rPr>
              <w:t>a) Operação da ETP – Pregão Eletrônico</w:t>
            </w:r>
          </w:p>
          <w:p>
            <w:pPr>
              <w:pStyle w:val="BodyText"/>
              <w:widowControl w:val="false"/>
              <w:spacing w:lineRule="auto" w:line="360" w:before="57" w:after="57"/>
              <w:jc w:val="both"/>
              <w:textAlignment w:val="baseline"/>
              <w:rPr/>
            </w:pPr>
            <w:r>
              <w:rPr>
                <w:rFonts w:cs="Arial" w:ascii="Arial" w:hAnsi="Arial"/>
                <w:color w:val="000000"/>
              </w:rPr>
              <w:t xml:space="preserve">A contratação da empresa responsável pela </w:t>
            </w:r>
            <w:r>
              <w:rPr>
                <w:rStyle w:val="Strong"/>
                <w:rFonts w:cs="Arial" w:ascii="Arial" w:hAnsi="Arial"/>
                <w:color w:val="000000"/>
              </w:rPr>
              <w:t>Operação da Estação de Transbordo de Pelotas (ETP)</w:t>
            </w:r>
            <w:r>
              <w:rPr>
                <w:rFonts w:cs="Arial" w:ascii="Arial" w:hAnsi="Arial"/>
                <w:color w:val="000000"/>
              </w:rPr>
              <w:t xml:space="preserve"> será realizada por meio de </w:t>
            </w:r>
            <w:r>
              <w:rPr>
                <w:rStyle w:val="Strong"/>
                <w:rFonts w:cs="Arial" w:ascii="Arial" w:hAnsi="Arial"/>
                <w:color w:val="000000"/>
              </w:rPr>
              <w:t>Pregão Eletrônico</w:t>
            </w:r>
            <w:r>
              <w:rPr>
                <w:rFonts w:cs="Arial" w:ascii="Arial" w:hAnsi="Arial"/>
                <w:color w:val="000000"/>
              </w:rPr>
              <w:t>, modalidade adequada para aquisição de bens e serviços comuns, conforme a legislação vigente.</w:t>
              <w:br/>
              <w:t>A operação da ETP consiste em serviço rotineiro e padronizado, com especificações objetivas e desempenho mensurável, permitindo a competição entre empresas especializadas.</w:t>
            </w:r>
          </w:p>
          <w:p>
            <w:pPr>
              <w:pStyle w:val="BodyText"/>
              <w:widowControl w:val="false"/>
              <w:spacing w:lineRule="auto" w:line="360" w:before="57" w:after="57"/>
              <w:jc w:val="left"/>
              <w:textAlignment w:val="baseline"/>
              <w:rPr/>
            </w:pPr>
            <w:r>
              <w:rPr>
                <w:rFonts w:cs="Arial" w:ascii="Arial" w:hAnsi="Arial"/>
                <w:color w:val="000000"/>
                <w:sz w:val="22"/>
                <w:szCs w:val="22"/>
              </w:rPr>
              <w:t>O SANEP apresentará uma Estação de Transbordo licenciada no momento da licitação da operação do transbordo de forma a permitir a igualdade de condições aos licitantes na disputa.</w:t>
            </w:r>
            <w:r>
              <w:rPr>
                <w:rFonts w:cs="Arial" w:ascii="Arial" w:hAnsi="Arial"/>
                <w:color w:val="000000"/>
              </w:rPr>
              <w:br/>
              <w:t xml:space="preserve">A gestão operacional permanecerá sob responsabilidade do </w:t>
            </w:r>
            <w:r>
              <w:rPr>
                <w:rStyle w:val="Strong"/>
                <w:rFonts w:cs="Arial" w:ascii="Arial" w:hAnsi="Arial"/>
                <w:color w:val="000000"/>
              </w:rPr>
              <w:t>SANEP</w:t>
            </w:r>
            <w:r>
              <w:rPr>
                <w:rFonts w:cs="Arial" w:ascii="Arial" w:hAnsi="Arial"/>
                <w:color w:val="000000"/>
              </w:rPr>
              <w:t>, reforçando a necessidade de contratação por preço competitivo, com critérios claros e técnica amplamente consolidada no mercado.</w:t>
            </w:r>
          </w:p>
          <w:p>
            <w:pPr>
              <w:pStyle w:val="BodyText"/>
              <w:widowControl w:val="false"/>
              <w:spacing w:lineRule="auto" w:line="360" w:before="57" w:after="57"/>
              <w:jc w:val="both"/>
              <w:textAlignment w:val="baseline"/>
              <w:rPr/>
            </w:pPr>
            <w:r>
              <w:rPr>
                <w:rFonts w:cs="Arial" w:ascii="Arial" w:hAnsi="Arial"/>
                <w:color w:val="000000"/>
              </w:rPr>
              <w:t>A abertura de processo licitatório para a contratação de aguarda definição da “forma” de vinculação/contratação do SANEP da área e da infraestrutura da Estação de Transbordo.</w:t>
            </w:r>
          </w:p>
          <w:p>
            <w:pPr>
              <w:pStyle w:val="Heading3"/>
              <w:widowControl w:val="false"/>
              <w:spacing w:lineRule="auto" w:line="360" w:before="57" w:after="57"/>
              <w:jc w:val="both"/>
              <w:textAlignment w:val="baseline"/>
              <w:rPr/>
            </w:pPr>
            <w:r>
              <w:rPr>
                <w:rStyle w:val="Strong"/>
                <w:rFonts w:eastAsia="Calibri" w:cs="Arial" w:ascii="Arial" w:hAnsi="Arial"/>
                <w:b/>
                <w:bCs/>
                <w:color w:val="000000"/>
                <w:sz w:val="22"/>
                <w:szCs w:val="22"/>
              </w:rPr>
              <w:t>b) Transporte dos Resíduos – Pregão Eletrônico</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O serviço de </w:t>
            </w:r>
            <w:r>
              <w:rPr>
                <w:rStyle w:val="Strong"/>
                <w:rFonts w:cs="Arial" w:ascii="Arial" w:hAnsi="Arial"/>
                <w:b w:val="false"/>
                <w:bCs w:val="false"/>
                <w:color w:val="000000"/>
              </w:rPr>
              <w:t>transporte dos resíduos da ETP até o aterro</w:t>
            </w:r>
            <w:r>
              <w:rPr>
                <w:rFonts w:cs="Arial" w:ascii="Arial" w:hAnsi="Arial"/>
                <w:b w:val="false"/>
                <w:bCs w:val="false"/>
                <w:color w:val="000000"/>
              </w:rPr>
              <w:t xml:space="preserve"> também será contratado via </w:t>
            </w:r>
            <w:r>
              <w:rPr>
                <w:rStyle w:val="Strong"/>
                <w:rFonts w:cs="Arial" w:ascii="Arial" w:hAnsi="Arial"/>
                <w:b w:val="false"/>
                <w:bCs w:val="false"/>
                <w:color w:val="000000"/>
              </w:rPr>
              <w:t>Pregão Eletrônico</w:t>
            </w:r>
            <w:r>
              <w:rPr>
                <w:rFonts w:cs="Arial" w:ascii="Arial" w:hAnsi="Arial"/>
                <w:b w:val="false"/>
                <w:bCs w:val="false"/>
                <w:color w:val="000000"/>
              </w:rPr>
              <w:t>, uma vez que se trata de serviço comum, de natureza padronizável, com especificações técnicas detalhadas e parâmetros objetivos de desempenho (frota mínima, rastreamento, motoristas habilitados, rotas etc.).</w:t>
              <w:br/>
              <w:t>Trata-se de atividade que exige especialização, mas cujo objeto é suficientemente definido para permitir ampla competição, atendendo ao princípio da economicidade.</w:t>
            </w:r>
          </w:p>
          <w:p>
            <w:pPr>
              <w:pStyle w:val="Heading3"/>
              <w:widowControl w:val="false"/>
              <w:spacing w:lineRule="auto" w:line="360" w:before="57" w:after="57"/>
              <w:jc w:val="both"/>
              <w:textAlignment w:val="baseline"/>
              <w:rPr/>
            </w:pPr>
            <w:r>
              <w:rPr>
                <w:rStyle w:val="Strong"/>
                <w:rFonts w:eastAsia="Calibri" w:cs="Arial" w:ascii="Arial" w:hAnsi="Arial"/>
                <w:b/>
                <w:bCs/>
                <w:color w:val="000000"/>
                <w:sz w:val="22"/>
                <w:szCs w:val="22"/>
              </w:rPr>
              <w:t>c) Destinação Final dos Resíduos – Inexigibilidade de Licitação</w:t>
            </w:r>
          </w:p>
          <w:p>
            <w:pPr>
              <w:pStyle w:val="BodyText"/>
              <w:widowControl w:val="false"/>
              <w:spacing w:lineRule="auto" w:line="360" w:before="57" w:after="57"/>
              <w:jc w:val="both"/>
              <w:textAlignment w:val="baseline"/>
              <w:rPr/>
            </w:pPr>
            <w:r>
              <w:rPr>
                <w:rFonts w:cs="Arial" w:ascii="Arial" w:hAnsi="Arial"/>
                <w:b w:val="false"/>
                <w:bCs w:val="false"/>
                <w:color w:val="000000"/>
              </w:rPr>
              <w:t xml:space="preserve">A </w:t>
            </w:r>
            <w:r>
              <w:rPr>
                <w:rStyle w:val="Strong"/>
                <w:rFonts w:cs="Arial" w:ascii="Arial" w:hAnsi="Arial"/>
                <w:b w:val="false"/>
                <w:bCs w:val="false"/>
                <w:color w:val="000000"/>
              </w:rPr>
              <w:t>destinação final</w:t>
            </w:r>
            <w:r>
              <w:rPr>
                <w:rFonts w:cs="Arial" w:ascii="Arial" w:hAnsi="Arial"/>
                <w:b w:val="false"/>
                <w:bCs w:val="false"/>
                <w:color w:val="000000"/>
              </w:rPr>
              <w:t xml:space="preserve"> será contratada por meio de </w:t>
            </w:r>
            <w:r>
              <w:rPr>
                <w:rStyle w:val="Strong"/>
                <w:rFonts w:cs="Arial" w:ascii="Arial" w:hAnsi="Arial"/>
                <w:b w:val="false"/>
                <w:bCs w:val="false"/>
                <w:color w:val="000000"/>
              </w:rPr>
              <w:t>inexigibilidade</w:t>
            </w:r>
            <w:r>
              <w:rPr>
                <w:rFonts w:cs="Arial" w:ascii="Arial" w:hAnsi="Arial"/>
                <w:b w:val="false"/>
                <w:bCs w:val="false"/>
                <w:color w:val="000000"/>
              </w:rPr>
              <w:t xml:space="preserve">, uma vez que somente podem prestar esse serviço aterros sanitários </w:t>
            </w:r>
            <w:r>
              <w:rPr>
                <w:rStyle w:val="Strong"/>
                <w:rFonts w:cs="Arial" w:ascii="Arial" w:hAnsi="Arial"/>
                <w:b w:val="false"/>
                <w:bCs w:val="false"/>
                <w:color w:val="000000"/>
              </w:rPr>
              <w:t>devidamente licenciados</w:t>
            </w:r>
            <w:r>
              <w:rPr>
                <w:rFonts w:cs="Arial" w:ascii="Arial" w:hAnsi="Arial"/>
                <w:b w:val="false"/>
                <w:bCs w:val="false"/>
                <w:color w:val="000000"/>
              </w:rPr>
              <w:t xml:space="preserve"> pelos órgãos ambientais competentes, configurando mercado restrito e especializado.</w:t>
              <w:br/>
              <w:t>Além disso, a distância entre os aterros disponíveis e o Município afeta diretamente a viabilidade econômica e logística do serviço, reforçando a caracterização da inviabilidade de competição.</w:t>
              <w:br/>
              <w:t xml:space="preserve">Assim, a contratação direta do aterro licenciado mais próximo — atualmente o </w:t>
            </w:r>
            <w:r>
              <w:rPr>
                <w:rStyle w:val="Strong"/>
                <w:rFonts w:cs="Arial" w:ascii="Arial" w:hAnsi="Arial"/>
                <w:b w:val="false"/>
                <w:bCs w:val="false"/>
                <w:color w:val="000000"/>
              </w:rPr>
              <w:t>Aterro Sanitário de Candiota</w:t>
            </w:r>
            <w:r>
              <w:rPr>
                <w:rFonts w:cs="Arial" w:ascii="Arial" w:hAnsi="Arial"/>
                <w:b w:val="false"/>
                <w:bCs w:val="false"/>
                <w:color w:val="000000"/>
              </w:rPr>
              <w:t xml:space="preserve"> </w:t>
            </w:r>
            <w:r>
              <w:rPr>
                <w:rFonts w:cs="Arial" w:ascii="Arial" w:hAnsi="Arial"/>
                <w:color w:val="000000"/>
              </w:rPr>
              <w:t>— atende aos princípios da eficiência, economicidade e interesse público.</w:t>
            </w:r>
          </w:p>
          <w:p>
            <w:pPr>
              <w:pStyle w:val="BodyText"/>
              <w:widowControl w:val="false"/>
              <w:spacing w:lineRule="auto" w:line="360" w:before="57" w:after="57"/>
              <w:jc w:val="both"/>
              <w:rPr/>
            </w:pPr>
            <w:r>
              <w:rPr>
                <w:rFonts w:cs="Arial" w:ascii="Arial" w:hAnsi="Arial"/>
                <w:b w:val="false"/>
                <w:bCs w:val="false"/>
                <w:color w:val="000000"/>
                <w:sz w:val="22"/>
                <w:szCs w:val="22"/>
              </w:rPr>
              <w:t xml:space="preserve">A seleção do aterro levou em consideração prioritariamente a </w:t>
            </w:r>
            <w:r>
              <w:rPr>
                <w:rStyle w:val="Strong"/>
                <w:rFonts w:cs="Arial" w:ascii="Arial" w:hAnsi="Arial"/>
                <w:b w:val="false"/>
                <w:bCs w:val="false"/>
                <w:color w:val="000000"/>
                <w:sz w:val="22"/>
                <w:szCs w:val="22"/>
              </w:rPr>
              <w:t>menor distância</w:t>
            </w:r>
            <w:r>
              <w:rPr>
                <w:rFonts w:cs="Arial" w:ascii="Arial" w:hAnsi="Arial"/>
                <w:b w:val="false"/>
                <w:bCs w:val="false"/>
                <w:color w:val="000000"/>
                <w:sz w:val="22"/>
                <w:szCs w:val="22"/>
              </w:rPr>
              <w:t xml:space="preserve"> em relação ao município de Pelotas, sendo escolhido o </w:t>
            </w:r>
            <w:r>
              <w:rPr>
                <w:rStyle w:val="Strong"/>
                <w:rFonts w:cs="Arial" w:ascii="Arial" w:hAnsi="Arial"/>
                <w:b w:val="false"/>
                <w:bCs w:val="false"/>
                <w:color w:val="000000"/>
                <w:sz w:val="22"/>
                <w:szCs w:val="22"/>
              </w:rPr>
              <w:t>Aterro Sanitário de Candiota</w:t>
            </w:r>
            <w:r>
              <w:rPr>
                <w:rFonts w:cs="Arial" w:ascii="Arial" w:hAnsi="Arial"/>
                <w:b w:val="false"/>
                <w:bCs w:val="false"/>
                <w:color w:val="000000"/>
                <w:sz w:val="22"/>
                <w:szCs w:val="22"/>
              </w:rPr>
              <w:t xml:space="preserve">, localizado a aproximadamente </w:t>
            </w:r>
            <w:r>
              <w:rPr>
                <w:rStyle w:val="Strong"/>
                <w:rFonts w:cs="Arial" w:ascii="Arial" w:hAnsi="Arial"/>
                <w:b w:val="false"/>
                <w:bCs w:val="false"/>
                <w:color w:val="000000"/>
                <w:sz w:val="22"/>
                <w:szCs w:val="22"/>
              </w:rPr>
              <w:t>150 km</w:t>
            </w:r>
            <w:r>
              <w:rPr>
                <w:rFonts w:cs="Arial" w:ascii="Arial" w:hAnsi="Arial"/>
                <w:b w:val="false"/>
                <w:bCs w:val="false"/>
                <w:color w:val="000000"/>
                <w:sz w:val="22"/>
                <w:szCs w:val="22"/>
              </w:rPr>
              <w:t xml:space="preserve">. A alternativa ambientalmente adequada mais próxima — o </w:t>
            </w:r>
            <w:r>
              <w:rPr>
                <w:rStyle w:val="Strong"/>
                <w:rFonts w:cs="Arial" w:ascii="Arial" w:hAnsi="Arial"/>
                <w:b w:val="false"/>
                <w:bCs w:val="false"/>
                <w:color w:val="000000"/>
                <w:sz w:val="22"/>
                <w:szCs w:val="22"/>
              </w:rPr>
              <w:t>Aterro Minas do Leão</w:t>
            </w:r>
            <w:r>
              <w:rPr>
                <w:rFonts w:cs="Arial" w:ascii="Arial" w:hAnsi="Arial"/>
                <w:b w:val="false"/>
                <w:bCs w:val="false"/>
                <w:color w:val="000000"/>
                <w:sz w:val="22"/>
                <w:szCs w:val="22"/>
              </w:rPr>
              <w:t xml:space="preserve"> — situa-se a cerca de </w:t>
            </w:r>
            <w:r>
              <w:rPr>
                <w:rStyle w:val="Strong"/>
                <w:rFonts w:cs="Arial" w:ascii="Arial" w:hAnsi="Arial"/>
                <w:b w:val="false"/>
                <w:bCs w:val="false"/>
                <w:color w:val="000000"/>
                <w:sz w:val="22"/>
                <w:szCs w:val="22"/>
              </w:rPr>
              <w:t>300 km</w:t>
            </w:r>
            <w:r>
              <w:rPr>
                <w:rFonts w:cs="Arial" w:ascii="Arial" w:hAnsi="Arial"/>
                <w:b w:val="false"/>
                <w:bCs w:val="false"/>
                <w:color w:val="000000"/>
                <w:sz w:val="22"/>
                <w:szCs w:val="22"/>
              </w:rPr>
              <w:t>, distância que acarretaria elevação significativa dos custos, uma vez que exigiria praticamente a duplicação da frota de caminhões e motoristas, além de maiores despesas com combustível e demais insumos logísticos.</w:t>
            </w:r>
          </w:p>
          <w:p>
            <w:pPr>
              <w:pStyle w:val="BodyText"/>
              <w:widowControl w:val="false"/>
              <w:spacing w:lineRule="auto" w:line="360" w:before="57" w:after="57"/>
              <w:jc w:val="both"/>
              <w:rPr/>
            </w:pPr>
            <w:r>
              <w:rPr>
                <w:rFonts w:cs="Arial" w:ascii="Arial" w:hAnsi="Arial"/>
                <w:b w:val="false"/>
                <w:bCs w:val="false"/>
                <w:color w:val="000000"/>
                <w:sz w:val="22"/>
                <w:szCs w:val="22"/>
              </w:rPr>
              <w:t xml:space="preserve">Também foram considerados os </w:t>
            </w:r>
            <w:r>
              <w:rPr>
                <w:rStyle w:val="Strong"/>
                <w:rFonts w:cs="Arial" w:ascii="Arial" w:hAnsi="Arial"/>
                <w:b w:val="false"/>
                <w:bCs w:val="false"/>
                <w:color w:val="000000"/>
                <w:sz w:val="22"/>
                <w:szCs w:val="22"/>
              </w:rPr>
              <w:t>custos de disposição final dos resíduos (R$/tonelada)</w:t>
            </w:r>
            <w:r>
              <w:rPr>
                <w:rFonts w:cs="Arial" w:ascii="Arial" w:hAnsi="Arial"/>
                <w:b w:val="false"/>
                <w:bCs w:val="false"/>
                <w:color w:val="000000"/>
                <w:sz w:val="22"/>
                <w:szCs w:val="22"/>
              </w:rPr>
              <w:t>, conforme valores orçados:</w:t>
            </w:r>
          </w:p>
          <w:p>
            <w:pPr>
              <w:pStyle w:val="BodyText"/>
              <w:widowControl w:val="false"/>
              <w:numPr>
                <w:ilvl w:val="0"/>
                <w:numId w:val="15"/>
              </w:numPr>
              <w:tabs>
                <w:tab w:val="clear" w:pos="708"/>
                <w:tab w:val="left" w:pos="0" w:leader="none"/>
              </w:tabs>
              <w:spacing w:lineRule="auto" w:line="360" w:before="57" w:after="57"/>
              <w:ind w:hanging="283" w:left="709"/>
              <w:jc w:val="both"/>
              <w:rPr/>
            </w:pPr>
            <w:r>
              <w:rPr>
                <w:rStyle w:val="Strong"/>
                <w:rFonts w:cs="Arial" w:ascii="Arial" w:hAnsi="Arial"/>
                <w:color w:val="000000"/>
                <w:sz w:val="22"/>
                <w:szCs w:val="22"/>
              </w:rPr>
              <w:t>Aterro Candiota:</w:t>
            </w:r>
            <w:r>
              <w:rPr>
                <w:rFonts w:cs="Arial" w:ascii="Arial" w:hAnsi="Arial"/>
                <w:color w:val="000000"/>
                <w:sz w:val="22"/>
                <w:szCs w:val="22"/>
              </w:rPr>
              <w:t xml:space="preserve"> </w:t>
            </w:r>
            <w:r>
              <w:rPr>
                <w:rFonts w:cs="Arial" w:ascii="Arial" w:hAnsi="Arial"/>
                <w:b/>
                <w:bCs/>
                <w:color w:val="000000"/>
                <w:sz w:val="22"/>
                <w:szCs w:val="22"/>
              </w:rPr>
              <w:t>R$ 109,39</w:t>
            </w:r>
          </w:p>
          <w:p>
            <w:pPr>
              <w:pStyle w:val="BodyText"/>
              <w:widowControl w:val="false"/>
              <w:numPr>
                <w:ilvl w:val="0"/>
                <w:numId w:val="15"/>
              </w:numPr>
              <w:tabs>
                <w:tab w:val="clear" w:pos="708"/>
                <w:tab w:val="left" w:pos="0" w:leader="none"/>
              </w:tabs>
              <w:spacing w:lineRule="auto" w:line="360" w:before="57" w:after="57"/>
              <w:ind w:hanging="283" w:left="709"/>
              <w:jc w:val="both"/>
              <w:rPr/>
            </w:pPr>
            <w:r>
              <w:rPr>
                <w:rStyle w:val="Strong"/>
                <w:rFonts w:cs="Arial" w:ascii="Arial" w:hAnsi="Arial"/>
                <w:color w:val="000000"/>
                <w:sz w:val="22"/>
                <w:szCs w:val="22"/>
              </w:rPr>
              <w:t>Aterro Minas do Leão:</w:t>
            </w:r>
            <w:r>
              <w:rPr>
                <w:rFonts w:cs="Arial" w:ascii="Arial" w:hAnsi="Arial"/>
                <w:color w:val="000000"/>
                <w:sz w:val="22"/>
                <w:szCs w:val="22"/>
              </w:rPr>
              <w:t xml:space="preserve"> </w:t>
            </w:r>
            <w:r>
              <w:rPr>
                <w:rFonts w:cs="Arial" w:ascii="Arial" w:hAnsi="Arial"/>
                <w:b/>
                <w:bCs/>
                <w:color w:val="000000"/>
                <w:sz w:val="22"/>
                <w:szCs w:val="22"/>
              </w:rPr>
              <w:t>R$ 134,78</w:t>
            </w:r>
          </w:p>
          <w:p>
            <w:pPr>
              <w:pStyle w:val="BodyText"/>
              <w:widowControl w:val="false"/>
              <w:spacing w:lineRule="auto" w:line="360" w:before="57" w:after="57"/>
              <w:jc w:val="both"/>
              <w:rPr/>
            </w:pPr>
            <w:r>
              <w:rPr>
                <w:rFonts w:cs="Arial" w:ascii="Arial" w:hAnsi="Arial"/>
                <w:b w:val="false"/>
                <w:bCs w:val="false"/>
                <w:color w:val="000000"/>
                <w:sz w:val="22"/>
                <w:szCs w:val="22"/>
              </w:rPr>
              <w:t xml:space="preserve">A análise conjunta dos fatores de </w:t>
            </w:r>
            <w:r>
              <w:rPr>
                <w:rStyle w:val="Strong"/>
                <w:rFonts w:cs="Arial" w:ascii="Arial" w:hAnsi="Arial"/>
                <w:b w:val="false"/>
                <w:bCs w:val="false"/>
                <w:color w:val="000000"/>
                <w:sz w:val="22"/>
                <w:szCs w:val="22"/>
              </w:rPr>
              <w:t>distância</w:t>
            </w:r>
            <w:r>
              <w:rPr>
                <w:rFonts w:cs="Arial" w:ascii="Arial" w:hAnsi="Arial"/>
                <w:b w:val="false"/>
                <w:bCs w:val="false"/>
                <w:color w:val="000000"/>
                <w:sz w:val="22"/>
                <w:szCs w:val="22"/>
              </w:rPr>
              <w:t xml:space="preserve">, </w:t>
            </w:r>
            <w:r>
              <w:rPr>
                <w:rStyle w:val="Strong"/>
                <w:rFonts w:cs="Arial" w:ascii="Arial" w:hAnsi="Arial"/>
                <w:b w:val="false"/>
                <w:bCs w:val="false"/>
                <w:color w:val="000000"/>
                <w:sz w:val="22"/>
                <w:szCs w:val="22"/>
              </w:rPr>
              <w:t>logística</w:t>
            </w:r>
            <w:r>
              <w:rPr>
                <w:rFonts w:cs="Arial" w:ascii="Arial" w:hAnsi="Arial"/>
                <w:b w:val="false"/>
                <w:bCs w:val="false"/>
                <w:color w:val="000000"/>
                <w:sz w:val="22"/>
                <w:szCs w:val="22"/>
              </w:rPr>
              <w:t xml:space="preserve"> e </w:t>
            </w:r>
            <w:r>
              <w:rPr>
                <w:rStyle w:val="Strong"/>
                <w:rFonts w:cs="Arial" w:ascii="Arial" w:hAnsi="Arial"/>
                <w:b w:val="false"/>
                <w:bCs w:val="false"/>
                <w:color w:val="000000"/>
                <w:sz w:val="22"/>
                <w:szCs w:val="22"/>
              </w:rPr>
              <w:t>custos de disposição final</w:t>
            </w:r>
            <w:r>
              <w:rPr>
                <w:rFonts w:cs="Arial" w:ascii="Arial" w:hAnsi="Arial"/>
                <w:b w:val="false"/>
                <w:bCs w:val="false"/>
                <w:color w:val="000000"/>
                <w:sz w:val="22"/>
                <w:szCs w:val="22"/>
              </w:rPr>
              <w:t xml:space="preserve"> confirma a </w:t>
            </w:r>
            <w:r>
              <w:rPr>
                <w:rStyle w:val="Strong"/>
                <w:rFonts w:cs="Arial" w:ascii="Arial" w:hAnsi="Arial"/>
                <w:b w:val="false"/>
                <w:bCs w:val="false"/>
                <w:color w:val="000000"/>
                <w:sz w:val="22"/>
                <w:szCs w:val="22"/>
              </w:rPr>
              <w:t>vantagem técnica e econômica</w:t>
            </w:r>
            <w:r>
              <w:rPr>
                <w:rFonts w:cs="Arial" w:ascii="Arial" w:hAnsi="Arial"/>
                <w:b w:val="false"/>
                <w:bCs w:val="false"/>
                <w:color w:val="000000"/>
                <w:sz w:val="22"/>
                <w:szCs w:val="22"/>
              </w:rPr>
              <w:t xml:space="preserve"> da opção adotada pela Administração.</w:t>
            </w:r>
          </w:p>
        </w:tc>
      </w:tr>
    </w:tbl>
    <w:p>
      <w:pPr>
        <w:pStyle w:val="Normal"/>
        <w:spacing w:lineRule="auto" w:line="276"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360" w:before="57" w:after="57"/>
              <w:jc w:val="both"/>
              <w:rPr>
                <w:rFonts w:ascii="Arial" w:hAnsi="Arial" w:eastAsia="Calibri"/>
              </w:rPr>
            </w:pPr>
            <w:r>
              <w:rPr>
                <w:rFonts w:eastAsia="Calibri" w:cs="Arial" w:ascii="Arial" w:hAnsi="Arial"/>
                <w:b/>
                <w:bCs/>
                <w:kern w:val="2"/>
                <w:sz w:val="22"/>
                <w:szCs w:val="22"/>
                <w:lang w:val="pt-BR" w:eastAsia="en-US" w:bidi="ar-SA"/>
              </w:rPr>
              <w:t>9 JUSTIFICATIVA PARA PARCELAMENTO</w:t>
            </w:r>
          </w:p>
        </w:tc>
      </w:tr>
      <w:tr>
        <w:trPr/>
        <w:tc>
          <w:tcPr>
            <w:tcW w:w="9061" w:type="dxa"/>
            <w:tcBorders/>
          </w:tcPr>
          <w:p>
            <w:pPr>
              <w:pStyle w:val="BodyText"/>
              <w:widowControl w:val="false"/>
              <w:spacing w:lineRule="auto" w:line="360" w:before="57" w:after="57"/>
              <w:jc w:val="both"/>
              <w:rPr/>
            </w:pPr>
            <w:r>
              <w:rPr>
                <w:rFonts w:cs="Arial" w:ascii="Arial" w:hAnsi="Arial"/>
                <w:b w:val="false"/>
                <w:bCs w:val="false"/>
                <w:color w:val="000000"/>
                <w:sz w:val="22"/>
                <w:szCs w:val="22"/>
              </w:rPr>
              <w:t xml:space="preserve">Como demonstrado ao longo deste Estudo Técnico Preliminar, por razões </w:t>
            </w:r>
            <w:r>
              <w:rPr>
                <w:rStyle w:val="Strong"/>
                <w:rFonts w:cs="Arial" w:ascii="Arial" w:hAnsi="Arial"/>
                <w:b w:val="false"/>
                <w:bCs w:val="false"/>
                <w:color w:val="000000"/>
                <w:sz w:val="22"/>
                <w:szCs w:val="22"/>
              </w:rPr>
              <w:t>técnicas</w:t>
            </w:r>
            <w:r>
              <w:rPr>
                <w:rFonts w:cs="Arial" w:ascii="Arial" w:hAnsi="Arial"/>
                <w:b w:val="false"/>
                <w:bCs w:val="false"/>
                <w:color w:val="000000"/>
                <w:sz w:val="22"/>
                <w:szCs w:val="22"/>
              </w:rPr>
              <w:t xml:space="preserve">, </w:t>
            </w:r>
            <w:r>
              <w:rPr>
                <w:rStyle w:val="Strong"/>
                <w:rFonts w:cs="Arial" w:ascii="Arial" w:hAnsi="Arial"/>
                <w:b w:val="false"/>
                <w:bCs w:val="false"/>
                <w:color w:val="000000"/>
                <w:sz w:val="22"/>
                <w:szCs w:val="22"/>
              </w:rPr>
              <w:t>administrativas</w:t>
            </w:r>
            <w:r>
              <w:rPr>
                <w:rFonts w:cs="Arial" w:ascii="Arial" w:hAnsi="Arial"/>
                <w:b w:val="false"/>
                <w:bCs w:val="false"/>
                <w:color w:val="000000"/>
                <w:sz w:val="22"/>
                <w:szCs w:val="22"/>
              </w:rPr>
              <w:t xml:space="preserve"> e </w:t>
            </w:r>
            <w:r>
              <w:rPr>
                <w:rStyle w:val="Strong"/>
                <w:rFonts w:cs="Arial" w:ascii="Arial" w:hAnsi="Arial"/>
                <w:b w:val="false"/>
                <w:bCs w:val="false"/>
                <w:color w:val="000000"/>
                <w:sz w:val="22"/>
                <w:szCs w:val="22"/>
              </w:rPr>
              <w:t>econômicas</w:t>
            </w:r>
            <w:r>
              <w:rPr>
                <w:rFonts w:cs="Arial" w:ascii="Arial" w:hAnsi="Arial"/>
                <w:b w:val="false"/>
                <w:bCs w:val="false"/>
                <w:color w:val="000000"/>
                <w:sz w:val="22"/>
                <w:szCs w:val="22"/>
              </w:rPr>
              <w:t xml:space="preserve">, a Administração Pública optou pelo </w:t>
            </w:r>
            <w:r>
              <w:rPr>
                <w:rStyle w:val="Strong"/>
                <w:rFonts w:cs="Arial" w:ascii="Arial" w:hAnsi="Arial"/>
                <w:b w:val="false"/>
                <w:bCs w:val="false"/>
                <w:color w:val="000000"/>
                <w:sz w:val="22"/>
                <w:szCs w:val="22"/>
              </w:rPr>
              <w:t>parcelamento</w:t>
            </w:r>
            <w:r>
              <w:rPr>
                <w:rFonts w:cs="Arial" w:ascii="Arial" w:hAnsi="Arial"/>
                <w:b w:val="false"/>
                <w:bCs w:val="false"/>
                <w:color w:val="000000"/>
                <w:sz w:val="22"/>
                <w:szCs w:val="22"/>
              </w:rPr>
              <w:t xml:space="preserve"> dos serviços a serem contratados. Assim, definiu-se pela realização de </w:t>
            </w:r>
            <w:r>
              <w:rPr>
                <w:rStyle w:val="Strong"/>
                <w:rFonts w:cs="Arial" w:ascii="Arial" w:hAnsi="Arial"/>
                <w:b w:val="false"/>
                <w:bCs w:val="false"/>
                <w:color w:val="000000"/>
                <w:sz w:val="22"/>
                <w:szCs w:val="22"/>
              </w:rPr>
              <w:t>processo licitatório</w:t>
            </w:r>
            <w:r>
              <w:rPr>
                <w:rFonts w:cs="Arial" w:ascii="Arial" w:hAnsi="Arial"/>
                <w:b w:val="false"/>
                <w:bCs w:val="false"/>
                <w:color w:val="000000"/>
                <w:sz w:val="22"/>
                <w:szCs w:val="22"/>
              </w:rPr>
              <w:t xml:space="preserve"> para os Grupos </w:t>
            </w:r>
            <w:r>
              <w:rPr>
                <w:rStyle w:val="Strong"/>
                <w:rFonts w:cs="Arial" w:ascii="Arial" w:hAnsi="Arial"/>
                <w:b w:val="false"/>
                <w:bCs w:val="false"/>
                <w:color w:val="000000"/>
                <w:sz w:val="22"/>
                <w:szCs w:val="22"/>
              </w:rPr>
              <w:t>1</w:t>
            </w:r>
            <w:r>
              <w:rPr>
                <w:rFonts w:cs="Arial" w:ascii="Arial" w:hAnsi="Arial"/>
                <w:b w:val="false"/>
                <w:bCs w:val="false"/>
                <w:color w:val="000000"/>
                <w:sz w:val="22"/>
                <w:szCs w:val="22"/>
              </w:rPr>
              <w:t xml:space="preserve"> e </w:t>
            </w:r>
            <w:r>
              <w:rPr>
                <w:rStyle w:val="Strong"/>
                <w:rFonts w:cs="Arial" w:ascii="Arial" w:hAnsi="Arial"/>
                <w:b w:val="false"/>
                <w:bCs w:val="false"/>
                <w:color w:val="000000"/>
                <w:sz w:val="22"/>
                <w:szCs w:val="22"/>
              </w:rPr>
              <w:t>2</w:t>
            </w:r>
            <w:r>
              <w:rPr>
                <w:rFonts w:cs="Arial" w:ascii="Arial" w:hAnsi="Arial"/>
                <w:b w:val="false"/>
                <w:bCs w:val="false"/>
                <w:color w:val="000000"/>
                <w:sz w:val="22"/>
                <w:szCs w:val="22"/>
              </w:rPr>
              <w:t xml:space="preserve">, enquanto o </w:t>
            </w:r>
            <w:r>
              <w:rPr>
                <w:rStyle w:val="Strong"/>
                <w:rFonts w:cs="Arial" w:ascii="Arial" w:hAnsi="Arial"/>
                <w:b w:val="false"/>
                <w:bCs w:val="false"/>
                <w:color w:val="000000"/>
                <w:sz w:val="22"/>
                <w:szCs w:val="22"/>
              </w:rPr>
              <w:t>Grupo 3</w:t>
            </w:r>
            <w:r>
              <w:rPr>
                <w:rFonts w:cs="Arial" w:ascii="Arial" w:hAnsi="Arial"/>
                <w:b w:val="false"/>
                <w:bCs w:val="false"/>
                <w:color w:val="000000"/>
                <w:sz w:val="22"/>
                <w:szCs w:val="22"/>
              </w:rPr>
              <w:t xml:space="preserve"> será objeto de </w:t>
            </w:r>
            <w:r>
              <w:rPr>
                <w:rStyle w:val="Strong"/>
                <w:rFonts w:cs="Arial" w:ascii="Arial" w:hAnsi="Arial"/>
                <w:b w:val="false"/>
                <w:bCs w:val="false"/>
                <w:color w:val="000000"/>
                <w:sz w:val="22"/>
                <w:szCs w:val="22"/>
              </w:rPr>
              <w:t>dispensa de licitação por inexigibilidade</w:t>
            </w:r>
            <w:r>
              <w:rPr>
                <w:rFonts w:cs="Arial" w:ascii="Arial" w:hAnsi="Arial"/>
                <w:b w:val="false"/>
                <w:bCs w:val="false"/>
                <w:color w:val="000000"/>
                <w:sz w:val="22"/>
                <w:szCs w:val="22"/>
              </w:rPr>
              <w:t>, conforme previsão legal aplicável. Essa modelagem permite a participação de diferentes prestadores de serviços, de forma independente, para cada grupo.</w:t>
            </w:r>
          </w:p>
          <w:p>
            <w:pPr>
              <w:pStyle w:val="BodyText"/>
              <w:widowControl w:val="false"/>
              <w:spacing w:lineRule="auto" w:line="360" w:before="57" w:after="57"/>
              <w:jc w:val="both"/>
              <w:rPr/>
            </w:pPr>
            <w:r>
              <w:rPr>
                <w:rFonts w:cs="Arial" w:ascii="Arial" w:hAnsi="Arial"/>
                <w:b w:val="false"/>
                <w:bCs w:val="false"/>
                <w:color w:val="000000"/>
                <w:sz w:val="22"/>
                <w:szCs w:val="22"/>
              </w:rPr>
              <w:t>Os serviços foram segmentados da seguinte forma:</w:t>
            </w:r>
          </w:p>
          <w:p>
            <w:pPr>
              <w:pStyle w:val="BodyText"/>
              <w:widowControl w:val="false"/>
              <w:numPr>
                <w:ilvl w:val="0"/>
                <w:numId w:val="14"/>
              </w:numPr>
              <w:tabs>
                <w:tab w:val="clear" w:pos="708"/>
                <w:tab w:val="left" w:pos="0" w:leader="none"/>
              </w:tabs>
              <w:spacing w:lineRule="auto" w:line="360" w:before="57" w:after="57"/>
              <w:ind w:hanging="283" w:left="709"/>
              <w:jc w:val="both"/>
              <w:rPr/>
            </w:pPr>
            <w:r>
              <w:rPr>
                <w:rStyle w:val="Strong"/>
                <w:rFonts w:cs="Arial" w:ascii="Arial" w:hAnsi="Arial"/>
                <w:color w:val="000000"/>
                <w:sz w:val="22"/>
                <w:szCs w:val="22"/>
              </w:rPr>
              <w:t>Operação da Unidade de Transbordo;</w:t>
            </w:r>
          </w:p>
          <w:p>
            <w:pPr>
              <w:pStyle w:val="BodyText"/>
              <w:widowControl w:val="false"/>
              <w:numPr>
                <w:ilvl w:val="0"/>
                <w:numId w:val="14"/>
              </w:numPr>
              <w:tabs>
                <w:tab w:val="clear" w:pos="708"/>
                <w:tab w:val="left" w:pos="0" w:leader="none"/>
              </w:tabs>
              <w:spacing w:lineRule="auto" w:line="360" w:before="57" w:after="57"/>
              <w:ind w:hanging="283" w:left="709"/>
              <w:jc w:val="both"/>
              <w:rPr/>
            </w:pPr>
            <w:r>
              <w:rPr>
                <w:rStyle w:val="Strong"/>
                <w:rFonts w:cs="Arial" w:ascii="Arial" w:hAnsi="Arial"/>
                <w:color w:val="000000"/>
                <w:sz w:val="22"/>
                <w:szCs w:val="22"/>
              </w:rPr>
              <w:t>Transporte de resíduos da ETP ao Aterro Sanitário;</w:t>
            </w:r>
          </w:p>
          <w:p>
            <w:pPr>
              <w:pStyle w:val="BodyText"/>
              <w:widowControl w:val="false"/>
              <w:numPr>
                <w:ilvl w:val="0"/>
                <w:numId w:val="14"/>
              </w:numPr>
              <w:tabs>
                <w:tab w:val="clear" w:pos="708"/>
                <w:tab w:val="left" w:pos="0" w:leader="none"/>
              </w:tabs>
              <w:spacing w:lineRule="auto" w:line="360" w:before="57" w:after="57"/>
              <w:ind w:hanging="283" w:left="709"/>
              <w:jc w:val="both"/>
              <w:rPr/>
            </w:pPr>
            <w:r>
              <w:rPr>
                <w:rStyle w:val="Strong"/>
                <w:rFonts w:cs="Arial" w:ascii="Arial" w:hAnsi="Arial"/>
                <w:color w:val="000000"/>
                <w:sz w:val="22"/>
                <w:szCs w:val="22"/>
              </w:rPr>
              <w:t>Disposição final dos resíduos em Aterro Sanitário.</w:t>
            </w:r>
          </w:p>
          <w:p>
            <w:pPr>
              <w:pStyle w:val="BodyText"/>
              <w:widowControl w:val="false"/>
              <w:spacing w:lineRule="auto" w:line="360" w:before="57" w:after="57"/>
              <w:jc w:val="both"/>
              <w:rPr/>
            </w:pPr>
            <w:r>
              <w:rPr>
                <w:rFonts w:cs="Arial" w:ascii="Arial" w:hAnsi="Arial"/>
                <w:b w:val="false"/>
                <w:bCs w:val="false"/>
                <w:color w:val="000000"/>
                <w:sz w:val="22"/>
                <w:szCs w:val="22"/>
              </w:rPr>
              <w:t xml:space="preserve">Considera-se que o serviço de </w:t>
            </w:r>
            <w:r>
              <w:rPr>
                <w:rStyle w:val="Strong"/>
                <w:rFonts w:cs="Arial" w:ascii="Arial" w:hAnsi="Arial"/>
                <w:b w:val="false"/>
                <w:bCs w:val="false"/>
                <w:color w:val="000000"/>
                <w:sz w:val="22"/>
                <w:szCs w:val="22"/>
              </w:rPr>
              <w:t>Transporte</w:t>
            </w:r>
            <w:r>
              <w:rPr>
                <w:rFonts w:cs="Arial" w:ascii="Arial" w:hAnsi="Arial"/>
                <w:b w:val="false"/>
                <w:bCs w:val="false"/>
                <w:color w:val="000000"/>
                <w:sz w:val="22"/>
                <w:szCs w:val="22"/>
              </w:rPr>
              <w:t xml:space="preserve"> (Grupo 2) deve ser executado por </w:t>
            </w:r>
            <w:r>
              <w:rPr>
                <w:rStyle w:val="Strong"/>
                <w:rFonts w:cs="Arial" w:ascii="Arial" w:hAnsi="Arial"/>
                <w:b w:val="false"/>
                <w:bCs w:val="false"/>
                <w:color w:val="000000"/>
                <w:sz w:val="22"/>
                <w:szCs w:val="22"/>
              </w:rPr>
              <w:t>uma única empresa especializada</w:t>
            </w:r>
            <w:r>
              <w:rPr>
                <w:rFonts w:cs="Arial" w:ascii="Arial" w:hAnsi="Arial"/>
                <w:b w:val="false"/>
                <w:bCs w:val="false"/>
                <w:color w:val="000000"/>
                <w:sz w:val="22"/>
                <w:szCs w:val="22"/>
              </w:rPr>
              <w:t>, em razão da natureza da atividade, da necessidade de uniformidade operacional e da complexidade envolvida na logística de deslocamento dos resíduos, fatores que demandam experiência comprovada e gerenciamento centralizado.</w:t>
            </w:r>
          </w:p>
          <w:p>
            <w:pPr>
              <w:pStyle w:val="BodyText"/>
              <w:widowControl w:val="false"/>
              <w:spacing w:lineRule="auto" w:line="360" w:before="57" w:after="57"/>
              <w:jc w:val="both"/>
              <w:rPr/>
            </w:pPr>
            <w:r>
              <w:rPr>
                <w:rFonts w:cs="Arial" w:ascii="Arial" w:hAnsi="Arial"/>
                <w:b w:val="false"/>
                <w:bCs w:val="false"/>
                <w:color w:val="000000"/>
                <w:sz w:val="22"/>
                <w:szCs w:val="22"/>
              </w:rPr>
              <w:t xml:space="preserve">Quanto a </w:t>
            </w:r>
            <w:r>
              <w:rPr>
                <w:rStyle w:val="Strong"/>
                <w:rFonts w:cs="Arial" w:ascii="Arial" w:hAnsi="Arial"/>
                <w:b w:val="false"/>
                <w:bCs w:val="false"/>
                <w:color w:val="000000"/>
                <w:sz w:val="22"/>
                <w:szCs w:val="22"/>
              </w:rPr>
              <w:t>Disposição Final dos Resíduos</w:t>
            </w:r>
            <w:r>
              <w:rPr>
                <w:rFonts w:cs="Arial" w:ascii="Arial" w:hAnsi="Arial"/>
                <w:b w:val="false"/>
                <w:bCs w:val="false"/>
                <w:color w:val="000000"/>
                <w:sz w:val="22"/>
                <w:szCs w:val="22"/>
              </w:rPr>
              <w:t xml:space="preserve"> (Grupo 3), a contratação será realizada por </w:t>
            </w:r>
            <w:r>
              <w:rPr>
                <w:rStyle w:val="Strong"/>
                <w:rFonts w:cs="Arial" w:ascii="Arial" w:hAnsi="Arial"/>
                <w:b w:val="false"/>
                <w:bCs w:val="false"/>
                <w:color w:val="000000"/>
                <w:sz w:val="22"/>
                <w:szCs w:val="22"/>
              </w:rPr>
              <w:t>dispensa de licitação por inexigibilidade</w:t>
            </w:r>
            <w:r>
              <w:rPr>
                <w:rFonts w:cs="Arial" w:ascii="Arial" w:hAnsi="Arial"/>
                <w:b w:val="false"/>
                <w:bCs w:val="false"/>
                <w:color w:val="000000"/>
                <w:sz w:val="22"/>
                <w:szCs w:val="22"/>
              </w:rPr>
              <w:t>, já que se trata de serviço cuja execução depende de licença ambiental específica e de infraestrutura que, na prática, restringe a competição.</w:t>
            </w:r>
          </w:p>
        </w:tc>
      </w:tr>
    </w:tbl>
    <w:p>
      <w:pPr>
        <w:pStyle w:val="Normal"/>
        <w:spacing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360" w:before="57" w:after="57"/>
              <w:jc w:val="both"/>
              <w:rPr>
                <w:rFonts w:ascii="Arial" w:hAnsi="Arial" w:eastAsia="Calibri"/>
              </w:rPr>
            </w:pPr>
            <w:r>
              <w:rPr>
                <w:rFonts w:eastAsia="Calibri" w:cs="Arial" w:ascii="Arial" w:hAnsi="Arial"/>
                <w:b/>
                <w:bCs/>
                <w:kern w:val="2"/>
                <w:sz w:val="22"/>
                <w:szCs w:val="22"/>
                <w:lang w:val="pt-BR" w:eastAsia="en-US" w:bidi="ar-SA"/>
              </w:rPr>
              <w:t>10 DEMONSTRATIVO DOS RESULTADOS PRETENDIDOS</w:t>
            </w:r>
          </w:p>
        </w:tc>
      </w:tr>
      <w:tr>
        <w:trPr/>
        <w:tc>
          <w:tcPr>
            <w:tcW w:w="9061" w:type="dxa"/>
            <w:tcBorders/>
            <w:shd w:fill="FFFFFF" w:val="clear"/>
          </w:tcPr>
          <w:p>
            <w:pPr>
              <w:pStyle w:val="BodyText"/>
              <w:widowControl w:val="false"/>
              <w:spacing w:lineRule="auto" w:line="360" w:before="114" w:after="114"/>
              <w:jc w:val="both"/>
              <w:rPr/>
            </w:pPr>
            <w:r>
              <w:rPr>
                <w:rFonts w:cs="Arial" w:ascii="Arial" w:hAnsi="Arial"/>
                <w:b w:val="false"/>
                <w:bCs w:val="false"/>
                <w:color w:val="000000"/>
                <w:sz w:val="22"/>
                <w:szCs w:val="22"/>
              </w:rPr>
              <w:t xml:space="preserve">A busca por uma solução integrada para o </w:t>
            </w:r>
            <w:r>
              <w:rPr>
                <w:rStyle w:val="Strong"/>
                <w:rFonts w:cs="Arial" w:ascii="Arial" w:hAnsi="Arial"/>
                <w:b w:val="false"/>
                <w:bCs w:val="false"/>
                <w:color w:val="000000"/>
                <w:sz w:val="22"/>
                <w:szCs w:val="22"/>
              </w:rPr>
              <w:t>transporte</w:t>
            </w:r>
            <w:r>
              <w:rPr>
                <w:rFonts w:cs="Arial" w:ascii="Arial" w:hAnsi="Arial"/>
                <w:b w:val="false"/>
                <w:bCs w:val="false"/>
                <w:color w:val="000000"/>
                <w:sz w:val="22"/>
                <w:szCs w:val="22"/>
              </w:rPr>
              <w:t xml:space="preserve"> e a </w:t>
            </w:r>
            <w:r>
              <w:rPr>
                <w:rStyle w:val="Strong"/>
                <w:rFonts w:cs="Arial" w:ascii="Arial" w:hAnsi="Arial"/>
                <w:b w:val="false"/>
                <w:bCs w:val="false"/>
                <w:color w:val="000000"/>
                <w:sz w:val="22"/>
                <w:szCs w:val="22"/>
              </w:rPr>
              <w:t>destinação final dos resíduos</w:t>
            </w:r>
            <w:r>
              <w:rPr>
                <w:rFonts w:cs="Arial" w:ascii="Arial" w:hAnsi="Arial"/>
                <w:b w:val="false"/>
                <w:bCs w:val="false"/>
                <w:color w:val="000000"/>
                <w:sz w:val="22"/>
                <w:szCs w:val="22"/>
              </w:rPr>
              <w:t xml:space="preserve"> visa atender aos princípios da </w:t>
            </w:r>
            <w:r>
              <w:rPr>
                <w:rStyle w:val="Strong"/>
                <w:rFonts w:cs="Arial" w:ascii="Arial" w:hAnsi="Arial"/>
                <w:b w:val="false"/>
                <w:bCs w:val="false"/>
                <w:color w:val="000000"/>
                <w:sz w:val="22"/>
                <w:szCs w:val="22"/>
              </w:rPr>
              <w:t>eficiência</w:t>
            </w:r>
            <w:r>
              <w:rPr>
                <w:rFonts w:cs="Arial" w:ascii="Arial" w:hAnsi="Arial"/>
                <w:b w:val="false"/>
                <w:bCs w:val="false"/>
                <w:color w:val="000000"/>
                <w:sz w:val="22"/>
                <w:szCs w:val="22"/>
              </w:rPr>
              <w:t xml:space="preserve"> e da </w:t>
            </w:r>
            <w:r>
              <w:rPr>
                <w:rStyle w:val="Strong"/>
                <w:rFonts w:cs="Arial" w:ascii="Arial" w:hAnsi="Arial"/>
                <w:b w:val="false"/>
                <w:bCs w:val="false"/>
                <w:color w:val="000000"/>
                <w:sz w:val="22"/>
                <w:szCs w:val="22"/>
              </w:rPr>
              <w:t>economicidade</w:t>
            </w:r>
            <w:r>
              <w:rPr>
                <w:rFonts w:cs="Arial" w:ascii="Arial" w:hAnsi="Arial"/>
                <w:b w:val="false"/>
                <w:bCs w:val="false"/>
                <w:color w:val="000000"/>
                <w:sz w:val="22"/>
                <w:szCs w:val="22"/>
              </w:rPr>
              <w:t>, especialmente porque a escolha do local de destinação final está diretamente relacionada à distância e, consequentemente, ao custo do transporte até esse ponto.</w:t>
            </w:r>
          </w:p>
          <w:p>
            <w:pPr>
              <w:pStyle w:val="BodyText"/>
              <w:widowControl w:val="false"/>
              <w:spacing w:lineRule="auto" w:line="360" w:before="57" w:after="57"/>
              <w:jc w:val="both"/>
              <w:rPr/>
            </w:pPr>
            <w:r>
              <w:rPr>
                <w:rFonts w:cs="Arial" w:ascii="Arial" w:hAnsi="Arial"/>
                <w:b w:val="false"/>
                <w:bCs w:val="false"/>
                <w:color w:val="000000"/>
              </w:rPr>
              <w:t xml:space="preserve">No que se refere à implantação da </w:t>
            </w:r>
            <w:r>
              <w:rPr>
                <w:rStyle w:val="Strong"/>
                <w:rFonts w:cs="Arial" w:ascii="Arial" w:hAnsi="Arial"/>
                <w:b w:val="false"/>
                <w:bCs w:val="false"/>
                <w:color w:val="000000"/>
              </w:rPr>
              <w:t>Estação de Transbordo de Pelotas (ETP)</w:t>
            </w:r>
            <w:r>
              <w:rPr>
                <w:rFonts w:cs="Arial" w:ascii="Arial" w:hAnsi="Arial"/>
                <w:b w:val="false"/>
                <w:bCs w:val="false"/>
                <w:color w:val="000000"/>
              </w:rPr>
              <w:t xml:space="preserve">, conforme já exposto </w:t>
            </w:r>
            <w:r>
              <w:rPr>
                <w:rFonts w:cs="Arial" w:ascii="Arial" w:hAnsi="Arial"/>
                <w:b w:val="false"/>
                <w:bCs w:val="false"/>
                <w:color w:val="000000"/>
                <w:shd w:fill="FFFFFF" w:val="clear"/>
              </w:rPr>
              <w:t>neste Estudo,</w:t>
            </w:r>
            <w:r>
              <w:rPr>
                <w:rFonts w:cs="Arial" w:ascii="Arial" w:hAnsi="Arial"/>
                <w:b w:val="false"/>
                <w:bCs w:val="false"/>
                <w:color w:val="000000"/>
              </w:rPr>
              <w:t xml:space="preserve"> essa alternativa se torna </w:t>
            </w:r>
            <w:r>
              <w:rPr>
                <w:rStyle w:val="Strong"/>
                <w:rFonts w:cs="Arial" w:ascii="Arial" w:hAnsi="Arial"/>
                <w:b w:val="false"/>
                <w:bCs w:val="false"/>
                <w:color w:val="000000"/>
              </w:rPr>
              <w:t>imprescindível</w:t>
            </w:r>
            <w:r>
              <w:rPr>
                <w:rFonts w:cs="Arial" w:ascii="Arial" w:hAnsi="Arial"/>
                <w:b w:val="false"/>
                <w:bCs w:val="false"/>
                <w:color w:val="000000"/>
              </w:rPr>
              <w:t>, uma vez que o Aterro Municipal de Pelotas encontra-se encerrado há mais de uma década, tornando necessária a utilização de aterro regional licenciado para a disposição final dos resíduos do Município.</w:t>
            </w:r>
          </w:p>
          <w:p>
            <w:pPr>
              <w:pStyle w:val="BodyText"/>
              <w:widowControl w:val="false"/>
              <w:spacing w:lineRule="auto" w:line="360" w:before="57" w:after="57"/>
              <w:jc w:val="both"/>
              <w:rPr/>
            </w:pPr>
            <w:r>
              <w:rPr>
                <w:rFonts w:cs="Arial" w:ascii="Arial" w:hAnsi="Arial"/>
                <w:b w:val="false"/>
                <w:bCs w:val="false"/>
                <w:color w:val="000000"/>
              </w:rPr>
              <w:t xml:space="preserve">A ETP representa uma solução </w:t>
            </w:r>
            <w:r>
              <w:rPr>
                <w:rStyle w:val="Strong"/>
                <w:rFonts w:cs="Arial" w:ascii="Arial" w:hAnsi="Arial"/>
                <w:b w:val="false"/>
                <w:bCs w:val="false"/>
                <w:color w:val="000000"/>
              </w:rPr>
              <w:t>ambientalmente segura</w:t>
            </w:r>
            <w:r>
              <w:rPr>
                <w:rFonts w:cs="Arial" w:ascii="Arial" w:hAnsi="Arial"/>
                <w:b w:val="false"/>
                <w:bCs w:val="false"/>
                <w:color w:val="000000"/>
              </w:rPr>
              <w:t xml:space="preserve"> para o manejo dos resíduos, além de proporcionar </w:t>
            </w:r>
            <w:r>
              <w:rPr>
                <w:rStyle w:val="Strong"/>
                <w:rFonts w:cs="Arial" w:ascii="Arial" w:hAnsi="Arial"/>
                <w:b w:val="false"/>
                <w:bCs w:val="false"/>
                <w:color w:val="000000"/>
              </w:rPr>
              <w:t>otimização logística</w:t>
            </w:r>
            <w:r>
              <w:rPr>
                <w:rFonts w:cs="Arial" w:ascii="Arial" w:hAnsi="Arial"/>
                <w:b w:val="false"/>
                <w:bCs w:val="false"/>
                <w:color w:val="000000"/>
              </w:rPr>
              <w:t xml:space="preserve"> e significativa </w:t>
            </w:r>
            <w:r>
              <w:rPr>
                <w:rStyle w:val="Strong"/>
                <w:rFonts w:cs="Arial" w:ascii="Arial" w:hAnsi="Arial"/>
                <w:b w:val="false"/>
                <w:bCs w:val="false"/>
                <w:color w:val="000000"/>
              </w:rPr>
              <w:t>redução de custos</w:t>
            </w:r>
            <w:r>
              <w:rPr>
                <w:rFonts w:cs="Arial" w:ascii="Arial" w:hAnsi="Arial"/>
                <w:b w:val="false"/>
                <w:bCs w:val="false"/>
                <w:color w:val="000000"/>
              </w:rPr>
              <w:t xml:space="preserve"> no transporte até o destino final. Dessa forma, reforça-se a adequação técnica e econômica da implantação da Estação de Transbordo como etapa essencial na gestão dos resíduos sólidos do Município.</w:t>
            </w:r>
          </w:p>
          <w:p>
            <w:pPr>
              <w:pStyle w:val="BodyText"/>
              <w:widowControl w:val="false"/>
              <w:spacing w:lineRule="auto" w:line="360" w:before="57" w:after="57"/>
              <w:jc w:val="both"/>
              <w:rPr/>
            </w:pPr>
            <w:r>
              <w:rPr>
                <w:rFonts w:cs="Arial" w:ascii="Arial" w:hAnsi="Arial"/>
                <w:b w:val="false"/>
                <w:bCs w:val="false"/>
                <w:color w:val="000000"/>
              </w:rPr>
              <w:t>Pretende-se com as ações integradas de operação da Estação do Transbordo, do transporte dos resíduos e de disposição em aterro sanitário licenciado proporcionar a continuidade dos serviços com a máxima regularidade, eficiência e economia aos munícipes.</w:t>
            </w:r>
          </w:p>
        </w:tc>
      </w:tr>
    </w:tbl>
    <w:p>
      <w:pPr>
        <w:pStyle w:val="Normal"/>
        <w:spacing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240" w:before="57" w:after="57"/>
              <w:jc w:val="both"/>
              <w:rPr>
                <w:rFonts w:ascii="Arial" w:hAnsi="Arial" w:eastAsia="Calibri"/>
              </w:rPr>
            </w:pPr>
            <w:r>
              <w:rPr>
                <w:rFonts w:eastAsia="Calibri" w:cs="Arial" w:ascii="Arial" w:hAnsi="Arial"/>
                <w:b/>
                <w:bCs/>
                <w:kern w:val="2"/>
                <w:sz w:val="22"/>
                <w:szCs w:val="22"/>
                <w:lang w:val="pt-BR" w:eastAsia="en-US" w:bidi="ar-SA"/>
              </w:rPr>
              <w:t>11 PROVIDÊNCIAS PRÉVIAS AO CONTRATO</w:t>
            </w:r>
          </w:p>
        </w:tc>
      </w:tr>
      <w:tr>
        <w:trPr/>
        <w:tc>
          <w:tcPr>
            <w:tcW w:w="9061" w:type="dxa"/>
            <w:tcBorders/>
          </w:tcPr>
          <w:p>
            <w:pPr>
              <w:pStyle w:val="Normal"/>
              <w:widowControl w:val="false"/>
              <w:spacing w:lineRule="auto" w:line="360" w:before="57" w:after="57"/>
              <w:jc w:val="both"/>
              <w:rPr>
                <w:sz w:val="22"/>
              </w:rPr>
            </w:pPr>
            <w:r>
              <w:rPr>
                <w:rFonts w:ascii="Arial" w:hAnsi="Arial"/>
                <w:color w:val="000000"/>
                <w:sz w:val="22"/>
                <w:szCs w:val="22"/>
              </w:rPr>
              <w:t>Todas as exigências e providências necessárias foram contempladas no Projeto Básico, incluindo a projeção de quantitativos de funcionários, maquinários e instalações, bem como a estimativa da demanda anual futura com o respectivo crescimento na geração de resíduos.</w:t>
            </w:r>
          </w:p>
        </w:tc>
      </w:tr>
    </w:tbl>
    <w:p>
      <w:pPr>
        <w:pStyle w:val="Normal"/>
        <w:spacing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240" w:before="57" w:after="57"/>
              <w:jc w:val="both"/>
              <w:rPr>
                <w:rFonts w:ascii="Arial" w:hAnsi="Arial" w:eastAsia="Calibri"/>
              </w:rPr>
            </w:pPr>
            <w:r>
              <w:rPr>
                <w:rFonts w:eastAsia="Calibri" w:cs="Arial" w:ascii="Arial" w:hAnsi="Arial"/>
                <w:b/>
                <w:bCs/>
                <w:kern w:val="2"/>
                <w:sz w:val="22"/>
                <w:szCs w:val="22"/>
                <w:lang w:val="pt-BR" w:eastAsia="en-US" w:bidi="ar-SA"/>
              </w:rPr>
              <w:t>12 CONTRATAÇÕES CORRELATAS/INTERDEPENDENTES</w:t>
            </w:r>
          </w:p>
        </w:tc>
      </w:tr>
      <w:tr>
        <w:trPr/>
        <w:tc>
          <w:tcPr>
            <w:tcW w:w="9061" w:type="dxa"/>
            <w:tcBorders/>
          </w:tcPr>
          <w:p>
            <w:pPr>
              <w:pStyle w:val="Normal"/>
              <w:widowControl w:val="false"/>
              <w:spacing w:lineRule="auto" w:line="360" w:before="114" w:after="114"/>
              <w:jc w:val="both"/>
              <w:rPr>
                <w:rFonts w:ascii="Arial" w:hAnsi="Arial"/>
                <w:color w:val="000000"/>
              </w:rPr>
            </w:pPr>
            <w:r>
              <w:rPr>
                <w:rFonts w:ascii="Arial" w:hAnsi="Arial"/>
                <w:color w:val="000000"/>
                <w:sz w:val="22"/>
              </w:rPr>
              <w:t>Os serviços de Operação de Transbordo, Transporte e Destino Final dos Resíduos em Aterro Sanitário são interdependentes. Qualquer falha em algum deles terá reflexo nos demais. Problema com transporte acarretará acúmulo de resíduos no Transbordo. Problema na operação no transbordo, como falta de pessoal ou equipamentos, resultará em caminhões parados e acúmulo de resíduos no transbordo.</w:t>
            </w:r>
          </w:p>
          <w:p>
            <w:pPr>
              <w:pStyle w:val="BodyText"/>
              <w:widowControl w:val="false"/>
              <w:spacing w:lineRule="auto" w:line="360" w:before="114" w:after="114"/>
              <w:jc w:val="both"/>
              <w:rPr/>
            </w:pPr>
            <w:r>
              <w:rPr>
                <w:rFonts w:ascii="Arial" w:hAnsi="Arial"/>
                <w:b w:val="false"/>
                <w:bCs w:val="false"/>
                <w:color w:val="000000"/>
              </w:rPr>
              <w:t xml:space="preserve">Os serviços de </w:t>
            </w:r>
            <w:r>
              <w:rPr>
                <w:rStyle w:val="Strong"/>
                <w:rFonts w:ascii="Arial" w:hAnsi="Arial"/>
                <w:b w:val="false"/>
                <w:bCs w:val="false"/>
                <w:color w:val="000000"/>
              </w:rPr>
              <w:t>operação da Estação de Transbordo</w:t>
            </w:r>
            <w:r>
              <w:rPr>
                <w:rFonts w:ascii="Arial" w:hAnsi="Arial"/>
                <w:b w:val="false"/>
                <w:bCs w:val="false"/>
                <w:color w:val="000000"/>
              </w:rPr>
              <w:t xml:space="preserve">, de </w:t>
            </w:r>
            <w:r>
              <w:rPr>
                <w:rStyle w:val="Strong"/>
                <w:rFonts w:ascii="Arial" w:hAnsi="Arial"/>
                <w:b w:val="false"/>
                <w:bCs w:val="false"/>
                <w:color w:val="000000"/>
              </w:rPr>
              <w:t>transporte</w:t>
            </w:r>
            <w:r>
              <w:rPr>
                <w:rFonts w:ascii="Arial" w:hAnsi="Arial"/>
                <w:b w:val="false"/>
                <w:bCs w:val="false"/>
                <w:color w:val="000000"/>
              </w:rPr>
              <w:t xml:space="preserve"> e de </w:t>
            </w:r>
            <w:r>
              <w:rPr>
                <w:rStyle w:val="Strong"/>
                <w:rFonts w:ascii="Arial" w:hAnsi="Arial"/>
                <w:b w:val="false"/>
                <w:bCs w:val="false"/>
                <w:color w:val="000000"/>
              </w:rPr>
              <w:t>destinação final dos resíduos em aterro sanitário</w:t>
            </w:r>
            <w:r>
              <w:rPr>
                <w:rFonts w:ascii="Arial" w:hAnsi="Arial"/>
                <w:b w:val="false"/>
                <w:bCs w:val="false"/>
                <w:color w:val="000000"/>
              </w:rPr>
              <w:t xml:space="preserve"> possuem natureza </w:t>
            </w:r>
            <w:r>
              <w:rPr>
                <w:rStyle w:val="Strong"/>
                <w:rFonts w:ascii="Arial" w:hAnsi="Arial"/>
                <w:b w:val="false"/>
                <w:bCs w:val="false"/>
                <w:color w:val="000000"/>
              </w:rPr>
              <w:t>interdependente</w:t>
            </w:r>
            <w:r>
              <w:rPr>
                <w:rFonts w:ascii="Arial" w:hAnsi="Arial"/>
                <w:b w:val="false"/>
                <w:bCs w:val="false"/>
                <w:color w:val="000000"/>
              </w:rPr>
              <w:t>, de modo que qualquer falha em um desses elos repercute diretamente nos demais.</w:t>
            </w:r>
          </w:p>
          <w:p>
            <w:pPr>
              <w:pStyle w:val="BodyText"/>
              <w:widowControl w:val="false"/>
              <w:spacing w:lineRule="auto" w:line="360" w:before="114" w:after="114"/>
              <w:jc w:val="both"/>
              <w:rPr/>
            </w:pPr>
            <w:r>
              <w:rPr>
                <w:rFonts w:ascii="Arial" w:hAnsi="Arial"/>
                <w:b w:val="false"/>
                <w:bCs w:val="false"/>
                <w:color w:val="000000"/>
              </w:rPr>
              <w:t xml:space="preserve">Uma interrupção ou insuficiência no </w:t>
            </w:r>
            <w:r>
              <w:rPr>
                <w:rStyle w:val="Strong"/>
                <w:rFonts w:ascii="Arial" w:hAnsi="Arial"/>
                <w:b w:val="false"/>
                <w:bCs w:val="false"/>
                <w:color w:val="000000"/>
              </w:rPr>
              <w:t>transporte</w:t>
            </w:r>
            <w:r>
              <w:rPr>
                <w:rFonts w:ascii="Arial" w:hAnsi="Arial"/>
                <w:b w:val="false"/>
                <w:bCs w:val="false"/>
                <w:color w:val="000000"/>
              </w:rPr>
              <w:t xml:space="preserve"> gera acúmulo de resíduos na Estação de Transbordo, comprometendo sua operação e podendo causar riscos operacionais e ambientais. Da mesma forma, falhas na </w:t>
            </w:r>
            <w:r>
              <w:rPr>
                <w:rStyle w:val="Strong"/>
                <w:rFonts w:ascii="Arial" w:hAnsi="Arial"/>
                <w:b w:val="false"/>
                <w:bCs w:val="false"/>
                <w:color w:val="000000"/>
              </w:rPr>
              <w:t>operação do transbordo</w:t>
            </w:r>
            <w:r>
              <w:rPr>
                <w:rFonts w:ascii="Arial" w:hAnsi="Arial"/>
                <w:b w:val="false"/>
                <w:bCs w:val="false"/>
                <w:color w:val="000000"/>
              </w:rPr>
              <w:t xml:space="preserve"> — como ausência de pessoal, indisponibilidade de equipamentos ou paralisações — resultam em caminhões parados, redução da produtividade e acúmulo de resíduos na área.</w:t>
            </w:r>
          </w:p>
          <w:p>
            <w:pPr>
              <w:pStyle w:val="BodyText"/>
              <w:widowControl w:val="false"/>
              <w:spacing w:lineRule="auto" w:line="360" w:before="114" w:after="114"/>
              <w:jc w:val="both"/>
              <w:rPr>
                <w:b w:val="false"/>
                <w:bCs w:val="false"/>
                <w:color w:val="000000"/>
              </w:rPr>
            </w:pPr>
            <w:r>
              <w:rPr>
                <w:rFonts w:ascii="Arial" w:hAnsi="Arial"/>
                <w:b w:val="false"/>
                <w:bCs w:val="false"/>
                <w:color w:val="000000"/>
              </w:rPr>
              <w:t>Assim, a continuidade e a regularidade dos serviços dependem do funcionamento adequado e coordenado de todas as etapas, reforçando a necessidade de organização contratual e operacional que assegure a execução eficiente e ininterrupta das atividades.</w:t>
            </w:r>
          </w:p>
        </w:tc>
      </w:tr>
    </w:tbl>
    <w:p>
      <w:pPr>
        <w:pStyle w:val="Normal"/>
        <w:spacing w:before="0" w:after="0"/>
        <w:jc w:val="both"/>
        <w:rPr>
          <w:rFonts w:ascii="Arial" w:hAnsi="Arial" w:cs="Arial"/>
        </w:rPr>
      </w:pPr>
      <w:r>
        <w:rPr>
          <w:rFonts w:cs="Arial" w:ascii="Arial" w:hAnsi="Arial"/>
        </w:rPr>
      </w:r>
    </w:p>
    <w:tbl>
      <w:tblPr>
        <w:tblStyle w:val="Tabelacomgrade"/>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1"/>
      </w:tblGrid>
      <w:tr>
        <w:trPr/>
        <w:tc>
          <w:tcPr>
            <w:tcW w:w="9061" w:type="dxa"/>
            <w:tcBorders/>
            <w:shd w:color="auto" w:fill="BFBFBF" w:themeFill="background1" w:themeFillShade="bf" w:val="clear"/>
          </w:tcPr>
          <w:p>
            <w:pPr>
              <w:pStyle w:val="Normal"/>
              <w:widowControl/>
              <w:suppressAutoHyphens w:val="true"/>
              <w:spacing w:lineRule="auto" w:line="240" w:before="57" w:after="57"/>
              <w:jc w:val="both"/>
              <w:rPr>
                <w:rFonts w:ascii="Arial" w:hAnsi="Arial" w:eastAsia="Calibri"/>
              </w:rPr>
            </w:pPr>
            <w:r>
              <w:rPr>
                <w:rFonts w:eastAsia="Calibri" w:cs="Arial" w:ascii="Arial" w:hAnsi="Arial"/>
                <w:b/>
                <w:bCs/>
                <w:kern w:val="2"/>
                <w:sz w:val="22"/>
                <w:szCs w:val="22"/>
                <w:lang w:val="pt-BR" w:eastAsia="en-US" w:bidi="ar-SA"/>
              </w:rPr>
              <w:t>13 POSSÍVEIS IMPACTOS AMBIENTAIS</w:t>
            </w:r>
          </w:p>
        </w:tc>
      </w:tr>
      <w:tr>
        <w:trPr/>
        <w:tc>
          <w:tcPr>
            <w:tcW w:w="9061" w:type="dxa"/>
            <w:tcBorders/>
          </w:tcPr>
          <w:p>
            <w:pPr>
              <w:pStyle w:val="Default"/>
              <w:widowControl w:val="false"/>
              <w:spacing w:lineRule="auto" w:line="360" w:before="57" w:after="57"/>
              <w:jc w:val="both"/>
              <w:rPr/>
            </w:pPr>
            <w:bookmarkStart w:id="0" w:name="_Hlk169781897"/>
            <w:bookmarkStart w:id="1" w:name="_Hlk169781897_Copia_1"/>
            <w:bookmarkEnd w:id="0"/>
            <w:bookmarkEnd w:id="1"/>
            <w:r>
              <w:rPr>
                <w:rFonts w:ascii="Arial" w:hAnsi="Arial"/>
                <w:sz w:val="22"/>
                <w:szCs w:val="22"/>
              </w:rPr>
              <w:t>O impacto ambiental de maior relevância seria a emissão de gases de efeito estufa, ocasionados a partir do transporte diário desses resíduos por caminhões até destino final.</w:t>
            </w:r>
          </w:p>
        </w:tc>
      </w:tr>
    </w:tbl>
    <w:p>
      <w:pPr>
        <w:pStyle w:val="Normal"/>
        <w:spacing w:before="0" w:after="0"/>
        <w:jc w:val="both"/>
        <w:rPr>
          <w:rFonts w:ascii="Arial" w:hAnsi="Arial" w:cs="Arial"/>
        </w:rPr>
      </w:pPr>
      <w:r>
        <w:rPr>
          <w:rFonts w:cs="Arial" w:ascii="Arial" w:hAnsi="Arial"/>
        </w:rPr>
      </w:r>
    </w:p>
    <w:tbl>
      <w:tblPr>
        <w:tblW w:w="9090" w:type="dxa"/>
        <w:jc w:val="left"/>
        <w:tblInd w:w="-18" w:type="dxa"/>
        <w:tblLayout w:type="fixed"/>
        <w:tblCellMar>
          <w:top w:w="0" w:type="dxa"/>
          <w:left w:w="108" w:type="dxa"/>
          <w:bottom w:w="0" w:type="dxa"/>
          <w:right w:w="108" w:type="dxa"/>
        </w:tblCellMar>
        <w:tblLook w:firstRow="1" w:noVBand="1" w:lastRow="0" w:firstColumn="1" w:lastColumn="0" w:noHBand="0" w:val="04a0"/>
      </w:tblPr>
      <w:tblGrid>
        <w:gridCol w:w="4994"/>
        <w:gridCol w:w="4095"/>
      </w:tblGrid>
      <w:tr>
        <w:trPr/>
        <w:tc>
          <w:tcPr>
            <w:tcW w:w="9089" w:type="dxa"/>
            <w:gridSpan w:val="2"/>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pacing w:lineRule="auto" w:line="360" w:before="57" w:after="57"/>
              <w:jc w:val="both"/>
              <w:rPr>
                <w:sz w:val="22"/>
                <w:szCs w:val="22"/>
              </w:rPr>
            </w:pPr>
            <w:r>
              <w:rPr>
                <w:rFonts w:cs="Arial" w:ascii="Arial" w:hAnsi="Arial"/>
                <w:b/>
                <w:bCs/>
                <w:sz w:val="22"/>
                <w:szCs w:val="22"/>
              </w:rPr>
              <w:t>14. ANÁLISE DE RISCOS</w:t>
            </w:r>
          </w:p>
        </w:tc>
      </w:tr>
      <w:tr>
        <w:trPr/>
        <w:tc>
          <w:tcPr>
            <w:tcW w:w="90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Risco: Falha no transporte dos resíduos</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Situação prevista: </w:t>
            </w:r>
            <w:r>
              <w:rPr>
                <w:rFonts w:cs="Arial" w:ascii="Arial" w:hAnsi="Arial"/>
                <w:color w:val="auto"/>
                <w:sz w:val="22"/>
                <w:szCs w:val="22"/>
              </w:rPr>
              <w:t>Falta de veículos ou acidentes no trajeto.</w:t>
            </w:r>
          </w:p>
        </w:tc>
        <w:tc>
          <w:tcPr>
            <w:tcW w:w="40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Probabilidade: </w:t>
            </w:r>
            <w:r>
              <w:rPr>
                <w:rFonts w:cs="Arial" w:ascii="Arial" w:hAnsi="Arial"/>
                <w:b w:val="false"/>
                <w:bCs w:val="false"/>
                <w:sz w:val="22"/>
                <w:szCs w:val="22"/>
              </w:rPr>
              <w:t>baixa</w:t>
            </w:r>
          </w:p>
          <w:p>
            <w:pPr>
              <w:pStyle w:val="Normal"/>
              <w:widowControl w:val="false"/>
              <w:spacing w:lineRule="auto" w:line="360" w:before="57" w:after="57"/>
              <w:contextualSpacing/>
              <w:jc w:val="both"/>
              <w:rPr/>
            </w:pPr>
            <w:r>
              <w:rPr>
                <w:rFonts w:cs="Arial" w:ascii="Arial" w:hAnsi="Arial"/>
                <w:b/>
                <w:bCs/>
                <w:sz w:val="22"/>
                <w:szCs w:val="22"/>
              </w:rPr>
              <w:t xml:space="preserve">Impacto: </w:t>
            </w:r>
            <w:r>
              <w:rPr>
                <w:rFonts w:cs="Arial" w:ascii="Arial" w:hAnsi="Arial"/>
                <w:b w:val="false"/>
                <w:bCs w:val="false"/>
                <w:sz w:val="22"/>
                <w:szCs w:val="22"/>
              </w:rPr>
              <w:t>alto</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Default"/>
              <w:widowControl w:val="false"/>
              <w:spacing w:lineRule="auto" w:line="360" w:before="57" w:after="217"/>
              <w:contextualSpacing/>
              <w:jc w:val="both"/>
              <w:rPr/>
            </w:pPr>
            <w:r>
              <w:rPr>
                <w:rFonts w:cs="Arial" w:ascii="Arial" w:hAnsi="Arial"/>
                <w:b/>
                <w:bCs/>
                <w:color w:val="auto"/>
                <w:sz w:val="22"/>
                <w:szCs w:val="22"/>
              </w:rPr>
              <w:t>Ação Preventiva:</w:t>
            </w:r>
            <w:r>
              <w:rPr>
                <w:rFonts w:cs="Arial" w:ascii="Arial" w:hAnsi="Arial"/>
                <w:color w:val="auto"/>
                <w:sz w:val="22"/>
                <w:szCs w:val="22"/>
              </w:rPr>
              <w:t xml:space="preserve"> </w:t>
            </w:r>
            <w:r>
              <w:rPr>
                <w:rFonts w:cs="Arial" w:ascii="Arial" w:hAnsi="Arial"/>
                <w:kern w:val="0"/>
                <w:sz w:val="22"/>
                <w:szCs w:val="22"/>
              </w:rPr>
              <w:t>Manter caminhões e motoristas reservas à disposição, bem como veículo equipado para atendimento e apoio imediato em situações que possam comprometer o transporte ou a operação do aterro.</w:t>
            </w:r>
          </w:p>
        </w:tc>
        <w:tc>
          <w:tcPr>
            <w:tcW w:w="40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Responsável: </w:t>
            </w:r>
            <w:r>
              <w:rPr>
                <w:rFonts w:cs="Arial" w:ascii="Arial" w:hAnsi="Arial"/>
                <w:sz w:val="22"/>
                <w:szCs w:val="22"/>
              </w:rPr>
              <w:t>Gestor do contrato e empresa responsável.</w:t>
            </w:r>
          </w:p>
          <w:p>
            <w:pPr>
              <w:pStyle w:val="Normal"/>
              <w:widowControl w:val="false"/>
              <w:spacing w:lineRule="auto" w:line="360" w:before="0" w:after="0"/>
              <w:contextualSpacing/>
              <w:jc w:val="both"/>
              <w:rPr>
                <w:rFonts w:ascii="Arial" w:hAnsi="Arial" w:cs="Arial"/>
                <w:sz w:val="22"/>
                <w:szCs w:val="22"/>
              </w:rPr>
            </w:pPr>
            <w:r>
              <w:rPr>
                <w:rFonts w:cs="Arial" w:ascii="Arial" w:hAnsi="Arial"/>
                <w:sz w:val="22"/>
                <w:szCs w:val="22"/>
              </w:rPr>
            </w:r>
          </w:p>
        </w:tc>
      </w:tr>
      <w:tr>
        <w:trPr/>
        <w:tc>
          <w:tcPr>
            <w:tcW w:w="4994" w:type="dxa"/>
            <w:tcBorders>
              <w:top w:val="single" w:sz="4" w:space="0" w:color="000000"/>
              <w:left w:val="single" w:sz="4" w:space="0" w:color="000000"/>
              <w:bottom w:val="single" w:sz="4" w:space="0" w:color="000000"/>
              <w:right w:val="single" w:sz="4" w:space="0" w:color="000000"/>
            </w:tcBorders>
          </w:tcPr>
          <w:p>
            <w:pPr>
              <w:pStyle w:val="Default"/>
              <w:widowControl w:val="false"/>
              <w:spacing w:lineRule="auto" w:line="360" w:before="57" w:after="217"/>
              <w:contextualSpacing/>
              <w:jc w:val="both"/>
              <w:rPr/>
            </w:pPr>
            <w:r>
              <w:rPr>
                <w:rFonts w:cs="Arial" w:ascii="Arial" w:hAnsi="Arial"/>
                <w:b/>
                <w:bCs/>
                <w:color w:val="auto"/>
                <w:sz w:val="22"/>
                <w:szCs w:val="22"/>
              </w:rPr>
              <w:t xml:space="preserve">Ação de contingência: </w:t>
            </w:r>
            <w:r>
              <w:rPr>
                <w:rFonts w:cs="Arial" w:ascii="Arial" w:hAnsi="Arial"/>
                <w:color w:val="auto"/>
                <w:sz w:val="22"/>
                <w:szCs w:val="22"/>
              </w:rPr>
              <w:t>Contratação de equipes/maquinários para execução dos procedimentos necessários para minimização dos impactos ambientais.</w:t>
            </w:r>
          </w:p>
        </w:tc>
        <w:tc>
          <w:tcPr>
            <w:tcW w:w="40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Responsável: </w:t>
            </w:r>
            <w:r>
              <w:rPr>
                <w:rFonts w:cs="Arial" w:ascii="Arial" w:hAnsi="Arial"/>
                <w:sz w:val="22"/>
                <w:szCs w:val="22"/>
              </w:rPr>
              <w:t>Empresa contratada</w:t>
            </w:r>
          </w:p>
        </w:tc>
      </w:tr>
    </w:tbl>
    <w:p>
      <w:pPr>
        <w:pStyle w:val="Normal"/>
        <w:spacing w:before="0" w:after="0"/>
        <w:jc w:val="both"/>
        <w:rPr>
          <w:rFonts w:ascii="Arial" w:hAnsi="Arial" w:cs="Arial"/>
          <w:sz w:val="24"/>
          <w:szCs w:val="24"/>
        </w:rPr>
      </w:pPr>
      <w:r>
        <w:rPr>
          <w:rFonts w:cs="Arial" w:ascii="Arial" w:hAnsi="Arial"/>
          <w:sz w:val="24"/>
          <w:szCs w:val="24"/>
        </w:rPr>
      </w:r>
    </w:p>
    <w:tbl>
      <w:tblPr>
        <w:tblW w:w="9060" w:type="dxa"/>
        <w:jc w:val="left"/>
        <w:tblInd w:w="-18" w:type="dxa"/>
        <w:tblLayout w:type="fixed"/>
        <w:tblCellMar>
          <w:top w:w="0" w:type="dxa"/>
          <w:left w:w="108" w:type="dxa"/>
          <w:bottom w:w="0" w:type="dxa"/>
          <w:right w:w="108" w:type="dxa"/>
        </w:tblCellMar>
        <w:tblLook w:firstRow="1" w:noVBand="1" w:lastRow="0" w:firstColumn="1" w:lastColumn="0" w:noHBand="0" w:val="04a0"/>
      </w:tblPr>
      <w:tblGrid>
        <w:gridCol w:w="4994"/>
        <w:gridCol w:w="4065"/>
      </w:tblGrid>
      <w:tr>
        <w:trPr/>
        <w:tc>
          <w:tcPr>
            <w:tcW w:w="905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Risco: Acúmulo excessivo de resíduos na Estação de Transbordo</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Situação prevista: </w:t>
            </w:r>
            <w:r>
              <w:rPr>
                <w:rFonts w:cs="Arial" w:ascii="Arial" w:hAnsi="Arial"/>
                <w:color w:val="auto"/>
                <w:sz w:val="22"/>
                <w:szCs w:val="22"/>
              </w:rPr>
              <w:t>Grandes feriados prolongados, datas festivas, falta de funcionários, maquinários de carregamentos e veículos de transporte.</w:t>
            </w:r>
          </w:p>
        </w:tc>
        <w:tc>
          <w:tcPr>
            <w:tcW w:w="406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Probabilidade: </w:t>
            </w:r>
            <w:r>
              <w:rPr>
                <w:rFonts w:cs="Arial" w:ascii="Arial" w:hAnsi="Arial"/>
                <w:b w:val="false"/>
                <w:bCs w:val="false"/>
                <w:sz w:val="22"/>
                <w:szCs w:val="22"/>
              </w:rPr>
              <w:t>baixa</w:t>
            </w:r>
          </w:p>
          <w:p>
            <w:pPr>
              <w:pStyle w:val="Normal"/>
              <w:widowControl w:val="false"/>
              <w:spacing w:lineRule="auto" w:line="360" w:before="57" w:after="57"/>
              <w:contextualSpacing/>
              <w:jc w:val="both"/>
              <w:rPr/>
            </w:pPr>
            <w:r>
              <w:rPr>
                <w:rFonts w:cs="Arial" w:ascii="Arial" w:hAnsi="Arial"/>
                <w:b/>
                <w:bCs/>
                <w:sz w:val="22"/>
                <w:szCs w:val="22"/>
              </w:rPr>
              <w:t xml:space="preserve">Impacto: </w:t>
            </w:r>
            <w:r>
              <w:rPr>
                <w:rFonts w:cs="Arial" w:ascii="Arial" w:hAnsi="Arial"/>
                <w:b w:val="false"/>
                <w:bCs w:val="false"/>
                <w:sz w:val="22"/>
                <w:szCs w:val="22"/>
              </w:rPr>
              <w:t>médio</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Default"/>
              <w:widowControl w:val="false"/>
              <w:spacing w:lineRule="auto" w:line="360" w:before="57" w:after="217"/>
              <w:contextualSpacing/>
              <w:jc w:val="both"/>
              <w:rPr/>
            </w:pPr>
            <w:r>
              <w:rPr>
                <w:rFonts w:cs="Arial" w:ascii="Arial" w:hAnsi="Arial"/>
                <w:b/>
                <w:bCs/>
                <w:color w:val="auto"/>
                <w:sz w:val="22"/>
                <w:szCs w:val="22"/>
              </w:rPr>
              <w:t>Ação Preventiva:</w:t>
            </w:r>
            <w:r>
              <w:rPr>
                <w:rFonts w:cs="Arial" w:ascii="Arial" w:hAnsi="Arial"/>
                <w:b w:val="false"/>
                <w:bCs w:val="false"/>
                <w:color w:val="auto"/>
                <w:sz w:val="22"/>
                <w:szCs w:val="22"/>
              </w:rPr>
              <w:t xml:space="preserve"> Áreas de carregamentos de resíduos cobertas e com piso impermeáveis para armazenamento temporário dos resíduos, veículos reservas.</w:t>
            </w:r>
          </w:p>
        </w:tc>
        <w:tc>
          <w:tcPr>
            <w:tcW w:w="406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left"/>
              <w:rPr/>
            </w:pPr>
            <w:r>
              <w:rPr>
                <w:rFonts w:cs="Arial" w:ascii="Arial" w:hAnsi="Arial"/>
                <w:b/>
                <w:bCs/>
                <w:sz w:val="22"/>
                <w:szCs w:val="22"/>
              </w:rPr>
              <w:t xml:space="preserve">Responsável: </w:t>
            </w:r>
            <w:r>
              <w:rPr>
                <w:rFonts w:cs="Arial" w:ascii="Arial" w:hAnsi="Arial"/>
                <w:b w:val="false"/>
                <w:bCs w:val="false"/>
                <w:color w:val="000000"/>
                <w:sz w:val="22"/>
                <w:szCs w:val="22"/>
              </w:rPr>
              <w:t>Empresa vencedora da licitação e gestor do contrato.</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Default"/>
              <w:widowControl w:val="false"/>
              <w:spacing w:lineRule="auto" w:line="360" w:before="57" w:after="217"/>
              <w:contextualSpacing/>
              <w:jc w:val="both"/>
              <w:rPr/>
            </w:pPr>
            <w:r>
              <w:rPr>
                <w:rFonts w:cs="Arial" w:ascii="Arial" w:hAnsi="Arial"/>
                <w:b/>
                <w:bCs/>
                <w:color w:val="auto"/>
                <w:sz w:val="22"/>
                <w:szCs w:val="22"/>
              </w:rPr>
              <w:t>Ação de Contingência:</w:t>
            </w:r>
            <w:r>
              <w:rPr>
                <w:rFonts w:cs="Arial" w:ascii="Arial" w:hAnsi="Arial"/>
                <w:b w:val="false"/>
                <w:bCs w:val="false"/>
                <w:color w:val="auto"/>
                <w:sz w:val="22"/>
                <w:szCs w:val="22"/>
              </w:rPr>
              <w:t xml:space="preserve"> Locação de caixas metálicas específicas para resíduos, colocação de mantas de PAD em locais de armazenamento temporário.</w:t>
            </w:r>
          </w:p>
        </w:tc>
        <w:tc>
          <w:tcPr>
            <w:tcW w:w="406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left"/>
              <w:rPr/>
            </w:pPr>
            <w:r>
              <w:rPr>
                <w:rFonts w:cs="Arial" w:ascii="Arial" w:hAnsi="Arial"/>
                <w:b/>
                <w:bCs/>
                <w:sz w:val="22"/>
                <w:szCs w:val="22"/>
              </w:rPr>
              <w:t xml:space="preserve">Responsável: </w:t>
            </w:r>
            <w:r>
              <w:rPr>
                <w:rFonts w:cs="Arial" w:ascii="Arial" w:hAnsi="Arial"/>
                <w:b w:val="false"/>
                <w:bCs w:val="false"/>
                <w:color w:val="000000"/>
                <w:sz w:val="22"/>
                <w:szCs w:val="22"/>
              </w:rPr>
              <w:t>Empresa vencedora da licitação.</w:t>
            </w:r>
          </w:p>
          <w:p>
            <w:pPr>
              <w:pStyle w:val="Normal"/>
              <w:widowControl w:val="false"/>
              <w:spacing w:lineRule="auto" w:line="360" w:before="57" w:after="57"/>
              <w:contextualSpacing/>
              <w:jc w:val="left"/>
              <w:rPr>
                <w:sz w:val="22"/>
                <w:szCs w:val="22"/>
              </w:rPr>
            </w:pPr>
            <w:r>
              <w:rPr>
                <w:sz w:val="22"/>
                <w:szCs w:val="22"/>
              </w:rPr>
            </w:r>
          </w:p>
        </w:tc>
      </w:tr>
    </w:tbl>
    <w:p>
      <w:pPr>
        <w:pStyle w:val="Normal"/>
        <w:spacing w:before="0" w:after="0"/>
        <w:jc w:val="both"/>
        <w:rPr>
          <w:rFonts w:ascii="Arial" w:hAnsi="Arial" w:cs="Arial"/>
          <w:sz w:val="24"/>
          <w:szCs w:val="24"/>
        </w:rPr>
      </w:pPr>
      <w:r>
        <w:rPr>
          <w:rFonts w:cs="Arial" w:ascii="Arial" w:hAnsi="Arial"/>
          <w:sz w:val="24"/>
          <w:szCs w:val="24"/>
        </w:rPr>
      </w:r>
    </w:p>
    <w:tbl>
      <w:tblPr>
        <w:tblW w:w="9075" w:type="dxa"/>
        <w:jc w:val="left"/>
        <w:tblInd w:w="-18" w:type="dxa"/>
        <w:tblLayout w:type="fixed"/>
        <w:tblCellMar>
          <w:top w:w="0" w:type="dxa"/>
          <w:left w:w="108" w:type="dxa"/>
          <w:bottom w:w="0" w:type="dxa"/>
          <w:right w:w="108" w:type="dxa"/>
        </w:tblCellMar>
        <w:tblLook w:firstRow="1" w:noVBand="1" w:lastRow="0" w:firstColumn="1" w:lastColumn="0" w:noHBand="0" w:val="04a0"/>
      </w:tblPr>
      <w:tblGrid>
        <w:gridCol w:w="4994"/>
        <w:gridCol w:w="4080"/>
      </w:tblGrid>
      <w:tr>
        <w:trPr/>
        <w:tc>
          <w:tcPr>
            <w:tcW w:w="907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Risco: Impedimento na operação do Aterro</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Situação prevista: </w:t>
            </w:r>
            <w:r>
              <w:rPr>
                <w:rFonts w:cs="Arial" w:ascii="Arial" w:hAnsi="Arial"/>
                <w:color w:val="auto"/>
                <w:sz w:val="22"/>
                <w:szCs w:val="22"/>
              </w:rPr>
              <w:t>Interdição do Aterro</w:t>
            </w:r>
          </w:p>
        </w:tc>
        <w:tc>
          <w:tcPr>
            <w:tcW w:w="4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both"/>
              <w:rPr/>
            </w:pPr>
            <w:r>
              <w:rPr>
                <w:rFonts w:cs="Arial" w:ascii="Arial" w:hAnsi="Arial"/>
                <w:b/>
                <w:bCs/>
                <w:sz w:val="22"/>
                <w:szCs w:val="22"/>
              </w:rPr>
              <w:t xml:space="preserve">Probabilidade: </w:t>
            </w:r>
            <w:r>
              <w:rPr>
                <w:rFonts w:cs="Arial" w:ascii="Arial" w:hAnsi="Arial"/>
                <w:b w:val="false"/>
                <w:bCs w:val="false"/>
                <w:sz w:val="22"/>
                <w:szCs w:val="22"/>
              </w:rPr>
              <w:t>baixa</w:t>
            </w:r>
          </w:p>
          <w:p>
            <w:pPr>
              <w:pStyle w:val="Normal"/>
              <w:widowControl w:val="false"/>
              <w:spacing w:lineRule="auto" w:line="360" w:before="57" w:after="57"/>
              <w:contextualSpacing/>
              <w:jc w:val="both"/>
              <w:rPr/>
            </w:pPr>
            <w:r>
              <w:rPr>
                <w:rFonts w:cs="Arial" w:ascii="Arial" w:hAnsi="Arial"/>
                <w:b/>
                <w:bCs/>
                <w:sz w:val="22"/>
                <w:szCs w:val="22"/>
              </w:rPr>
              <w:t xml:space="preserve">Impacto: </w:t>
            </w:r>
            <w:r>
              <w:rPr>
                <w:rFonts w:cs="Arial" w:ascii="Arial" w:hAnsi="Arial"/>
                <w:b w:val="false"/>
                <w:bCs w:val="false"/>
                <w:sz w:val="22"/>
                <w:szCs w:val="22"/>
              </w:rPr>
              <w:t>alto</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Default"/>
              <w:widowControl w:val="false"/>
              <w:spacing w:lineRule="auto" w:line="360" w:before="57" w:after="217"/>
              <w:contextualSpacing/>
              <w:jc w:val="both"/>
              <w:rPr/>
            </w:pPr>
            <w:r>
              <w:rPr>
                <w:rFonts w:cs="Arial" w:ascii="Arial" w:hAnsi="Arial"/>
                <w:b/>
                <w:bCs/>
                <w:color w:val="auto"/>
                <w:sz w:val="22"/>
                <w:szCs w:val="22"/>
              </w:rPr>
              <w:t xml:space="preserve">Ação Preventiva: </w:t>
            </w:r>
            <w:r>
              <w:rPr>
                <w:rFonts w:eastAsia="Calibri" w:cs="Arial" w:ascii="Arial" w:hAnsi="Arial"/>
                <w:color w:val="auto"/>
                <w:kern w:val="2"/>
                <w:sz w:val="22"/>
                <w:szCs w:val="22"/>
                <w:lang w:val="pt-BR" w:eastAsia="en-US" w:bidi="ar-SA"/>
              </w:rPr>
              <w:t>Acompanhamento contínuo das condições operacionais e documentais do aterro contratado, bem como verificação periódica da validade das licenças e autorizações.</w:t>
            </w:r>
          </w:p>
        </w:tc>
        <w:tc>
          <w:tcPr>
            <w:tcW w:w="4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left"/>
              <w:rPr/>
            </w:pPr>
            <w:r>
              <w:rPr>
                <w:rFonts w:cs="Arial" w:ascii="Arial" w:hAnsi="Arial"/>
                <w:b/>
                <w:bCs/>
                <w:sz w:val="22"/>
                <w:szCs w:val="22"/>
              </w:rPr>
              <w:t xml:space="preserve">Responsável: </w:t>
            </w:r>
            <w:r>
              <w:rPr>
                <w:rFonts w:cs="Arial" w:ascii="Arial" w:hAnsi="Arial"/>
                <w:b w:val="false"/>
                <w:bCs w:val="false"/>
                <w:sz w:val="22"/>
                <w:szCs w:val="22"/>
              </w:rPr>
              <w:t>Empresa Contratada</w:t>
            </w:r>
          </w:p>
        </w:tc>
      </w:tr>
      <w:tr>
        <w:trPr/>
        <w:tc>
          <w:tcPr>
            <w:tcW w:w="4994" w:type="dxa"/>
            <w:tcBorders>
              <w:top w:val="single" w:sz="4" w:space="0" w:color="000000"/>
              <w:left w:val="single" w:sz="4" w:space="0" w:color="000000"/>
              <w:bottom w:val="single" w:sz="4" w:space="0" w:color="000000"/>
              <w:right w:val="single" w:sz="4" w:space="0" w:color="000000"/>
            </w:tcBorders>
          </w:tcPr>
          <w:p>
            <w:pPr>
              <w:pStyle w:val="Default"/>
              <w:widowControl w:val="false"/>
              <w:spacing w:lineRule="auto" w:line="360" w:before="57" w:after="217"/>
              <w:contextualSpacing/>
              <w:jc w:val="both"/>
              <w:rPr/>
            </w:pPr>
            <w:r>
              <w:rPr>
                <w:rFonts w:cs="Arial" w:ascii="Arial" w:hAnsi="Arial"/>
                <w:b/>
                <w:bCs/>
                <w:color w:val="auto"/>
                <w:sz w:val="22"/>
                <w:szCs w:val="22"/>
              </w:rPr>
              <w:t xml:space="preserve">Ação de Contingência: </w:t>
            </w:r>
            <w:r>
              <w:rPr>
                <w:rFonts w:cs="Arial" w:ascii="Arial" w:hAnsi="Arial"/>
                <w:b w:val="false"/>
                <w:bCs w:val="false"/>
                <w:color w:val="auto"/>
                <w:sz w:val="22"/>
                <w:szCs w:val="22"/>
              </w:rPr>
              <w:t>Identificação e contratação emergencial do aterro sanitário licenciado mais próximo, capaz de receber os resíduos até a normalização das atividades.</w:t>
            </w:r>
          </w:p>
        </w:tc>
        <w:tc>
          <w:tcPr>
            <w:tcW w:w="4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contextualSpacing/>
              <w:jc w:val="left"/>
              <w:rPr/>
            </w:pPr>
            <w:r>
              <w:rPr>
                <w:rFonts w:cs="Arial" w:ascii="Arial" w:hAnsi="Arial"/>
                <w:b/>
                <w:bCs/>
                <w:sz w:val="22"/>
                <w:szCs w:val="22"/>
              </w:rPr>
              <w:t xml:space="preserve">Responsável: </w:t>
            </w:r>
            <w:r>
              <w:rPr>
                <w:rFonts w:cs="Arial" w:ascii="Arial" w:hAnsi="Arial"/>
                <w:b w:val="false"/>
                <w:bCs w:val="false"/>
                <w:sz w:val="22"/>
                <w:szCs w:val="22"/>
              </w:rPr>
              <w:t>Gestor do contrato</w:t>
            </w:r>
          </w:p>
        </w:tc>
      </w:tr>
    </w:tbl>
    <w:p>
      <w:pPr>
        <w:pStyle w:val="Normal"/>
        <w:spacing w:before="0" w:after="0"/>
        <w:jc w:val="both"/>
        <w:rPr>
          <w:rFonts w:ascii="Arial" w:hAnsi="Arial" w:cs="Arial"/>
          <w:sz w:val="24"/>
          <w:szCs w:val="24"/>
        </w:rPr>
      </w:pPr>
      <w:r>
        <w:rPr>
          <w:rFonts w:cs="Arial" w:ascii="Arial" w:hAnsi="Arial"/>
          <w:sz w:val="24"/>
          <w:szCs w:val="24"/>
        </w:rPr>
      </w:r>
    </w:p>
    <w:tbl>
      <w:tblPr>
        <w:tblW w:w="9120" w:type="dxa"/>
        <w:jc w:val="left"/>
        <w:tblInd w:w="-48" w:type="dxa"/>
        <w:tblLayout w:type="fixed"/>
        <w:tblCellMar>
          <w:top w:w="0" w:type="dxa"/>
          <w:left w:w="108" w:type="dxa"/>
          <w:bottom w:w="0" w:type="dxa"/>
          <w:right w:w="108" w:type="dxa"/>
        </w:tblCellMar>
        <w:tblLook w:firstRow="1" w:noVBand="1" w:lastRow="0" w:firstColumn="1" w:lastColumn="0" w:noHBand="0" w:val="04a0"/>
      </w:tblPr>
      <w:tblGrid>
        <w:gridCol w:w="9120"/>
      </w:tblGrid>
      <w:tr>
        <w:trPr/>
        <w:tc>
          <w:tcPr>
            <w:tcW w:w="9120"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pacing w:lineRule="auto" w:line="360" w:before="0" w:after="0"/>
              <w:jc w:val="both"/>
              <w:rPr>
                <w:sz w:val="22"/>
                <w:szCs w:val="22"/>
              </w:rPr>
            </w:pPr>
            <w:r>
              <w:rPr>
                <w:rFonts w:cs="Arial" w:ascii="Arial" w:hAnsi="Arial"/>
                <w:b/>
                <w:bCs/>
                <w:sz w:val="22"/>
                <w:szCs w:val="22"/>
              </w:rPr>
              <w:t>15. DECLARAÇÃO DE VIABILIDADE DA CONTRATAÇÃO</w:t>
            </w:r>
          </w:p>
        </w:tc>
      </w:tr>
      <w:tr>
        <w:trPr/>
        <w:tc>
          <w:tcPr>
            <w:tcW w:w="91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57" w:after="57"/>
              <w:jc w:val="both"/>
              <w:rPr/>
            </w:pPr>
            <w:r>
              <w:rPr>
                <w:rFonts w:cs="Arial" w:ascii="Arial" w:hAnsi="Arial"/>
                <w:color w:val="000000"/>
                <w:sz w:val="22"/>
                <w:szCs w:val="22"/>
              </w:rPr>
              <w:t>Constata-se a existência de viabilidade técnica, operacional e administrativa para a contratação do objeto analisado neste Estudo Técnico Preliminar.</w:t>
            </w:r>
          </w:p>
        </w:tc>
      </w:tr>
    </w:tbl>
    <w:p>
      <w:pPr>
        <w:pStyle w:val="Normal"/>
        <w:spacing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r>
    </w:p>
    <w:tbl>
      <w:tblPr>
        <w:tblW w:w="9119" w:type="dxa"/>
        <w:jc w:val="left"/>
        <w:tblInd w:w="-18" w:type="dxa"/>
        <w:tblLayout w:type="fixed"/>
        <w:tblCellMar>
          <w:top w:w="0" w:type="dxa"/>
          <w:left w:w="108" w:type="dxa"/>
          <w:bottom w:w="0" w:type="dxa"/>
          <w:right w:w="108" w:type="dxa"/>
        </w:tblCellMar>
        <w:tblLook w:firstRow="1" w:noVBand="1" w:lastRow="0" w:firstColumn="1" w:lastColumn="0" w:noHBand="0" w:val="04a0"/>
      </w:tblPr>
      <w:tblGrid>
        <w:gridCol w:w="9119"/>
      </w:tblGrid>
      <w:tr>
        <w:trPr/>
        <w:tc>
          <w:tcPr>
            <w:tcW w:w="9119"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pacing w:lineRule="auto" w:line="360" w:before="0" w:after="0"/>
              <w:jc w:val="both"/>
              <w:rPr>
                <w:sz w:val="22"/>
                <w:szCs w:val="22"/>
              </w:rPr>
            </w:pPr>
            <w:r>
              <w:rPr>
                <w:rFonts w:cs="Arial" w:ascii="Arial" w:hAnsi="Arial"/>
                <w:b/>
                <w:bCs/>
                <w:sz w:val="22"/>
                <w:szCs w:val="22"/>
              </w:rPr>
              <w:t>16. EQUIPE DE PLANEJAMENTO</w:t>
            </w:r>
          </w:p>
        </w:tc>
      </w:tr>
      <w:tr>
        <w:trPr/>
        <w:tc>
          <w:tcPr>
            <w:tcW w:w="9119"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spacing w:lineRule="auto" w:line="360" w:before="57" w:after="57"/>
              <w:jc w:val="both"/>
              <w:rPr/>
            </w:pPr>
            <w:r>
              <w:rPr>
                <w:rFonts w:cs="Arial" w:ascii="Arial" w:hAnsi="Arial"/>
                <w:sz w:val="22"/>
                <w:szCs w:val="22"/>
              </w:rPr>
              <w:t>Certificamos que somos responsáveis pela elaboração do presente instrumento e que o mesmo está em consonância com a legislação vigente.</w:t>
            </w:r>
          </w:p>
          <w:p>
            <w:pPr>
              <w:pStyle w:val="Normal"/>
              <w:widowControl w:val="false"/>
              <w:shd w:val="clear" w:color="auto" w:fill="FFFFFF"/>
              <w:spacing w:lineRule="auto" w:line="360" w:before="57" w:after="57"/>
              <w:jc w:val="both"/>
              <w:rPr/>
            </w:pPr>
            <w:r>
              <w:rPr>
                <w:rFonts w:cs="Arial" w:ascii="Arial" w:hAnsi="Arial"/>
                <w:sz w:val="22"/>
                <w:szCs w:val="22"/>
              </w:rPr>
              <w:t>Em 28 de novembro de 2025</w:t>
            </w:r>
          </w:p>
          <w:tbl>
            <w:tblPr>
              <w:tblW w:w="883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17"/>
              <w:gridCol w:w="4417"/>
            </w:tblGrid>
            <w:tr>
              <w:trPr/>
              <w:tc>
                <w:tcPr>
                  <w:tcW w:w="4417" w:type="dxa"/>
                  <w:tcBorders/>
                </w:tcPr>
                <w:p>
                  <w:pPr>
                    <w:pStyle w:val="Normal"/>
                    <w:widowControl w:val="false"/>
                    <w:spacing w:lineRule="auto" w:line="240" w:before="0" w:after="0"/>
                    <w:jc w:val="both"/>
                    <w:rPr>
                      <w:rFonts w:ascii="Arial" w:hAnsi="Arial"/>
                      <w:sz w:val="22"/>
                      <w:szCs w:val="22"/>
                    </w:rPr>
                  </w:pPr>
                  <w:r>
                    <w:rPr>
                      <w:rFonts w:ascii="Arial" w:hAnsi="Arial"/>
                      <w:sz w:val="22"/>
                      <w:szCs w:val="22"/>
                    </w:rPr>
                  </w:r>
                </w:p>
                <w:p>
                  <w:pPr>
                    <w:pStyle w:val="Normal"/>
                    <w:widowControl w:val="false"/>
                    <w:spacing w:lineRule="auto" w:line="240" w:before="0" w:after="0"/>
                    <w:jc w:val="center"/>
                    <w:rPr/>
                  </w:pPr>
                  <w:r>
                    <w:rPr>
                      <w:rFonts w:cs="Arial" w:ascii="Arial" w:hAnsi="Arial"/>
                      <w:sz w:val="22"/>
                      <w:szCs w:val="22"/>
                    </w:rPr>
                    <w:t>_______________________</w:t>
                  </w:r>
                </w:p>
                <w:p>
                  <w:pPr>
                    <w:pStyle w:val="Normal"/>
                    <w:widowControl w:val="false"/>
                    <w:spacing w:lineRule="auto" w:line="240" w:before="0" w:after="0"/>
                    <w:jc w:val="center"/>
                    <w:rPr/>
                  </w:pPr>
                  <w:r>
                    <w:rPr>
                      <w:rFonts w:cs="Arial" w:ascii="Arial" w:hAnsi="Arial"/>
                      <w:sz w:val="22"/>
                      <w:szCs w:val="22"/>
                    </w:rPr>
                    <w:t>Edson Plá Monterosso</w:t>
                  </w:r>
                </w:p>
                <w:p>
                  <w:pPr>
                    <w:pStyle w:val="Normal"/>
                    <w:widowControl w:val="false"/>
                    <w:spacing w:lineRule="auto" w:line="240" w:before="0" w:after="0"/>
                    <w:jc w:val="center"/>
                    <w:rPr/>
                  </w:pPr>
                  <w:r>
                    <w:rPr>
                      <w:rFonts w:cs="Arial" w:ascii="Arial" w:hAnsi="Arial"/>
                      <w:sz w:val="22"/>
                      <w:szCs w:val="22"/>
                    </w:rPr>
                    <w:t>Chefe Departamento de resíduos Sólidos Sanep</w:t>
                  </w:r>
                </w:p>
                <w:p>
                  <w:pPr>
                    <w:pStyle w:val="Normal"/>
                    <w:widowControl w:val="false"/>
                    <w:spacing w:lineRule="auto" w:line="240" w:before="0" w:after="0"/>
                    <w:jc w:val="center"/>
                    <w:rPr/>
                  </w:pPr>
                  <w:r>
                    <w:rPr>
                      <w:rFonts w:cs="Arial" w:ascii="Arial" w:hAnsi="Arial"/>
                      <w:sz w:val="22"/>
                      <w:szCs w:val="22"/>
                    </w:rPr>
                    <w:t>Matrícula – 40001313</w:t>
                  </w:r>
                </w:p>
              </w:tc>
              <w:tc>
                <w:tcPr>
                  <w:tcW w:w="4417" w:type="dxa"/>
                  <w:tcBorders/>
                </w:tcPr>
                <w:p>
                  <w:pPr>
                    <w:pStyle w:val="Normal"/>
                    <w:widowControl w:val="false"/>
                    <w:spacing w:lineRule="auto" w:line="240" w:before="0" w:after="0"/>
                    <w:jc w:val="center"/>
                    <w:rPr>
                      <w:rFonts w:ascii="Arial" w:hAnsi="Arial"/>
                      <w:sz w:val="22"/>
                      <w:szCs w:val="22"/>
                    </w:rPr>
                  </w:pPr>
                  <w:r>
                    <w:rPr>
                      <w:rFonts w:ascii="Arial" w:hAnsi="Arial"/>
                      <w:sz w:val="22"/>
                      <w:szCs w:val="22"/>
                    </w:rPr>
                  </w:r>
                </w:p>
                <w:p>
                  <w:pPr>
                    <w:pStyle w:val="Normal"/>
                    <w:widowControl w:val="false"/>
                    <w:spacing w:lineRule="auto" w:line="240" w:before="0" w:after="0"/>
                    <w:jc w:val="center"/>
                    <w:rPr/>
                  </w:pPr>
                  <w:r>
                    <w:rPr>
                      <w:rFonts w:cs="Arial" w:ascii="Arial" w:hAnsi="Arial"/>
                      <w:sz w:val="22"/>
                      <w:szCs w:val="22"/>
                    </w:rPr>
                    <w:t>_________________________</w:t>
                  </w:r>
                </w:p>
                <w:p>
                  <w:pPr>
                    <w:pStyle w:val="Normal"/>
                    <w:widowControl w:val="false"/>
                    <w:spacing w:lineRule="auto" w:line="240" w:before="0" w:after="0"/>
                    <w:jc w:val="center"/>
                    <w:rPr/>
                  </w:pPr>
                  <w:r>
                    <w:rPr>
                      <w:rFonts w:cs="Arial" w:ascii="Arial" w:hAnsi="Arial"/>
                      <w:sz w:val="22"/>
                      <w:szCs w:val="22"/>
                    </w:rPr>
                    <w:t>Margarida Maria Chagas de Araújo</w:t>
                  </w:r>
                </w:p>
                <w:p>
                  <w:pPr>
                    <w:pStyle w:val="Normal"/>
                    <w:widowControl w:val="false"/>
                    <w:spacing w:lineRule="auto" w:line="240" w:before="0" w:after="0"/>
                    <w:jc w:val="center"/>
                    <w:rPr>
                      <w:rFonts w:ascii="Arial" w:hAnsi="Arial" w:cs="Arial"/>
                      <w:sz w:val="22"/>
                      <w:szCs w:val="22"/>
                    </w:rPr>
                  </w:pPr>
                  <w:r>
                    <w:rPr>
                      <w:rFonts w:cs="Arial" w:ascii="Arial" w:hAnsi="Arial"/>
                      <w:sz w:val="22"/>
                      <w:szCs w:val="22"/>
                    </w:rPr>
                    <w:t>Chefe Divisão de resíduos Sólidos</w:t>
                  </w:r>
                </w:p>
                <w:p>
                  <w:pPr>
                    <w:pStyle w:val="Normal"/>
                    <w:widowControl w:val="false"/>
                    <w:spacing w:lineRule="auto" w:line="240" w:before="0" w:after="0"/>
                    <w:jc w:val="center"/>
                    <w:rPr>
                      <w:rFonts w:ascii="Arial" w:hAnsi="Arial" w:cs="Arial"/>
                      <w:sz w:val="22"/>
                      <w:szCs w:val="22"/>
                    </w:rPr>
                  </w:pPr>
                  <w:r>
                    <w:rPr>
                      <w:rFonts w:cs="Arial" w:ascii="Arial" w:hAnsi="Arial"/>
                      <w:sz w:val="22"/>
                      <w:szCs w:val="22"/>
                    </w:rPr>
                    <w:t>Sanep</w:t>
                  </w:r>
                </w:p>
                <w:p>
                  <w:pPr>
                    <w:pStyle w:val="Normal"/>
                    <w:widowControl w:val="false"/>
                    <w:spacing w:lineRule="auto" w:line="240" w:before="0" w:after="0"/>
                    <w:jc w:val="center"/>
                    <w:rPr/>
                  </w:pPr>
                  <w:r>
                    <w:rPr>
                      <w:rFonts w:eastAsia="Calibri" w:cs="Arial" w:ascii="Arial" w:hAnsi="Arial"/>
                      <w:b w:val="false"/>
                      <w:bCs w:val="false"/>
                      <w:color w:val="auto"/>
                      <w:kern w:val="2"/>
                      <w:sz w:val="22"/>
                      <w:szCs w:val="22"/>
                      <w:lang w:val="pt-BR" w:eastAsia="en-US" w:bidi="ar-SA"/>
                    </w:rPr>
                    <w:t>Matrícula – 40002143</w:t>
                  </w:r>
                </w:p>
              </w:tc>
            </w:tr>
            <w:tr>
              <w:trPr/>
              <w:tc>
                <w:tcPr>
                  <w:tcW w:w="4417" w:type="dxa"/>
                  <w:tcBorders/>
                </w:tcPr>
                <w:p>
                  <w:pPr>
                    <w:pStyle w:val="Normal"/>
                    <w:widowControl w:val="false"/>
                    <w:spacing w:lineRule="auto" w:line="240" w:before="0" w:after="0"/>
                    <w:jc w:val="center"/>
                    <w:rPr>
                      <w:rFonts w:ascii="Arial" w:hAnsi="Arial" w:cs="Arial"/>
                      <w:b/>
                      <w:bCs/>
                      <w:sz w:val="22"/>
                      <w:szCs w:val="22"/>
                    </w:rPr>
                  </w:pPr>
                  <w:r>
                    <w:rPr>
                      <w:rFonts w:cs="Arial" w:ascii="Arial" w:hAnsi="Arial"/>
                      <w:b/>
                      <w:bCs/>
                      <w:sz w:val="22"/>
                      <w:szCs w:val="22"/>
                    </w:rPr>
                  </w:r>
                </w:p>
              </w:tc>
              <w:tc>
                <w:tcPr>
                  <w:tcW w:w="4417" w:type="dxa"/>
                  <w:tcBorders/>
                </w:tcPr>
                <w:p>
                  <w:pPr>
                    <w:pStyle w:val="Normal"/>
                    <w:widowControl w:val="false"/>
                    <w:spacing w:lineRule="auto" w:line="240" w:before="0" w:after="0"/>
                    <w:jc w:val="center"/>
                    <w:rPr>
                      <w:rFonts w:ascii="Arial" w:hAnsi="Arial" w:cs="Arial"/>
                      <w:b/>
                      <w:bCs/>
                      <w:sz w:val="22"/>
                      <w:szCs w:val="22"/>
                    </w:rPr>
                  </w:pPr>
                  <w:r>
                    <w:rPr>
                      <w:rFonts w:cs="Arial" w:ascii="Arial" w:hAnsi="Arial"/>
                      <w:b/>
                      <w:bCs/>
                      <w:sz w:val="22"/>
                      <w:szCs w:val="22"/>
                    </w:rPr>
                  </w:r>
                </w:p>
              </w:tc>
            </w:tr>
          </w:tbl>
          <w:p>
            <w:pPr>
              <w:pStyle w:val="Normal"/>
              <w:widowControl w:val="false"/>
              <w:spacing w:lineRule="auto" w:line="360" w:before="0" w:after="0"/>
              <w:jc w:val="both"/>
              <w:rPr>
                <w:rFonts w:ascii="Arial" w:hAnsi="Arial" w:cs="Arial"/>
                <w:sz w:val="22"/>
                <w:szCs w:val="22"/>
              </w:rPr>
            </w:pPr>
            <w:r>
              <w:rPr>
                <w:rFonts w:cs="Arial" w:ascii="Arial" w:hAnsi="Arial"/>
                <w:sz w:val="22"/>
                <w:szCs w:val="22"/>
              </w:rPr>
            </w:r>
          </w:p>
        </w:tc>
      </w:tr>
    </w:tbl>
    <w:p>
      <w:pPr>
        <w:pStyle w:val="Normal"/>
        <w:spacing w:before="0" w:after="160"/>
        <w:jc w:val="both"/>
        <w:rPr>
          <w:sz w:val="24"/>
          <w:szCs w:val="24"/>
        </w:rPr>
      </w:pPr>
      <w:r>
        <w:rPr>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550" w:leader="none"/>
        <w:tab w:val="left" w:pos="5818" w:leader="none"/>
      </w:tabs>
      <w:spacing w:before="0" w:after="0"/>
      <w:jc w:val="center"/>
      <w:rPr>
        <w:color w:themeColor="text2" w:themeShade="80" w:val="222A35"/>
        <w:sz w:val="24"/>
        <w:szCs w:val="24"/>
      </w:rPr>
    </w:pPr>
    <w:r>
      <mc:AlternateContent>
        <mc:Choice Requires="wps">
          <w:drawing>
            <wp:anchor behindDoc="1" distT="3175" distB="3175" distL="635" distR="635" simplePos="0" locked="0" layoutInCell="0" allowOverlap="1" relativeHeight="76">
              <wp:simplePos x="0" y="0"/>
              <wp:positionH relativeFrom="margin">
                <wp:align>center</wp:align>
              </wp:positionH>
              <wp:positionV relativeFrom="paragraph">
                <wp:posOffset>-19050</wp:posOffset>
              </wp:positionV>
              <wp:extent cx="6172200" cy="635"/>
              <wp:effectExtent l="635" t="3175" r="635" b="3175"/>
              <wp:wrapNone/>
              <wp:docPr id="5" name="Conector reto 1"/>
              <a:graphic xmlns:a="http://schemas.openxmlformats.org/drawingml/2006/main">
                <a:graphicData uri="http://schemas.microsoft.com/office/word/2010/wordprocessingShape">
                  <wps:wsp>
                    <wps:cNvSpPr/>
                    <wps:spPr>
                      <a:xfrm>
                        <a:off x="0" y="0"/>
                        <a:ext cx="6172200" cy="720"/>
                      </a:xfrm>
                      <a:prstGeom prst="line">
                        <a:avLst/>
                      </a:prstGeom>
                      <a:ln w="6480">
                        <a:solidFill>
                          <a:srgbClr val="afabab"/>
                        </a:solidFill>
                        <a:miter/>
                      </a:ln>
                    </wps:spPr>
                    <wps:style>
                      <a:lnRef idx="0"/>
                      <a:fillRef idx="0"/>
                      <a:effectRef idx="0"/>
                      <a:fontRef idx="minor"/>
                    </wps:style>
                    <wps:bodyPr/>
                  </wps:wsp>
                </a:graphicData>
              </a:graphic>
            </wp:anchor>
          </w:drawing>
        </mc:Choice>
        <mc:Fallback>
          <w:pict>
            <v:line id="shape_0" from="-16.25pt,-1.5pt" to="469.7pt,-1.5pt" ID="Conector reto 1" stroked="t" o:allowincell="f" style="position:absolute;mso-position-horizontal:center;mso-position-horizontal-relative:margin">
              <v:stroke color="#afabab" weight="6480" joinstyle="miter" endcap="flat"/>
              <v:fill o:detectmouseclick="t" on="false"/>
              <w10:wrap type="none"/>
            </v:line>
          </w:pict>
        </mc:Fallback>
      </mc:AlternateContent>
    </w:r>
    <w:r>
      <w:rPr>
        <w:rFonts w:cs="Arial" w:ascii="Arial" w:hAnsi="Arial"/>
        <w:sz w:val="16"/>
        <w:szCs w:val="16"/>
      </w:rPr>
      <w:t xml:space="preserve">Rua Lobo da Costa, 585 – Bairro Centro – Pelotas/RS – CEP 96010-902 – Fone: (53) 3026-1139 – Página </w:t>
    </w:r>
    <w:r>
      <w:rPr>
        <w:rFonts w:cs="Arial" w:ascii="Arial" w:hAnsi="Arial"/>
        <w:sz w:val="16"/>
        <w:szCs w:val="16"/>
      </w:rPr>
      <w:fldChar w:fldCharType="begin"/>
    </w:r>
    <w:r>
      <w:rPr>
        <w:sz w:val="16"/>
        <w:szCs w:val="16"/>
        <w:rFonts w:cs="Arial" w:ascii="Arial" w:hAnsi="Arial"/>
      </w:rPr>
      <w:instrText xml:space="preserve"> PAGE </w:instrText>
    </w:r>
    <w:r>
      <w:rPr>
        <w:sz w:val="16"/>
        <w:szCs w:val="16"/>
        <w:rFonts w:cs="Arial" w:ascii="Arial" w:hAnsi="Arial"/>
      </w:rPr>
      <w:fldChar w:fldCharType="separate"/>
    </w:r>
    <w:r>
      <w:rPr>
        <w:sz w:val="16"/>
        <w:szCs w:val="16"/>
        <w:rFonts w:cs="Arial" w:ascii="Arial" w:hAnsi="Arial"/>
      </w:rPr>
      <w:t>25</w:t>
    </w:r>
    <w:r>
      <w:rPr>
        <w:sz w:val="16"/>
        <w:szCs w:val="16"/>
        <w:rFonts w:cs="Arial" w:ascii="Arial" w:hAnsi="Arial"/>
      </w:rPr>
      <w:fldChar w:fldCharType="end"/>
    </w:r>
    <w:r>
      <w:rPr>
        <w:rFonts w:cs="Arial" w:ascii="Arial" w:hAnsi="Arial"/>
        <w:sz w:val="16"/>
        <w:szCs w:val="16"/>
      </w:rPr>
      <w:t xml:space="preserve"> de </w:t>
    </w:r>
    <w:r>
      <w:rPr>
        <w:rFonts w:cs="Arial" w:ascii="Arial" w:hAnsi="Arial"/>
        <w:sz w:val="16"/>
        <w:szCs w:val="16"/>
      </w:rPr>
      <w:fldChar w:fldCharType="begin"/>
    </w:r>
    <w:r>
      <w:rPr>
        <w:sz w:val="16"/>
        <w:szCs w:val="16"/>
        <w:rFonts w:cs="Arial" w:ascii="Arial" w:hAnsi="Arial"/>
      </w:rPr>
      <w:instrText xml:space="preserve"> NUMPAGES </w:instrText>
    </w:r>
    <w:r>
      <w:rPr>
        <w:sz w:val="16"/>
        <w:szCs w:val="16"/>
        <w:rFonts w:cs="Arial" w:ascii="Arial" w:hAnsi="Arial"/>
      </w:rPr>
      <w:fldChar w:fldCharType="separate"/>
    </w:r>
    <w:r>
      <w:rPr>
        <w:sz w:val="16"/>
        <w:szCs w:val="16"/>
        <w:rFonts w:cs="Arial" w:ascii="Arial" w:hAnsi="Arial"/>
      </w:rPr>
      <w:t>25</w:t>
    </w:r>
    <w:r>
      <w:rPr>
        <w:sz w:val="16"/>
        <w:szCs w:val="16"/>
        <w:rFonts w:cs="Arial" w:ascii="Arial" w:hAnsi="Arial"/>
      </w:rPr>
      <w:fldChar w:fldCharType="end"/>
    </w:r>
  </w:p>
  <w:p>
    <w:pPr>
      <w:pStyle w:val="Footer"/>
      <w:jc w:val="center"/>
      <w:rPr>
        <w:rFonts w:ascii="Arial" w:hAnsi="Arial" w:cs="Arial"/>
        <w:sz w:val="16"/>
        <w:szCs w:val="16"/>
      </w:rPr>
    </w:pPr>
    <w:r>
      <w:rPr>
        <w:rFonts w:cs="Arial" w:ascii="Arial" w:hAnsi="Arial"/>
        <w:sz w:val="16"/>
        <w:szCs w:val="16"/>
      </w:rPr>
      <w:t>Departamento de Materiais/Divisão de Compras e Licitações – E-mail: sanepcompras.licitação@gmail.com</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550" w:leader="none"/>
        <w:tab w:val="left" w:pos="5818" w:leader="none"/>
      </w:tabs>
      <w:spacing w:before="0" w:after="0"/>
      <w:jc w:val="center"/>
      <w:rPr>
        <w:color w:themeColor="text2" w:themeShade="80" w:val="222A35"/>
        <w:sz w:val="24"/>
        <w:szCs w:val="24"/>
      </w:rPr>
    </w:pPr>
    <w:r>
      <mc:AlternateContent>
        <mc:Choice Requires="wps">
          <w:drawing>
            <wp:anchor behindDoc="1" distT="3175" distB="3175" distL="635" distR="635" simplePos="0" locked="0" layoutInCell="0" allowOverlap="1" relativeHeight="76">
              <wp:simplePos x="0" y="0"/>
              <wp:positionH relativeFrom="margin">
                <wp:align>center</wp:align>
              </wp:positionH>
              <wp:positionV relativeFrom="paragraph">
                <wp:posOffset>-19050</wp:posOffset>
              </wp:positionV>
              <wp:extent cx="6172200" cy="635"/>
              <wp:effectExtent l="635" t="3175" r="635" b="3175"/>
              <wp:wrapNone/>
              <wp:docPr id="6" name="Conector reto 1"/>
              <a:graphic xmlns:a="http://schemas.openxmlformats.org/drawingml/2006/main">
                <a:graphicData uri="http://schemas.microsoft.com/office/word/2010/wordprocessingShape">
                  <wps:wsp>
                    <wps:cNvSpPr/>
                    <wps:spPr>
                      <a:xfrm>
                        <a:off x="0" y="0"/>
                        <a:ext cx="6172200" cy="720"/>
                      </a:xfrm>
                      <a:prstGeom prst="line">
                        <a:avLst/>
                      </a:prstGeom>
                      <a:ln w="6480">
                        <a:solidFill>
                          <a:srgbClr val="afabab"/>
                        </a:solidFill>
                        <a:miter/>
                      </a:ln>
                    </wps:spPr>
                    <wps:style>
                      <a:lnRef idx="0"/>
                      <a:fillRef idx="0"/>
                      <a:effectRef idx="0"/>
                      <a:fontRef idx="minor"/>
                    </wps:style>
                    <wps:bodyPr/>
                  </wps:wsp>
                </a:graphicData>
              </a:graphic>
            </wp:anchor>
          </w:drawing>
        </mc:Choice>
        <mc:Fallback>
          <w:pict>
            <v:line id="shape_0" from="-16.25pt,-1.5pt" to="469.7pt,-1.5pt" ID="Conector reto 1" stroked="t" o:allowincell="f" style="position:absolute;mso-position-horizontal:center;mso-position-horizontal-relative:margin">
              <v:stroke color="#afabab" weight="6480" joinstyle="miter" endcap="flat"/>
              <v:fill o:detectmouseclick="t" on="false"/>
              <w10:wrap type="none"/>
            </v:line>
          </w:pict>
        </mc:Fallback>
      </mc:AlternateContent>
    </w:r>
    <w:r>
      <w:rPr>
        <w:rFonts w:cs="Arial" w:ascii="Arial" w:hAnsi="Arial"/>
        <w:sz w:val="16"/>
        <w:szCs w:val="16"/>
      </w:rPr>
      <w:t xml:space="preserve">Rua Lobo da Costa, 585 – Bairro Centro – Pelotas/RS – CEP 96010-902 – Fone: (53) 3026-1139 – Página </w:t>
    </w:r>
    <w:r>
      <w:rPr>
        <w:rFonts w:cs="Arial" w:ascii="Arial" w:hAnsi="Arial"/>
        <w:sz w:val="16"/>
        <w:szCs w:val="16"/>
      </w:rPr>
      <w:fldChar w:fldCharType="begin"/>
    </w:r>
    <w:r>
      <w:rPr>
        <w:sz w:val="16"/>
        <w:szCs w:val="16"/>
        <w:rFonts w:cs="Arial" w:ascii="Arial" w:hAnsi="Arial"/>
      </w:rPr>
      <w:instrText xml:space="preserve"> PAGE </w:instrText>
    </w:r>
    <w:r>
      <w:rPr>
        <w:sz w:val="16"/>
        <w:szCs w:val="16"/>
        <w:rFonts w:cs="Arial" w:ascii="Arial" w:hAnsi="Arial"/>
      </w:rPr>
      <w:fldChar w:fldCharType="separate"/>
    </w:r>
    <w:r>
      <w:rPr>
        <w:sz w:val="16"/>
        <w:szCs w:val="16"/>
        <w:rFonts w:cs="Arial" w:ascii="Arial" w:hAnsi="Arial"/>
      </w:rPr>
      <w:t>25</w:t>
    </w:r>
    <w:r>
      <w:rPr>
        <w:sz w:val="16"/>
        <w:szCs w:val="16"/>
        <w:rFonts w:cs="Arial" w:ascii="Arial" w:hAnsi="Arial"/>
      </w:rPr>
      <w:fldChar w:fldCharType="end"/>
    </w:r>
    <w:r>
      <w:rPr>
        <w:rFonts w:cs="Arial" w:ascii="Arial" w:hAnsi="Arial"/>
        <w:sz w:val="16"/>
        <w:szCs w:val="16"/>
      </w:rPr>
      <w:t xml:space="preserve"> de </w:t>
    </w:r>
    <w:r>
      <w:rPr>
        <w:rFonts w:cs="Arial" w:ascii="Arial" w:hAnsi="Arial"/>
        <w:sz w:val="16"/>
        <w:szCs w:val="16"/>
      </w:rPr>
      <w:fldChar w:fldCharType="begin"/>
    </w:r>
    <w:r>
      <w:rPr>
        <w:sz w:val="16"/>
        <w:szCs w:val="16"/>
        <w:rFonts w:cs="Arial" w:ascii="Arial" w:hAnsi="Arial"/>
      </w:rPr>
      <w:instrText xml:space="preserve"> NUMPAGES </w:instrText>
    </w:r>
    <w:r>
      <w:rPr>
        <w:sz w:val="16"/>
        <w:szCs w:val="16"/>
        <w:rFonts w:cs="Arial" w:ascii="Arial" w:hAnsi="Arial"/>
      </w:rPr>
      <w:fldChar w:fldCharType="separate"/>
    </w:r>
    <w:r>
      <w:rPr>
        <w:sz w:val="16"/>
        <w:szCs w:val="16"/>
        <w:rFonts w:cs="Arial" w:ascii="Arial" w:hAnsi="Arial"/>
      </w:rPr>
      <w:t>25</w:t>
    </w:r>
    <w:r>
      <w:rPr>
        <w:sz w:val="16"/>
        <w:szCs w:val="16"/>
        <w:rFonts w:cs="Arial" w:ascii="Arial" w:hAnsi="Arial"/>
      </w:rPr>
      <w:fldChar w:fldCharType="end"/>
    </w:r>
  </w:p>
  <w:p>
    <w:pPr>
      <w:pStyle w:val="Footer"/>
      <w:jc w:val="center"/>
      <w:rPr>
        <w:rFonts w:ascii="Arial" w:hAnsi="Arial" w:cs="Arial"/>
        <w:sz w:val="16"/>
        <w:szCs w:val="16"/>
      </w:rPr>
    </w:pPr>
    <w:r>
      <w:rPr>
        <w:rFonts w:cs="Arial" w:ascii="Arial" w:hAnsi="Arial"/>
        <w:sz w:val="16"/>
        <w:szCs w:val="16"/>
      </w:rPr>
      <w:t>Departamento de Materiais/Divisão de Compras e Licitações – E-mail: sanepcompras.licitação@gmail.com</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Arial" w:hAnsi="Arial" w:cs="Arial"/>
        <w:b/>
        <w:bCs/>
        <w:sz w:val="20"/>
        <w:szCs w:val="20"/>
      </w:rPr>
    </w:pPr>
    <w:r>
      <w:rPr/>
      <w:drawing>
        <wp:inline distT="0" distB="0" distL="0" distR="0">
          <wp:extent cx="1522095" cy="518795"/>
          <wp:effectExtent l="0" t="0" r="0" b="0"/>
          <wp:docPr id="1"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9" descr=""/>
                  <pic:cNvPicPr>
                    <a:picLocks noChangeAspect="1" noChangeArrowheads="1"/>
                  </pic:cNvPicPr>
                </pic:nvPicPr>
                <pic:blipFill>
                  <a:blip r:embed="rId1"/>
                  <a:srcRect l="-2147" t="-5605" r="-2147" b="-5605"/>
                  <a:stretch>
                    <a:fillRect/>
                  </a:stretch>
                </pic:blipFill>
                <pic:spPr bwMode="auto">
                  <a:xfrm>
                    <a:off x="0" y="0"/>
                    <a:ext cx="1522095" cy="518795"/>
                  </a:xfrm>
                  <a:prstGeom prst="rect">
                    <a:avLst/>
                  </a:prstGeom>
                  <a:noFill/>
                </pic:spPr>
              </pic:pic>
            </a:graphicData>
          </a:graphic>
        </wp:inline>
      </w:drawing>
    </w:r>
    <w:r>
      <w:drawing>
        <wp:anchor behindDoc="1" distT="0" distB="0" distL="0" distR="0" simplePos="0" locked="0" layoutInCell="0" allowOverlap="1" relativeHeight="51">
          <wp:simplePos x="0" y="0"/>
          <wp:positionH relativeFrom="column">
            <wp:posOffset>3968750</wp:posOffset>
          </wp:positionH>
          <wp:positionV relativeFrom="paragraph">
            <wp:posOffset>41275</wp:posOffset>
          </wp:positionV>
          <wp:extent cx="1736090" cy="435610"/>
          <wp:effectExtent l="0" t="0" r="0" b="0"/>
          <wp:wrapSquare wrapText="largest"/>
          <wp:docPr id="2" name="Figura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Copia 1" descr=""/>
                  <pic:cNvPicPr>
                    <a:picLocks noChangeAspect="1" noChangeArrowheads="1"/>
                  </pic:cNvPicPr>
                </pic:nvPicPr>
                <pic:blipFill>
                  <a:blip r:embed="rId2"/>
                  <a:srcRect l="-1197" t="-4342" r="-1197" b="-4342"/>
                  <a:stretch>
                    <a:fillRect/>
                  </a:stretch>
                </pic:blipFill>
                <pic:spPr bwMode="auto">
                  <a:xfrm>
                    <a:off x="0" y="0"/>
                    <a:ext cx="1736090" cy="435610"/>
                  </a:xfrm>
                  <a:prstGeom prst="rect">
                    <a:avLst/>
                  </a:prstGeom>
                  <a:noFill/>
                </pic:spPr>
              </pic:pic>
            </a:graphicData>
          </a:graphic>
        </wp:anchor>
      </w:drawing>
    </w:r>
    <w:r>
      <w:rPr>
        <w:rFonts w:cs="Arial" w:ascii="Arial" w:hAnsi="Arial"/>
        <w:b/>
        <w:bCs/>
        <w:sz w:val="20"/>
        <w:szCs w:val="20"/>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Arial" w:hAnsi="Arial" w:cs="Arial"/>
        <w:b/>
        <w:bCs/>
        <w:sz w:val="20"/>
        <w:szCs w:val="20"/>
      </w:rPr>
    </w:pPr>
    <w:r>
      <w:rPr/>
      <w:drawing>
        <wp:inline distT="0" distB="0" distL="0" distR="0">
          <wp:extent cx="1522095" cy="518795"/>
          <wp:effectExtent l="0" t="0" r="0" b="0"/>
          <wp:docPr id="3"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9" descr=""/>
                  <pic:cNvPicPr>
                    <a:picLocks noChangeAspect="1" noChangeArrowheads="1"/>
                  </pic:cNvPicPr>
                </pic:nvPicPr>
                <pic:blipFill>
                  <a:blip r:embed="rId1"/>
                  <a:srcRect l="-2147" t="-5605" r="-2147" b="-5605"/>
                  <a:stretch>
                    <a:fillRect/>
                  </a:stretch>
                </pic:blipFill>
                <pic:spPr bwMode="auto">
                  <a:xfrm>
                    <a:off x="0" y="0"/>
                    <a:ext cx="1522095" cy="518795"/>
                  </a:xfrm>
                  <a:prstGeom prst="rect">
                    <a:avLst/>
                  </a:prstGeom>
                  <a:noFill/>
                </pic:spPr>
              </pic:pic>
            </a:graphicData>
          </a:graphic>
        </wp:inline>
      </w:drawing>
    </w:r>
    <w:r>
      <w:drawing>
        <wp:anchor behindDoc="1" distT="0" distB="0" distL="0" distR="0" simplePos="0" locked="0" layoutInCell="0" allowOverlap="1" relativeHeight="51">
          <wp:simplePos x="0" y="0"/>
          <wp:positionH relativeFrom="column">
            <wp:posOffset>3968750</wp:posOffset>
          </wp:positionH>
          <wp:positionV relativeFrom="paragraph">
            <wp:posOffset>41275</wp:posOffset>
          </wp:positionV>
          <wp:extent cx="1736090" cy="435610"/>
          <wp:effectExtent l="0" t="0" r="0" b="0"/>
          <wp:wrapSquare wrapText="largest"/>
          <wp:docPr id="4" name="Figura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Copia 1" descr=""/>
                  <pic:cNvPicPr>
                    <a:picLocks noChangeAspect="1" noChangeArrowheads="1"/>
                  </pic:cNvPicPr>
                </pic:nvPicPr>
                <pic:blipFill>
                  <a:blip r:embed="rId2"/>
                  <a:srcRect l="-1197" t="-4342" r="-1197" b="-4342"/>
                  <a:stretch>
                    <a:fillRect/>
                  </a:stretch>
                </pic:blipFill>
                <pic:spPr bwMode="auto">
                  <a:xfrm>
                    <a:off x="0" y="0"/>
                    <a:ext cx="1736090" cy="435610"/>
                  </a:xfrm>
                  <a:prstGeom prst="rect">
                    <a:avLst/>
                  </a:prstGeom>
                  <a:noFill/>
                </pic:spPr>
              </pic:pic>
            </a:graphicData>
          </a:graphic>
        </wp:anchor>
      </w:drawing>
    </w:r>
    <w:r>
      <w:rPr>
        <w:rFonts w:cs="Arial" w:ascii="Arial" w:hAnsi="Arial"/>
        <w:b/>
        <w:bCs/>
        <w:sz w:val="20"/>
        <w:szCs w:val="20"/>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lowerLetter"/>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1">
    <w:lvl w:ilvl="0">
      <w:start w:val="1"/>
      <w:numFmt w:val="bullet"/>
      <w:lvlText w:val=""/>
      <w:lvlJc w:val="left"/>
      <w:pPr>
        <w:tabs>
          <w:tab w:val="num" w:pos="1135"/>
        </w:tabs>
        <w:ind w:left="1135" w:hanging="360"/>
      </w:pPr>
      <w:rPr>
        <w:rFonts w:ascii="Symbol" w:hAnsi="Symbol" w:cs="Symbol" w:hint="default"/>
      </w:rPr>
    </w:lvl>
    <w:lvl w:ilvl="1">
      <w:start w:val="1"/>
      <w:numFmt w:val="bullet"/>
      <w:lvlText w:val=""/>
      <w:lvlJc w:val="left"/>
      <w:pPr>
        <w:tabs>
          <w:tab w:val="num" w:pos="1495"/>
        </w:tabs>
        <w:ind w:left="1495" w:hanging="360"/>
      </w:pPr>
      <w:rPr>
        <w:rFonts w:ascii="Symbol" w:hAnsi="Symbol" w:cs="Symbol" w:hint="default"/>
      </w:rPr>
    </w:lvl>
    <w:lvl w:ilvl="2">
      <w:start w:val="1"/>
      <w:numFmt w:val="bullet"/>
      <w:lvlText w:val=""/>
      <w:lvlJc w:val="left"/>
      <w:pPr>
        <w:tabs>
          <w:tab w:val="num" w:pos="1855"/>
        </w:tabs>
        <w:ind w:left="1855" w:hanging="360"/>
      </w:pPr>
      <w:rPr>
        <w:rFonts w:ascii="Symbol" w:hAnsi="Symbol" w:cs="Symbol" w:hint="default"/>
      </w:rPr>
    </w:lvl>
    <w:lvl w:ilvl="3">
      <w:start w:val="1"/>
      <w:numFmt w:val="bullet"/>
      <w:lvlText w:val=""/>
      <w:lvlJc w:val="left"/>
      <w:pPr>
        <w:tabs>
          <w:tab w:val="num" w:pos="2215"/>
        </w:tabs>
        <w:ind w:left="2215" w:hanging="360"/>
      </w:pPr>
      <w:rPr>
        <w:rFonts w:ascii="Symbol" w:hAnsi="Symbol" w:cs="Symbol" w:hint="default"/>
      </w:rPr>
    </w:lvl>
    <w:lvl w:ilvl="4">
      <w:start w:val="1"/>
      <w:numFmt w:val="bullet"/>
      <w:lvlText w:val=""/>
      <w:lvlJc w:val="left"/>
      <w:pPr>
        <w:tabs>
          <w:tab w:val="num" w:pos="2575"/>
        </w:tabs>
        <w:ind w:left="2575" w:hanging="360"/>
      </w:pPr>
      <w:rPr>
        <w:rFonts w:ascii="Symbol" w:hAnsi="Symbol" w:cs="Symbol" w:hint="default"/>
      </w:rPr>
    </w:lvl>
    <w:lvl w:ilvl="5">
      <w:start w:val="1"/>
      <w:numFmt w:val="bullet"/>
      <w:lvlText w:val=""/>
      <w:lvlJc w:val="left"/>
      <w:pPr>
        <w:tabs>
          <w:tab w:val="num" w:pos="2935"/>
        </w:tabs>
        <w:ind w:left="2935" w:hanging="360"/>
      </w:pPr>
      <w:rPr>
        <w:rFonts w:ascii="Symbol" w:hAnsi="Symbol" w:cs="Symbol" w:hint="default"/>
      </w:rPr>
    </w:lvl>
    <w:lvl w:ilvl="6">
      <w:start w:val="1"/>
      <w:numFmt w:val="bullet"/>
      <w:lvlText w:val=""/>
      <w:lvlJc w:val="left"/>
      <w:pPr>
        <w:tabs>
          <w:tab w:val="num" w:pos="3295"/>
        </w:tabs>
        <w:ind w:left="3295" w:hanging="360"/>
      </w:pPr>
      <w:rPr>
        <w:rFonts w:ascii="Symbol" w:hAnsi="Symbol" w:cs="Symbol" w:hint="default"/>
      </w:rPr>
    </w:lvl>
    <w:lvl w:ilvl="7">
      <w:start w:val="1"/>
      <w:numFmt w:val="bullet"/>
      <w:lvlText w:val=""/>
      <w:lvlJc w:val="left"/>
      <w:pPr>
        <w:tabs>
          <w:tab w:val="num" w:pos="3655"/>
        </w:tabs>
        <w:ind w:left="3655" w:hanging="360"/>
      </w:pPr>
      <w:rPr>
        <w:rFonts w:ascii="Symbol" w:hAnsi="Symbol" w:cs="Symbol" w:hint="default"/>
      </w:rPr>
    </w:lvl>
    <w:lvl w:ilvl="8">
      <w:start w:val="1"/>
      <w:numFmt w:val="bullet"/>
      <w:lvlText w:val=""/>
      <w:lvlJc w:val="left"/>
      <w:pPr>
        <w:tabs>
          <w:tab w:val="num" w:pos="4015"/>
        </w:tabs>
        <w:ind w:left="4015" w:hanging="360"/>
      </w:pPr>
      <w:rPr>
        <w:rFonts w:ascii="Symbol" w:hAnsi="Symbol" w:cs="Symbol" w:hint="default"/>
      </w:rPr>
    </w:lvl>
  </w:abstractNum>
  <w:abstractNum w:abstractNumId="2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t-B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pt-BR" w:eastAsia="en-US" w:bidi="ar-SA"/>
      <w14:ligatures w14:val="standardContextual"/>
    </w:rPr>
  </w:style>
  <w:style w:type="paragraph" w:styleId="Heading1">
    <w:name w:val="heading 1"/>
    <w:basedOn w:val="Ttulouser"/>
    <w:next w:val="BodyText"/>
    <w:qFormat/>
    <w:pPr>
      <w:spacing w:before="240" w:after="120"/>
      <w:outlineLvl w:val="0"/>
    </w:pPr>
    <w:rPr>
      <w:rFonts w:ascii="Liberation Serif" w:hAnsi="Liberation Serif" w:eastAsia="Segoe UI" w:cs="Tahoma"/>
      <w:b/>
      <w:bCs/>
      <w:sz w:val="48"/>
      <w:szCs w:val="48"/>
    </w:rPr>
  </w:style>
  <w:style w:type="paragraph" w:styleId="Heading2">
    <w:name w:val="heading 2"/>
    <w:basedOn w:val="Ttulouser"/>
    <w:next w:val="BodyText"/>
    <w:qFormat/>
    <w:pPr>
      <w:spacing w:before="200" w:after="120"/>
      <w:outlineLvl w:val="1"/>
    </w:pPr>
    <w:rPr>
      <w:rFonts w:ascii="Liberation Serif" w:hAnsi="Liberation Serif" w:eastAsia="Segoe UI" w:cs="Tahoma"/>
      <w:b/>
      <w:bCs/>
      <w:sz w:val="36"/>
      <w:szCs w:val="36"/>
    </w:rPr>
  </w:style>
  <w:style w:type="paragraph" w:styleId="Heading3">
    <w:name w:val="heading 3"/>
    <w:basedOn w:val="Title"/>
    <w:next w:val="BodyText"/>
    <w:qFormat/>
    <w:pPr>
      <w:spacing w:before="140" w:after="120"/>
      <w:outlineLvl w:val="2"/>
    </w:pPr>
    <w:rPr>
      <w:rFonts w:ascii="Liberation Serif" w:hAnsi="Liberation Serif" w:eastAsia="Segoe UI" w:cs="Tahoma"/>
      <w:b/>
      <w:bCs/>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215895"/>
    <w:rPr/>
  </w:style>
  <w:style w:type="character" w:styleId="RodapChar" w:customStyle="1">
    <w:name w:val="Rodapé Char"/>
    <w:basedOn w:val="DefaultParagraphFont"/>
    <w:uiPriority w:val="99"/>
    <w:qFormat/>
    <w:rsid w:val="00215895"/>
    <w:rPr/>
  </w:style>
  <w:style w:type="character" w:styleId="Hyperlink">
    <w:name w:val="Hyperlink"/>
    <w:basedOn w:val="DefaultParagraphFont"/>
    <w:uiPriority w:val="99"/>
    <w:unhideWhenUsed/>
    <w:rsid w:val="00e24ddd"/>
    <w:rPr>
      <w:color w:themeColor="hyperlink" w:val="0563C1"/>
      <w:u w:val="single"/>
    </w:rPr>
  </w:style>
  <w:style w:type="character" w:styleId="UnresolvedMention">
    <w:name w:val="Unresolved Mention"/>
    <w:basedOn w:val="DefaultParagraphFont"/>
    <w:uiPriority w:val="99"/>
    <w:semiHidden/>
    <w:unhideWhenUsed/>
    <w:qFormat/>
    <w:rsid w:val="00e24ddd"/>
    <w:rPr>
      <w:color w:val="605E5C"/>
      <w:shd w:fill="E1DFDD" w:val="clear"/>
    </w:rPr>
  </w:style>
  <w:style w:type="character" w:styleId="Strong">
    <w:name w:val="Strong"/>
    <w:qFormat/>
    <w:rPr>
      <w:b/>
      <w:bCs/>
    </w:rPr>
  </w:style>
  <w:style w:type="character" w:styleId="Marcadoresuser">
    <w:name w:val="Marcadores (user)"/>
    <w:qFormat/>
    <w:rPr>
      <w:rFonts w:ascii="OpenSymbol" w:hAnsi="OpenSymbol" w:eastAsia="OpenSymbol" w:cs="OpenSymbol"/>
    </w:rPr>
  </w:style>
  <w:style w:type="character" w:styleId="Smbolosdenumeraouser">
    <w:name w:val="Símbolos de numeração (user)"/>
    <w:qFormat/>
    <w:rPr/>
  </w:style>
  <w:style w:type="character" w:styleId="Emphasis">
    <w:name w:val="Emphasis"/>
    <w:qFormat/>
    <w:rPr>
      <w:i/>
      <w:iC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ption1">
    <w:name w:val="caption1"/>
    <w:basedOn w:val="Normal"/>
    <w:qFormat/>
    <w:pPr>
      <w:suppressLineNumbers/>
      <w:spacing w:before="120" w:after="120"/>
    </w:pPr>
    <w:rPr>
      <w:rFonts w:cs="Arial"/>
      <w:i/>
      <w:iCs/>
      <w:sz w:val="24"/>
      <w:szCs w:val="24"/>
    </w:rPr>
  </w:style>
  <w:style w:type="paragraph" w:styleId="caption11">
    <w:name w:val="caption11"/>
    <w:basedOn w:val="Normal"/>
    <w:qFormat/>
    <w:pPr>
      <w:suppressLineNumbers/>
      <w:spacing w:before="120" w:after="120"/>
    </w:pPr>
    <w:rPr>
      <w:rFonts w:cs="Arial"/>
      <w:i/>
      <w:iCs/>
      <w:sz w:val="24"/>
      <w:szCs w:val="24"/>
    </w:rPr>
  </w:style>
  <w:style w:type="paragraph" w:styleId="caption111">
    <w:name w:val="caption111"/>
    <w:basedOn w:val="Normal"/>
    <w:qFormat/>
    <w:pPr>
      <w:suppressLineNumbers/>
      <w:spacing w:before="120" w:after="120"/>
    </w:pPr>
    <w:rPr>
      <w:rFonts w:cs="Arial"/>
      <w:i/>
      <w:iCs/>
      <w:sz w:val="24"/>
      <w:szCs w:val="24"/>
    </w:rPr>
  </w:style>
  <w:style w:type="paragraph" w:styleId="caption1111">
    <w:name w:val="caption1111"/>
    <w:basedOn w:val="Normal"/>
    <w:qFormat/>
    <w:pPr>
      <w:suppressLineNumbers/>
      <w:spacing w:before="120" w:after="120"/>
    </w:pPr>
    <w:rPr>
      <w:rFonts w:cs="Lucida Sans"/>
      <w:i/>
      <w:iCs/>
      <w:sz w:val="24"/>
      <w:szCs w:val="24"/>
    </w:rPr>
  </w:style>
  <w:style w:type="paragraph" w:styleId="Cabealhoerodapuser">
    <w:name w:val="Cabeçalho e rodapé (user)"/>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
    <w:name w:val="Cabeçalho e rodapé"/>
    <w:basedOn w:val="Normal"/>
    <w:qFormat/>
    <w:pPr/>
    <w:rPr/>
  </w:style>
  <w:style w:type="paragraph" w:styleId="Header">
    <w:name w:val="header"/>
    <w:basedOn w:val="Normal"/>
    <w:link w:val="CabealhoChar"/>
    <w:uiPriority w:val="99"/>
    <w:unhideWhenUsed/>
    <w:rsid w:val="00215895"/>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215895"/>
    <w:pPr>
      <w:tabs>
        <w:tab w:val="clear" w:pos="708"/>
        <w:tab w:val="center" w:pos="4252" w:leader="none"/>
        <w:tab w:val="right" w:pos="8504" w:leader="none"/>
      </w:tabs>
      <w:spacing w:lineRule="auto" w:line="240" w:before="0" w:after="0"/>
    </w:pPr>
    <w:rPr/>
  </w:style>
  <w:style w:type="paragraph" w:styleId="ListParagraph">
    <w:name w:val="List Paragraph"/>
    <w:basedOn w:val="Normal"/>
    <w:qFormat/>
    <w:rsid w:val="00c044f5"/>
    <w:pPr>
      <w:spacing w:before="0" w:after="160"/>
      <w:ind w:left="720"/>
      <w:contextualSpacing/>
    </w:pPr>
    <w:rPr/>
  </w:style>
  <w:style w:type="paragraph" w:styleId="Default" w:customStyle="1">
    <w:name w:val="Default"/>
    <w:qFormat/>
    <w:rsid w:val="00c044f5"/>
    <w:pPr>
      <w:widowControl/>
      <w:suppressAutoHyphens w:val="true"/>
      <w:bidi w:val="0"/>
      <w:spacing w:before="0" w:after="0"/>
      <w:jc w:val="left"/>
    </w:pPr>
    <w:rPr>
      <w:rFonts w:ascii="Times New Roman" w:hAnsi="Times New Roman" w:eastAsia="Calibri" w:cs="Times New Roman"/>
      <w:color w:val="000000"/>
      <w:kern w:val="0"/>
      <w:sz w:val="24"/>
      <w:szCs w:val="24"/>
      <w:lang w:val="pt-BR" w:eastAsia="en-US" w:bidi="ar-SA"/>
    </w:rPr>
  </w:style>
  <w:style w:type="paragraph" w:styleId="Textbody" w:customStyle="1">
    <w:name w:val="Text body"/>
    <w:basedOn w:val="Normal"/>
    <w:qFormat/>
    <w:rsid w:val="00377dc2"/>
    <w:pPr>
      <w:spacing w:lineRule="auto" w:line="276" w:before="0" w:after="140"/>
      <w:ind w:hanging="10" w:left="10" w:right="16"/>
      <w:jc w:val="both"/>
      <w:textAlignment w:val="baseline"/>
    </w:pPr>
    <w:rPr>
      <w:rFonts w:ascii="Liberation Serif" w:hAnsi="Liberation Serif" w:eastAsia="Liberation Serif" w:cs="Liberation Serif"/>
      <w:color w:val="000000"/>
      <w:kern w:val="0"/>
      <w:sz w:val="24"/>
      <w:lang w:eastAsia="pt-B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Standard" w:customStyle="1">
    <w:name w:val="Standard"/>
    <w:qFormat/>
    <w:pPr>
      <w:widowControl/>
      <w:suppressAutoHyphens w:val="true"/>
      <w:overflowPunct w:val="false"/>
      <w:bidi w:val="0"/>
      <w:spacing w:lineRule="auto" w:line="288" w:before="0" w:after="60"/>
      <w:ind w:left="811"/>
      <w:jc w:val="both"/>
    </w:pPr>
    <w:rPr>
      <w:rFonts w:ascii="Arial" w:hAnsi="Arial" w:eastAsia="Times New Roman" w:cs="Arial"/>
      <w:color w:val="auto"/>
      <w:kern w:val="2"/>
      <w:sz w:val="22"/>
      <w:szCs w:val="20"/>
      <w:lang w:val="pt-BR" w:eastAsia="zh-CN" w:bidi="ar-SA"/>
      <w14:ligatures w14:val="standardContextual"/>
    </w:rPr>
  </w:style>
  <w:style w:type="paragraph" w:styleId="Linhahorizontaluser">
    <w:name w:val="Linha horizontal (user)"/>
    <w:basedOn w:val="Normal"/>
    <w:next w:val="BodyText"/>
    <w:qFormat/>
    <w:pPr>
      <w:suppressLineNumbers/>
      <w:pBdr>
        <w:bottom w:val="double" w:sz="2" w:space="0" w:color="808080"/>
      </w:pBdr>
      <w:spacing w:before="0" w:after="283"/>
    </w:pPr>
    <w:rPr>
      <w:sz w:val="12"/>
      <w:szCs w:val="12"/>
    </w:rPr>
  </w:style>
  <w:style w:type="paragraph" w:styleId="FootnoteText">
    <w:name w:val="footnote text"/>
    <w:basedOn w:val="Normal"/>
    <w:pPr>
      <w:widowControl w:val="false"/>
      <w:tabs>
        <w:tab w:val="clear" w:pos="708"/>
        <w:tab w:val="left" w:pos="851" w:leader="none"/>
      </w:tabs>
      <w:ind w:firstLine="567" w:left="0" w:right="0"/>
    </w:pPr>
    <w:rPr>
      <w:rFonts w:ascii="Arial" w:hAnsi="Arial" w:cs="Arial"/>
      <w:b/>
      <w:bCs/>
      <w:sz w:val="20"/>
      <w:szCs w:val="2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44f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10317-8BE9-4EC5-BFBE-6C29F2FA4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2690</TotalTime>
  <Application>LibreOffice/25.2.7.2$Windows_X86_64 LibreOffice_project/5cbfd1ab6520636bb5f7b99185aa69bd7456825d</Application>
  <AppVersion>15.0000</AppVersion>
  <Pages>25</Pages>
  <Words>6601</Words>
  <Characters>37890</Characters>
  <CharactersWithSpaces>43987</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2024-06-20T12:39:00Z</dcterms:created>
  <dc:creator>Andressa da Silva Xavier</dc:creator>
  <dc:description/>
  <dc:language>pt-BR</dc:language>
  <cp:lastModifiedBy/>
  <cp:lastPrinted>2025-12-05T13:24:46Z</cp:lastPrinted>
  <dcterms:modified xsi:type="dcterms:W3CDTF">2025-12-09T16:51:47Z</dcterms:modified>
  <cp:revision>142</cp:revision>
  <dc:subject/>
  <dc:title/>
</cp:coreProperties>
</file>

<file path=docProps/custom.xml><?xml version="1.0" encoding="utf-8"?>
<Properties xmlns="http://schemas.openxmlformats.org/officeDocument/2006/custom-properties" xmlns:vt="http://schemas.openxmlformats.org/officeDocument/2006/docPropsVTypes"/>
</file>