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20F3" w:rsidRPr="008B33CE" w:rsidRDefault="002D20F3" w:rsidP="002D20F3">
      <w:pPr>
        <w:jc w:val="both"/>
        <w:rPr>
          <w:rFonts w:ascii="Times New Roman" w:hAnsi="Times New Roman" w:cs="Times New Roman"/>
          <w:sz w:val="24"/>
          <w:szCs w:val="24"/>
        </w:rPr>
      </w:pPr>
      <w:r w:rsidRPr="008B33CE">
        <w:rPr>
          <w:rFonts w:ascii="Times New Roman" w:hAnsi="Times New Roman" w:cs="Times New Roman"/>
          <w:b/>
          <w:sz w:val="24"/>
          <w:szCs w:val="24"/>
        </w:rPr>
        <w:t>MUNICÍPIO DE SAGRADA FAMÍLIA/RS</w:t>
      </w:r>
    </w:p>
    <w:p w:rsidR="002D20F3" w:rsidRPr="008B33CE" w:rsidRDefault="002D20F3" w:rsidP="002D20F3">
      <w:pPr>
        <w:jc w:val="both"/>
        <w:rPr>
          <w:rFonts w:ascii="Times New Roman" w:hAnsi="Times New Roman" w:cs="Times New Roman"/>
          <w:sz w:val="24"/>
          <w:szCs w:val="24"/>
        </w:rPr>
      </w:pPr>
      <w:r w:rsidRPr="008B33CE">
        <w:rPr>
          <w:rFonts w:ascii="Times New Roman" w:hAnsi="Times New Roman" w:cs="Times New Roman"/>
          <w:b/>
          <w:sz w:val="24"/>
          <w:szCs w:val="24"/>
        </w:rPr>
        <w:t>ATA DE REGISTRO DE PREÇOS</w:t>
      </w:r>
      <w:r>
        <w:rPr>
          <w:rFonts w:ascii="Times New Roman" w:hAnsi="Times New Roman" w:cs="Times New Roman"/>
          <w:b/>
          <w:sz w:val="24"/>
          <w:szCs w:val="24"/>
        </w:rPr>
        <w:t>/CONTRATO</w:t>
      </w:r>
      <w:r w:rsidRPr="008B33CE">
        <w:rPr>
          <w:rFonts w:ascii="Times New Roman" w:hAnsi="Times New Roman" w:cs="Times New Roman"/>
          <w:b/>
          <w:sz w:val="24"/>
          <w:szCs w:val="24"/>
        </w:rPr>
        <w:t xml:space="preserve"> Nº </w:t>
      </w:r>
      <w:r w:rsidR="00D11A6B">
        <w:rPr>
          <w:rFonts w:ascii="Times New Roman" w:hAnsi="Times New Roman" w:cs="Times New Roman"/>
          <w:b/>
          <w:sz w:val="24"/>
          <w:szCs w:val="24"/>
        </w:rPr>
        <w:t>201</w:t>
      </w:r>
      <w:r>
        <w:rPr>
          <w:rFonts w:ascii="Times New Roman" w:hAnsi="Times New Roman" w:cs="Times New Roman"/>
          <w:b/>
          <w:sz w:val="24"/>
          <w:szCs w:val="24"/>
        </w:rPr>
        <w:t>/</w:t>
      </w:r>
      <w:r w:rsidRPr="008B33CE">
        <w:rPr>
          <w:rFonts w:ascii="Times New Roman" w:hAnsi="Times New Roman" w:cs="Times New Roman"/>
          <w:b/>
          <w:sz w:val="24"/>
          <w:szCs w:val="24"/>
        </w:rPr>
        <w:t>2026</w:t>
      </w:r>
    </w:p>
    <w:p w:rsidR="002D20F3" w:rsidRDefault="002D20F3" w:rsidP="002D20F3">
      <w:pPr>
        <w:jc w:val="both"/>
        <w:rPr>
          <w:rFonts w:ascii="Times New Roman" w:hAnsi="Times New Roman" w:cs="Times New Roman"/>
          <w:b/>
          <w:sz w:val="24"/>
          <w:szCs w:val="24"/>
        </w:rPr>
      </w:pPr>
      <w:r w:rsidRPr="008B33CE">
        <w:rPr>
          <w:rFonts w:ascii="Times New Roman" w:hAnsi="Times New Roman" w:cs="Times New Roman"/>
          <w:b/>
          <w:sz w:val="24"/>
          <w:szCs w:val="24"/>
        </w:rPr>
        <w:t>PREGÃO ELETRÔNICO Nº 42/2026 – PROCESSO ADMINISTRATIVO Nº 104/2026</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MUNICÍPIO DE SAGRADA FAMÍLIA/RS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O MUNICÍPIO DE SAGRADA FAMÍLIA/RS</w:t>
      </w:r>
      <w:r w:rsidRPr="00D11A6B">
        <w:rPr>
          <w:rFonts w:ascii="Times New Roman" w:hAnsi="Times New Roman" w:cs="Times New Roman"/>
          <w:sz w:val="24"/>
          <w:szCs w:val="24"/>
          <w:lang w:val="pt-BR"/>
        </w:rPr>
        <w:t xml:space="preserve">, pessoa jurídica de direito público interno, inscrito no CNPJ sob nº 92.410.422/0001-53, com sede na Rua 20 de Março, nº 99, Centro, Sagrada Família/RS, neste ato representado pelo Prefeito Municipal, </w:t>
      </w:r>
      <w:r w:rsidRPr="00D11A6B">
        <w:rPr>
          <w:rFonts w:ascii="Times New Roman" w:hAnsi="Times New Roman" w:cs="Times New Roman"/>
          <w:b/>
          <w:bCs/>
          <w:sz w:val="24"/>
          <w:szCs w:val="24"/>
          <w:lang w:val="pt-BR"/>
        </w:rPr>
        <w:t>MAURO ROGÉRIO FERRARI GALATTO</w:t>
      </w:r>
      <w:r w:rsidRPr="00D11A6B">
        <w:rPr>
          <w:rFonts w:ascii="Times New Roman" w:hAnsi="Times New Roman" w:cs="Times New Roman"/>
          <w:sz w:val="24"/>
          <w:szCs w:val="24"/>
          <w:lang w:val="pt-BR"/>
        </w:rPr>
        <w:t xml:space="preserve">, doravante denominado ÓRGÃO GERENCIADOR, e, de outro lado, </w:t>
      </w:r>
      <w:r w:rsidRPr="00D11A6B">
        <w:rPr>
          <w:rFonts w:ascii="Times New Roman" w:hAnsi="Times New Roman" w:cs="Times New Roman"/>
          <w:b/>
          <w:bCs/>
          <w:sz w:val="24"/>
          <w:szCs w:val="24"/>
          <w:lang w:val="pt-BR"/>
        </w:rPr>
        <w:t>63.721.909 MARIA EDUARDA DIAS MOTA</w:t>
      </w:r>
      <w:r w:rsidRPr="00D11A6B">
        <w:rPr>
          <w:rFonts w:ascii="Times New Roman" w:hAnsi="Times New Roman" w:cs="Times New Roman"/>
          <w:sz w:val="24"/>
          <w:szCs w:val="24"/>
          <w:lang w:val="pt-BR"/>
        </w:rPr>
        <w:t>, inscrita no CNPJ sob nº 63.721.909/0001-59, com sede à RUA LAURO SODRÉ</w:t>
      </w:r>
      <w:r>
        <w:rPr>
          <w:rFonts w:ascii="Times New Roman" w:hAnsi="Times New Roman" w:cs="Times New Roman"/>
          <w:sz w:val="24"/>
          <w:szCs w:val="24"/>
          <w:lang w:val="pt-BR"/>
        </w:rPr>
        <w:t xml:space="preserve">,  BAIRRO </w:t>
      </w:r>
      <w:r w:rsidRPr="00D11A6B">
        <w:rPr>
          <w:rFonts w:ascii="Times New Roman" w:hAnsi="Times New Roman" w:cs="Times New Roman"/>
          <w:sz w:val="24"/>
          <w:szCs w:val="24"/>
          <w:lang w:val="pt-BR"/>
        </w:rPr>
        <w:t>SÃO JOSÉ</w:t>
      </w:r>
      <w:r>
        <w:rPr>
          <w:rFonts w:ascii="Times New Roman" w:hAnsi="Times New Roman" w:cs="Times New Roman"/>
          <w:sz w:val="24"/>
          <w:szCs w:val="24"/>
          <w:lang w:val="pt-BR"/>
        </w:rPr>
        <w:t xml:space="preserve">, - </w:t>
      </w:r>
      <w:r w:rsidRPr="00D11A6B">
        <w:rPr>
          <w:rFonts w:ascii="Times New Roman" w:hAnsi="Times New Roman" w:cs="Times New Roman"/>
          <w:sz w:val="24"/>
          <w:szCs w:val="24"/>
          <w:lang w:val="pt-BR"/>
        </w:rPr>
        <w:t>TUCURUÍ-PA</w:t>
      </w:r>
      <w:r>
        <w:rPr>
          <w:rFonts w:ascii="Times New Roman" w:hAnsi="Times New Roman" w:cs="Times New Roman"/>
          <w:sz w:val="24"/>
          <w:szCs w:val="24"/>
          <w:lang w:val="pt-BR"/>
        </w:rPr>
        <w:t xml:space="preserve"> </w:t>
      </w:r>
      <w:r w:rsidRPr="00D11A6B">
        <w:rPr>
          <w:rFonts w:ascii="Times New Roman" w:hAnsi="Times New Roman" w:cs="Times New Roman"/>
          <w:sz w:val="24"/>
          <w:szCs w:val="24"/>
          <w:lang w:val="pt-BR"/>
        </w:rPr>
        <w:t xml:space="preserve">neste ato representada por </w:t>
      </w:r>
      <w:r w:rsidRPr="00D11A6B">
        <w:rPr>
          <w:rFonts w:ascii="Times New Roman" w:hAnsi="Times New Roman" w:cs="Times New Roman"/>
          <w:b/>
          <w:bCs/>
          <w:sz w:val="24"/>
          <w:szCs w:val="24"/>
          <w:lang w:val="pt-BR"/>
        </w:rPr>
        <w:t>MARIA EDUARDA DIAS MOTA</w:t>
      </w:r>
      <w:r w:rsidRPr="00D11A6B">
        <w:rPr>
          <w:rFonts w:ascii="Times New Roman" w:hAnsi="Times New Roman" w:cs="Times New Roman"/>
          <w:sz w:val="24"/>
          <w:szCs w:val="24"/>
          <w:lang w:val="pt-BR"/>
        </w:rPr>
        <w:t xml:space="preserve"> CPF nº 08550002283 doravante denominada DETENTORA DA ATA, considerando a homologação do Pregão Eletrônico nº 42/2026, resolvem celebrar a presente Ata de Registro de Preços, nos termos da Lei Federal nº 14.133/2021 e das cláusulas seguintes.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1. DO OBJETO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1.1. A presente Ata tem por objeto o registro de preços para futura e eventual aquisição parcelada de materiais destinados à realização das atividades do Programa Acompanha RAPS, pela Secretaria Municipal de Saúde de Sagrada Família/RS, exclusivamente quanto aos itens adjudicados à DETENTORA DA ATA e descritos neste instrumento.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1.2. Integram esta Ata, independentemente de transcrição, o Edital do Pregão Eletrônico nº 42/2026, o Termo de Referência, a proposta da DETENTORA DA ATA e os demais documentos do Processo Administrativo nº 104/2026.</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1.3. O registro não obriga o Município a adquirir a totalidade dos quantitativos estimados, sendo o fornecimento realizado de forma parcelada conforme a necessidade e a disponibilidade orçamentária.</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2. DOS PREÇOS REGISTRADOS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2.1. Ficam registrados os preços abaixo, conforme homologação do certame:</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147"/>
        <w:gridCol w:w="1936"/>
        <w:gridCol w:w="1183"/>
        <w:gridCol w:w="1140"/>
        <w:gridCol w:w="1736"/>
        <w:gridCol w:w="1191"/>
        <w:gridCol w:w="1295"/>
      </w:tblGrid>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Item</w:t>
            </w:r>
          </w:p>
        </w:tc>
        <w:tc>
          <w:tcPr>
            <w:tcW w:w="1461" w:type="dxa"/>
            <w:tcBorders>
              <w:top w:val="single" w:sz="4" w:space="0" w:color="000000"/>
              <w:left w:val="single" w:sz="4" w:space="0" w:color="000000"/>
              <w:bottom w:val="single" w:sz="4" w:space="0" w:color="000000"/>
              <w:right w:val="single" w:sz="4" w:space="0" w:color="000000"/>
            </w:tcBorders>
            <w:shd w:val="clear" w:color="auto" w:fill="FFFFFF"/>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Descrição</w:t>
            </w:r>
          </w:p>
        </w:tc>
        <w:tc>
          <w:tcPr>
            <w:tcW w:w="1461" w:type="dxa"/>
            <w:tcBorders>
              <w:top w:val="single" w:sz="4" w:space="0" w:color="000000"/>
              <w:left w:val="single" w:sz="4" w:space="0" w:color="000000"/>
              <w:bottom w:val="single" w:sz="4" w:space="0" w:color="000000"/>
              <w:right w:val="single" w:sz="4" w:space="0" w:color="000000"/>
            </w:tcBorders>
            <w:shd w:val="clear" w:color="auto" w:fill="FFFFFF"/>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Unid.</w:t>
            </w:r>
          </w:p>
        </w:tc>
        <w:tc>
          <w:tcPr>
            <w:tcW w:w="1461" w:type="dxa"/>
            <w:tcBorders>
              <w:top w:val="single" w:sz="4" w:space="0" w:color="000000"/>
              <w:left w:val="single" w:sz="4" w:space="0" w:color="000000"/>
              <w:bottom w:val="single" w:sz="4" w:space="0" w:color="000000"/>
              <w:right w:val="single" w:sz="4" w:space="0" w:color="000000"/>
            </w:tcBorders>
            <w:shd w:val="clear" w:color="auto" w:fill="FFFFFF"/>
            <w:hideMark/>
          </w:tcPr>
          <w:p w:rsidR="00D11A6B" w:rsidRPr="00D11A6B" w:rsidRDefault="00D11A6B" w:rsidP="00D11A6B">
            <w:pPr>
              <w:jc w:val="both"/>
              <w:rPr>
                <w:rFonts w:ascii="Times New Roman" w:hAnsi="Times New Roman" w:cs="Times New Roman"/>
                <w:sz w:val="24"/>
                <w:szCs w:val="24"/>
                <w:lang w:val="pt-BR"/>
              </w:rPr>
            </w:pPr>
            <w:proofErr w:type="spellStart"/>
            <w:r w:rsidRPr="00D11A6B">
              <w:rPr>
                <w:rFonts w:ascii="Times New Roman" w:hAnsi="Times New Roman" w:cs="Times New Roman"/>
                <w:b/>
                <w:bCs/>
                <w:sz w:val="24"/>
                <w:szCs w:val="24"/>
                <w:lang w:val="pt-BR"/>
              </w:rPr>
              <w:t>Qtd</w:t>
            </w:r>
            <w:proofErr w:type="spellEnd"/>
            <w:r w:rsidRPr="00D11A6B">
              <w:rPr>
                <w:rFonts w:ascii="Times New Roman" w:hAnsi="Times New Roman" w:cs="Times New Roman"/>
                <w:b/>
                <w:bCs/>
                <w:sz w:val="24"/>
                <w:szCs w:val="24"/>
                <w:lang w:val="pt-BR"/>
              </w:rPr>
              <w:t>.</w:t>
            </w:r>
          </w:p>
        </w:tc>
        <w:tc>
          <w:tcPr>
            <w:tcW w:w="1461" w:type="dxa"/>
            <w:tcBorders>
              <w:top w:val="single" w:sz="4" w:space="0" w:color="000000"/>
              <w:left w:val="single" w:sz="4" w:space="0" w:color="000000"/>
              <w:bottom w:val="single" w:sz="4" w:space="0" w:color="000000"/>
              <w:right w:val="single" w:sz="4" w:space="0" w:color="000000"/>
            </w:tcBorders>
            <w:shd w:val="clear" w:color="auto" w:fill="FFFFFF"/>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Marca/Modelo</w:t>
            </w:r>
          </w:p>
        </w:tc>
        <w:tc>
          <w:tcPr>
            <w:tcW w:w="1461" w:type="dxa"/>
            <w:tcBorders>
              <w:top w:val="single" w:sz="4" w:space="0" w:color="000000"/>
              <w:left w:val="single" w:sz="4" w:space="0" w:color="000000"/>
              <w:bottom w:val="single" w:sz="4" w:space="0" w:color="000000"/>
              <w:right w:val="single" w:sz="4" w:space="0" w:color="000000"/>
            </w:tcBorders>
            <w:shd w:val="clear" w:color="auto" w:fill="FFFFFF"/>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 xml:space="preserve">Valor </w:t>
            </w:r>
            <w:proofErr w:type="spellStart"/>
            <w:r w:rsidRPr="00D11A6B">
              <w:rPr>
                <w:rFonts w:ascii="Times New Roman" w:hAnsi="Times New Roman" w:cs="Times New Roman"/>
                <w:b/>
                <w:bCs/>
                <w:sz w:val="24"/>
                <w:szCs w:val="24"/>
                <w:lang w:val="pt-BR"/>
              </w:rPr>
              <w:t>unit</w:t>
            </w:r>
            <w:proofErr w:type="spellEnd"/>
            <w:r w:rsidRPr="00D11A6B">
              <w:rPr>
                <w:rFonts w:ascii="Times New Roman" w:hAnsi="Times New Roman" w:cs="Times New Roman"/>
                <w:b/>
                <w:bCs/>
                <w:sz w:val="24"/>
                <w:szCs w:val="24"/>
                <w:lang w:val="pt-BR"/>
              </w:rPr>
              <w:t>.</w:t>
            </w:r>
          </w:p>
        </w:tc>
        <w:tc>
          <w:tcPr>
            <w:tcW w:w="1461" w:type="dxa"/>
            <w:tcBorders>
              <w:top w:val="single" w:sz="4" w:space="0" w:color="000000"/>
              <w:left w:val="single" w:sz="4" w:space="0" w:color="000000"/>
              <w:bottom w:val="single" w:sz="4" w:space="0" w:color="000000"/>
              <w:right w:val="single" w:sz="4" w:space="0" w:color="000000"/>
            </w:tcBorders>
            <w:shd w:val="clear" w:color="auto" w:fill="FFFFFF"/>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Valor total</w:t>
            </w:r>
          </w:p>
        </w:tc>
      </w:tr>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8</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 xml:space="preserve">Guardanapo para </w:t>
            </w:r>
            <w:proofErr w:type="spellStart"/>
            <w:r w:rsidRPr="00D11A6B">
              <w:rPr>
                <w:rFonts w:ascii="Times New Roman" w:hAnsi="Times New Roman" w:cs="Times New Roman"/>
                <w:sz w:val="24"/>
                <w:szCs w:val="24"/>
                <w:lang w:val="pt-BR"/>
              </w:rPr>
              <w:t>Decoupage</w:t>
            </w:r>
            <w:proofErr w:type="spellEnd"/>
            <w:r w:rsidRPr="00D11A6B">
              <w:rPr>
                <w:rFonts w:ascii="Times New Roman" w:hAnsi="Times New Roman" w:cs="Times New Roman"/>
                <w:sz w:val="24"/>
                <w:szCs w:val="24"/>
                <w:lang w:val="pt-BR"/>
              </w:rPr>
              <w:t xml:space="preserve">, medidas 33 </w:t>
            </w:r>
            <w:proofErr w:type="gramStart"/>
            <w:r w:rsidRPr="00D11A6B">
              <w:rPr>
                <w:rFonts w:ascii="Times New Roman" w:hAnsi="Times New Roman" w:cs="Times New Roman"/>
                <w:sz w:val="24"/>
                <w:szCs w:val="24"/>
                <w:lang w:val="pt-BR"/>
              </w:rPr>
              <w:t>x</w:t>
            </w:r>
            <w:proofErr w:type="gramEnd"/>
            <w:r w:rsidRPr="00D11A6B">
              <w:rPr>
                <w:rFonts w:ascii="Times New Roman" w:hAnsi="Times New Roman" w:cs="Times New Roman"/>
                <w:sz w:val="24"/>
                <w:szCs w:val="24"/>
                <w:lang w:val="pt-BR"/>
              </w:rPr>
              <w:t xml:space="preserve"> 33 cm, folha tripla, estampa Floral </w:t>
            </w:r>
            <w:proofErr w:type="spellStart"/>
            <w:r w:rsidRPr="00D11A6B">
              <w:rPr>
                <w:rFonts w:ascii="Times New Roman" w:hAnsi="Times New Roman" w:cs="Times New Roman"/>
                <w:sz w:val="24"/>
                <w:szCs w:val="24"/>
                <w:lang w:val="pt-BR"/>
              </w:rPr>
              <w:t>Vintage</w:t>
            </w:r>
            <w:proofErr w:type="spellEnd"/>
            <w:r w:rsidRPr="00D11A6B">
              <w:rPr>
                <w:rFonts w:ascii="Times New Roman" w:hAnsi="Times New Roman" w:cs="Times New Roman"/>
                <w:sz w:val="24"/>
                <w:szCs w:val="24"/>
                <w:lang w:val="pt-BR"/>
              </w:rPr>
              <w:t>.</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UN</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100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MAKER / 33X33</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R$ 3,70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R$ 370,00</w:t>
            </w:r>
          </w:p>
        </w:tc>
      </w:tr>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lastRenderedPageBreak/>
              <w:t>10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Meia Pérola ABS sem Furo, 8 mm, cor champanhe, pacote com 500 g.</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UN</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30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NYBC / 8MM</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R$ 55,99</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R$ 1.679,70</w:t>
            </w:r>
          </w:p>
        </w:tc>
      </w:tr>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11</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Meia Pérola ABS sem Furo, 8 mm, cor branca, pacote com 500 g.</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UN</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30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NYBC / 8MM</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R$ 55,99</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R$ 1.679,70</w:t>
            </w:r>
          </w:p>
        </w:tc>
      </w:tr>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13</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 xml:space="preserve">Palito Pega </w:t>
            </w:r>
            <w:proofErr w:type="spellStart"/>
            <w:r w:rsidRPr="00D11A6B">
              <w:rPr>
                <w:rFonts w:ascii="Times New Roman" w:hAnsi="Times New Roman" w:cs="Times New Roman"/>
                <w:sz w:val="24"/>
                <w:szCs w:val="24"/>
                <w:lang w:val="pt-BR"/>
              </w:rPr>
              <w:t>Strass</w:t>
            </w:r>
            <w:proofErr w:type="spellEnd"/>
            <w:r w:rsidRPr="00D11A6B">
              <w:rPr>
                <w:rFonts w:ascii="Times New Roman" w:hAnsi="Times New Roman" w:cs="Times New Roman"/>
                <w:sz w:val="24"/>
                <w:szCs w:val="24"/>
                <w:lang w:val="pt-BR"/>
              </w:rPr>
              <w:t xml:space="preserve"> e Pedrarias, com cera de abelha, aproximadamente 13 cm.</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UN</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100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TOK BIJOUX / PEGA PEROLA</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R$ 1,10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R$ 110,00</w:t>
            </w:r>
          </w:p>
        </w:tc>
      </w:tr>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14</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 xml:space="preserve">Papel Scrap, 30,5 </w:t>
            </w:r>
            <w:proofErr w:type="gramStart"/>
            <w:r w:rsidRPr="00D11A6B">
              <w:rPr>
                <w:rFonts w:ascii="Times New Roman" w:hAnsi="Times New Roman" w:cs="Times New Roman"/>
                <w:sz w:val="24"/>
                <w:szCs w:val="24"/>
                <w:lang w:val="pt-BR"/>
              </w:rPr>
              <w:t>x</w:t>
            </w:r>
            <w:proofErr w:type="gramEnd"/>
            <w:r w:rsidRPr="00D11A6B">
              <w:rPr>
                <w:rFonts w:ascii="Times New Roman" w:hAnsi="Times New Roman" w:cs="Times New Roman"/>
                <w:sz w:val="24"/>
                <w:szCs w:val="24"/>
                <w:lang w:val="pt-BR"/>
              </w:rPr>
              <w:t xml:space="preserve"> 30,5 cm, estampa floral amadeirado, dupla face, papel offset 180 g.</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UN</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50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LITOART / 30,5X30,5</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R$ 5,90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R$ 295,00</w:t>
            </w:r>
          </w:p>
        </w:tc>
      </w:tr>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31</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Zíper de 60 cm, cremalheira de nylon, sistema fixo.</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UN</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20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ALFA / 60CM</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R$ 2,20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R$ 44,00</w:t>
            </w:r>
          </w:p>
        </w:tc>
      </w:tr>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32</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 xml:space="preserve">Fita </w:t>
            </w:r>
            <w:proofErr w:type="spellStart"/>
            <w:r w:rsidRPr="00D11A6B">
              <w:rPr>
                <w:rFonts w:ascii="Times New Roman" w:hAnsi="Times New Roman" w:cs="Times New Roman"/>
                <w:sz w:val="24"/>
                <w:szCs w:val="24"/>
                <w:lang w:val="pt-BR"/>
              </w:rPr>
              <w:t>gorgurão</w:t>
            </w:r>
            <w:proofErr w:type="spellEnd"/>
            <w:r w:rsidRPr="00D11A6B">
              <w:rPr>
                <w:rFonts w:ascii="Times New Roman" w:hAnsi="Times New Roman" w:cs="Times New Roman"/>
                <w:sz w:val="24"/>
                <w:szCs w:val="24"/>
                <w:lang w:val="pt-BR"/>
              </w:rPr>
              <w:t xml:space="preserve"> 2,2 cm x 10 metros, cor branca, composição 100% poliéster.</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UN</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CINDERELA / 22CM</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R$ 9,90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R$ 99,00</w:t>
            </w:r>
          </w:p>
        </w:tc>
      </w:tr>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33</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 xml:space="preserve">Fita </w:t>
            </w:r>
            <w:proofErr w:type="spellStart"/>
            <w:r w:rsidRPr="00D11A6B">
              <w:rPr>
                <w:rFonts w:ascii="Times New Roman" w:hAnsi="Times New Roman" w:cs="Times New Roman"/>
                <w:sz w:val="24"/>
                <w:szCs w:val="24"/>
                <w:lang w:val="pt-BR"/>
              </w:rPr>
              <w:t>gorgurão</w:t>
            </w:r>
            <w:proofErr w:type="spellEnd"/>
            <w:r w:rsidRPr="00D11A6B">
              <w:rPr>
                <w:rFonts w:ascii="Times New Roman" w:hAnsi="Times New Roman" w:cs="Times New Roman"/>
                <w:sz w:val="24"/>
                <w:szCs w:val="24"/>
                <w:lang w:val="pt-BR"/>
              </w:rPr>
              <w:t xml:space="preserve"> 2,2 cm x 10 metros, cor rosa bebê, composição 100% poliéster.</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UN</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LADEIRA / 22CM</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R$ 9,90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R$ 99,00</w:t>
            </w:r>
          </w:p>
        </w:tc>
      </w:tr>
      <w:tr w:rsidR="00D11A6B" w:rsidRPr="00D11A6B" w:rsidTr="00D11A6B">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34</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 xml:space="preserve">Fita </w:t>
            </w:r>
            <w:proofErr w:type="spellStart"/>
            <w:r w:rsidRPr="00D11A6B">
              <w:rPr>
                <w:rFonts w:ascii="Times New Roman" w:hAnsi="Times New Roman" w:cs="Times New Roman"/>
                <w:sz w:val="24"/>
                <w:szCs w:val="24"/>
                <w:lang w:val="pt-BR"/>
              </w:rPr>
              <w:t>gorgurão</w:t>
            </w:r>
            <w:proofErr w:type="spellEnd"/>
            <w:r w:rsidRPr="00D11A6B">
              <w:rPr>
                <w:rFonts w:ascii="Times New Roman" w:hAnsi="Times New Roman" w:cs="Times New Roman"/>
                <w:sz w:val="24"/>
                <w:szCs w:val="24"/>
                <w:lang w:val="pt-BR"/>
              </w:rPr>
              <w:t xml:space="preserve"> 2,2 cm x 10 metros, cor bege, </w:t>
            </w:r>
            <w:r w:rsidRPr="00D11A6B">
              <w:rPr>
                <w:rFonts w:ascii="Times New Roman" w:hAnsi="Times New Roman" w:cs="Times New Roman"/>
                <w:sz w:val="24"/>
                <w:szCs w:val="24"/>
                <w:lang w:val="pt-BR"/>
              </w:rPr>
              <w:lastRenderedPageBreak/>
              <w:t>composição 100% poliéster.</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lastRenderedPageBreak/>
              <w:t>UN</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LADEIRA / 22CM</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R$ 9,90</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R$ 99,00</w:t>
            </w:r>
          </w:p>
        </w:tc>
      </w:tr>
    </w:tbl>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 xml:space="preserve">Valor total estimado dos itens registrados: </w:t>
      </w:r>
      <w:r w:rsidRPr="00D11A6B">
        <w:rPr>
          <w:rFonts w:ascii="Times New Roman" w:hAnsi="Times New Roman" w:cs="Times New Roman"/>
          <w:sz w:val="24"/>
          <w:szCs w:val="24"/>
          <w:lang w:val="pt-BR"/>
        </w:rPr>
        <w:t>R$ 4.475,40 (quatro mil quatrocentos e setenta e cinco reais e quarenta centavos).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3. DA VIGÊNCIA</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3.1. A Ata terá vigência de 12 (doze) meses, contados da data de sua assinatura, observadas as condições legais para eventual prorrogação.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3.2. A prorrogação, se cabível, dependerá de demonstração de vantagem dos preços registrados e formalização nos autos.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4. DAS CONDIÇÕES DE FORNECIMENTO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4.1. O fornecimento ocorrerá de forma parcelada, mediante Nota de Empenho ou Autorização de Fornecimento emitida pelo Município.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4.2. A entrega deverá ocorrer em até 10 (dez) dias, contados do recebimento da Nota de Empenho ou Autorização de Fornecimento, na Unidade Básica de Saúde do Município de Sagrada Família/RS, salvo indicação formal diversa da Administração.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4.3. Os materiais deverão ser novos, sem uso, corresponder às especificações do edital, do Termo de Referência e da proposta, e ser entregues com Nota Fiscal. Os custos de transporte, embalagem, carga, descarga, tributos e demais despesas estão incluídos nos preços registrados.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5. DO RECEBIMENTO E DA SUBSTITUIÇÃO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5.1. O recebimento será provisório no ato da entrega e definitivo após conferência da quantidade e conformidade com as especificações, mediante atesto do servidor responsável.</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5.2. Os materiais com defeitos, avarias ou em desacordo com as especificações deverão ser substituídos pela DETENTORA DA ATA, às suas expensas, no prazo máximo de 10 (dez) dias úteis contado da notificação, sem prejuízo das demais medidas cabíveis.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6. DO PAGAMENTO E DA DOTAÇÃO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6.1. O pagamento será realizado após a entrega, o recebimento definitivo e o atesto da Nota Fiscal, conforme os procedimentos financeiros do Município e as condições do edital.</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6.2. A despesa de cada aquisição será suportada pela dotação orçamentária pertinente, indicada no respectivo empenho, observada a disponibilidade orçamentária.</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6.3. Os preços registrados incluem todos os custos diretos e indiretos necessários ao fornecimento.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7. DAS OBRIGAÇÕES DA DETENTORA DA ATA</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lastRenderedPageBreak/>
        <w:t>7.1. Cumprir as condições do edital, do Termo de Referência, da proposta e desta Ata; fornecer os materiais nos prazos e especificações registrados; manter durante a vigência as condições de habilitação; atender às solicitações da fiscalização; comunicar fatos que possam comprometer o fornecimento; e reparar danos causados à Administração ou a terceiros por sua atuação.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8. DAS OBRIGAÇÕES DO MUNICÍPIO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8.1. Emitir as autorizações de fornecimento quando houver demanda; indicar o local de entrega; acompanhar e fiscalizar o fornecimento; conferir e receber os materiais; comunicar irregularidades; e efetuar os pagamentos devidos após o cumprimento das condições estabelecidas.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9. DA REVISÃO E DO CANCELAMENTO DOS PREÇOS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9.1. A alteração, revisão, negociação ou atualização dos preços registrados somente poderá ocorrer nas hipóteses e mediante os procedimentos previstos na Lei Federal nº 14.133/2021 e na regulamentação aplicável, com instrução e decisão formal no processo.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 xml:space="preserve">9.2. O registro poderá ser cancelado nas hipóteses legais e </w:t>
      </w:r>
      <w:proofErr w:type="spellStart"/>
      <w:r w:rsidRPr="00D11A6B">
        <w:rPr>
          <w:rFonts w:ascii="Times New Roman" w:hAnsi="Times New Roman" w:cs="Times New Roman"/>
          <w:sz w:val="24"/>
          <w:szCs w:val="24"/>
          <w:lang w:val="pt-BR"/>
        </w:rPr>
        <w:t>editalícias</w:t>
      </w:r>
      <w:proofErr w:type="spellEnd"/>
      <w:r w:rsidRPr="00D11A6B">
        <w:rPr>
          <w:rFonts w:ascii="Times New Roman" w:hAnsi="Times New Roman" w:cs="Times New Roman"/>
          <w:sz w:val="24"/>
          <w:szCs w:val="24"/>
          <w:lang w:val="pt-BR"/>
        </w:rPr>
        <w:t>, assegurados o contraditório e a ampla defesa quando cabíveis.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10. DAS INFRAÇÕES E SANÇÕES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 xml:space="preserve">10.1. O descumprimento das obrigações sujeitará a DETENTORA DA ATA às sanções previstas no edital e nos </w:t>
      </w:r>
      <w:proofErr w:type="spellStart"/>
      <w:r w:rsidRPr="00D11A6B">
        <w:rPr>
          <w:rFonts w:ascii="Times New Roman" w:hAnsi="Times New Roman" w:cs="Times New Roman"/>
          <w:sz w:val="24"/>
          <w:szCs w:val="24"/>
          <w:lang w:val="pt-BR"/>
        </w:rPr>
        <w:t>arts</w:t>
      </w:r>
      <w:proofErr w:type="spellEnd"/>
      <w:r w:rsidRPr="00D11A6B">
        <w:rPr>
          <w:rFonts w:ascii="Times New Roman" w:hAnsi="Times New Roman" w:cs="Times New Roman"/>
          <w:sz w:val="24"/>
          <w:szCs w:val="24"/>
          <w:lang w:val="pt-BR"/>
        </w:rPr>
        <w:t>. 155 a 163 da Lei Federal nº 14.133/2021, assegurados o contraditório e a ampla defesa.</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11. DA FISCALIZAÇÃO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11.1. A execução decorrente desta Ata será acompanhada por servidor designado pela Administração, a ser identificado no respectivo ato ou instrumento de contratação, cabendo-lhe registrar ocorrências e solicitar as providências necessárias.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12. DA PROTEÇÃO DE DADOS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12.1. As partes comprometem-se a tratar eventuais dados pessoais acessados em razão desta Ata exclusivamente para cumprimento das obrigações dela decorrentes, observada a legislação aplicável.</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13. DA PUBLICIDADE E VINCULAÇÃO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13.1. O Município providenciará a divulgação desta Ata e dos atos decorrentes nos meios oficiais pertinentes, nos termos da legislação aplicável.</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13.2. A DETENTORA DA ATA fica vinculada ao edital, ao Termo de Referência, à proposta vencedora e aos demais documentos do Processo Administrativo nº 104/2026.</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b/>
          <w:bCs/>
          <w:sz w:val="24"/>
          <w:szCs w:val="24"/>
          <w:lang w:val="pt-BR"/>
        </w:rPr>
        <w:t>14. DOS CASOS OMISSOS E DO FORO</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lastRenderedPageBreak/>
        <w:t>14.1. Os casos omissos serão resolvidos conforme a Lei Federal nº 14.133/2021 e demais normas aplicáveis.</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14.2. Fica eleito o foro da Comarca competente para dirimir questões decorrentes desta Ata que não possam ser solucionadas administrativamente.</w:t>
      </w:r>
    </w:p>
    <w:p w:rsidR="00D11A6B" w:rsidRPr="00D11A6B" w:rsidRDefault="00D11A6B" w:rsidP="00D11A6B">
      <w:pPr>
        <w:jc w:val="both"/>
        <w:rPr>
          <w:rFonts w:ascii="Times New Roman" w:hAnsi="Times New Roman" w:cs="Times New Roman"/>
          <w:sz w:val="24"/>
          <w:szCs w:val="24"/>
          <w:lang w:val="pt-BR"/>
        </w:rPr>
      </w:pPr>
      <w:r w:rsidRPr="00D11A6B">
        <w:rPr>
          <w:rFonts w:ascii="Times New Roman" w:hAnsi="Times New Roman" w:cs="Times New Roman"/>
          <w:sz w:val="24"/>
          <w:szCs w:val="24"/>
          <w:lang w:val="pt-BR"/>
        </w:rPr>
        <w:t xml:space="preserve">Sagrada Família/RS, </w:t>
      </w:r>
      <w:r>
        <w:rPr>
          <w:rFonts w:ascii="Times New Roman" w:hAnsi="Times New Roman" w:cs="Times New Roman"/>
          <w:sz w:val="24"/>
          <w:szCs w:val="24"/>
          <w:lang w:val="pt-BR"/>
        </w:rPr>
        <w:t>23 de outubro</w:t>
      </w:r>
      <w:r w:rsidRPr="00D11A6B">
        <w:rPr>
          <w:rFonts w:ascii="Times New Roman" w:hAnsi="Times New Roman" w:cs="Times New Roman"/>
          <w:sz w:val="24"/>
          <w:szCs w:val="24"/>
          <w:lang w:val="pt-BR"/>
        </w:rPr>
        <w:t xml:space="preserve"> de 2026.</w:t>
      </w:r>
    </w:p>
    <w:tbl>
      <w:tblPr>
        <w:tblW w:w="10629"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392"/>
        <w:gridCol w:w="6237"/>
      </w:tblGrid>
      <w:tr w:rsidR="00D11A6B" w:rsidRPr="00D11A6B" w:rsidTr="00D11A6B">
        <w:tc>
          <w:tcPr>
            <w:tcW w:w="4392" w:type="dxa"/>
            <w:tcBorders>
              <w:top w:val="single" w:sz="2" w:space="0" w:color="auto"/>
              <w:left w:val="single" w:sz="2" w:space="0" w:color="auto"/>
              <w:bottom w:val="single" w:sz="2" w:space="0" w:color="auto"/>
              <w:right w:val="single" w:sz="2" w:space="0" w:color="auto"/>
            </w:tcBorders>
            <w:shd w:val="clear" w:color="auto" w:fill="FFFFFF"/>
            <w:tcMar>
              <w:top w:w="0" w:type="dxa"/>
              <w:left w:w="0" w:type="dxa"/>
              <w:bottom w:w="0" w:type="dxa"/>
              <w:right w:w="0" w:type="dxa"/>
            </w:tcMar>
            <w:hideMark/>
          </w:tcPr>
          <w:p w:rsidR="00D11A6B" w:rsidRDefault="00D11A6B" w:rsidP="00D11A6B">
            <w:pPr>
              <w:rPr>
                <w:rFonts w:ascii="Times New Roman" w:hAnsi="Times New Roman" w:cs="Times New Roman"/>
                <w:sz w:val="24"/>
                <w:szCs w:val="24"/>
                <w:lang w:val="pt-BR"/>
              </w:rPr>
            </w:pPr>
            <w:r w:rsidRPr="00D11A6B">
              <w:rPr>
                <w:rFonts w:ascii="Times New Roman" w:hAnsi="Times New Roman" w:cs="Times New Roman"/>
                <w:sz w:val="24"/>
                <w:szCs w:val="24"/>
                <w:lang w:val="pt-BR"/>
              </w:rPr>
              <w:br/>
            </w:r>
          </w:p>
          <w:p w:rsidR="00D11A6B" w:rsidRPr="00D11A6B" w:rsidRDefault="00D11A6B" w:rsidP="00D11A6B">
            <w:pPr>
              <w:rPr>
                <w:rFonts w:ascii="Times New Roman" w:hAnsi="Times New Roman" w:cs="Times New Roman"/>
                <w:sz w:val="24"/>
                <w:szCs w:val="24"/>
                <w:lang w:val="pt-BR"/>
              </w:rPr>
            </w:pPr>
            <w:r w:rsidRPr="00D11A6B">
              <w:rPr>
                <w:rFonts w:ascii="Times New Roman" w:hAnsi="Times New Roman" w:cs="Times New Roman"/>
                <w:sz w:val="24"/>
                <w:szCs w:val="24"/>
                <w:lang w:val="pt-BR"/>
              </w:rPr>
              <w:t>MAURO ROGÉRIO FERRARI GALATTO</w:t>
            </w:r>
            <w:r w:rsidRPr="00D11A6B">
              <w:rPr>
                <w:rFonts w:ascii="Times New Roman" w:hAnsi="Times New Roman" w:cs="Times New Roman"/>
                <w:sz w:val="24"/>
                <w:szCs w:val="24"/>
                <w:lang w:val="pt-BR"/>
              </w:rPr>
              <w:br/>
              <w:t>Prefeito Municipal</w:t>
            </w:r>
            <w:r w:rsidRPr="00D11A6B">
              <w:rPr>
                <w:rFonts w:ascii="Times New Roman" w:hAnsi="Times New Roman" w:cs="Times New Roman"/>
                <w:sz w:val="24"/>
                <w:szCs w:val="24"/>
                <w:lang w:val="pt-BR"/>
              </w:rPr>
              <w:br/>
              <w:t>Órgão Gerenciador</w:t>
            </w:r>
          </w:p>
        </w:tc>
        <w:tc>
          <w:tcPr>
            <w:tcW w:w="6237" w:type="dxa"/>
            <w:tcBorders>
              <w:top w:val="single" w:sz="2" w:space="0" w:color="auto"/>
              <w:left w:val="single" w:sz="2" w:space="0" w:color="auto"/>
              <w:bottom w:val="single" w:sz="2" w:space="0" w:color="auto"/>
              <w:right w:val="single" w:sz="2" w:space="0" w:color="auto"/>
            </w:tcBorders>
            <w:shd w:val="clear" w:color="auto" w:fill="FFFFFF"/>
            <w:tcMar>
              <w:top w:w="0" w:type="dxa"/>
              <w:left w:w="0" w:type="dxa"/>
              <w:bottom w:w="0" w:type="dxa"/>
              <w:right w:w="0" w:type="dxa"/>
            </w:tcMar>
            <w:hideMark/>
          </w:tcPr>
          <w:p w:rsidR="00D11A6B" w:rsidRDefault="00D11A6B" w:rsidP="00D11A6B">
            <w:pPr>
              <w:rPr>
                <w:rFonts w:ascii="Times New Roman" w:hAnsi="Times New Roman" w:cs="Times New Roman"/>
                <w:sz w:val="24"/>
                <w:szCs w:val="24"/>
                <w:lang w:val="pt-BR"/>
              </w:rPr>
            </w:pPr>
            <w:r w:rsidRPr="00D11A6B">
              <w:rPr>
                <w:rFonts w:ascii="Times New Roman" w:hAnsi="Times New Roman" w:cs="Times New Roman"/>
                <w:sz w:val="24"/>
                <w:szCs w:val="24"/>
                <w:lang w:val="pt-BR"/>
              </w:rPr>
              <w:br/>
            </w:r>
            <w:bookmarkStart w:id="0" w:name="_GoBack"/>
            <w:bookmarkEnd w:id="0"/>
          </w:p>
          <w:p w:rsidR="00D11A6B" w:rsidRPr="00D11A6B" w:rsidRDefault="00D11A6B" w:rsidP="00D11A6B">
            <w:pPr>
              <w:rPr>
                <w:rFonts w:ascii="Times New Roman" w:hAnsi="Times New Roman" w:cs="Times New Roman"/>
                <w:sz w:val="24"/>
                <w:szCs w:val="24"/>
                <w:lang w:val="pt-BR"/>
              </w:rPr>
            </w:pPr>
            <w:r w:rsidRPr="00D11A6B">
              <w:rPr>
                <w:rFonts w:ascii="Times New Roman" w:hAnsi="Times New Roman" w:cs="Times New Roman"/>
                <w:sz w:val="24"/>
                <w:szCs w:val="24"/>
                <w:lang w:val="pt-BR"/>
              </w:rPr>
              <w:t>63.721.909 MARIA EDUARDA DIAS MOTA</w:t>
            </w:r>
            <w:r w:rsidRPr="00D11A6B">
              <w:rPr>
                <w:rFonts w:ascii="Times New Roman" w:hAnsi="Times New Roman" w:cs="Times New Roman"/>
                <w:sz w:val="24"/>
                <w:szCs w:val="24"/>
                <w:lang w:val="pt-BR"/>
              </w:rPr>
              <w:br/>
              <w:t>CNPJ nº 63.721.909/0001-59</w:t>
            </w:r>
            <w:r w:rsidRPr="00D11A6B">
              <w:rPr>
                <w:rFonts w:ascii="Times New Roman" w:hAnsi="Times New Roman" w:cs="Times New Roman"/>
                <w:sz w:val="24"/>
                <w:szCs w:val="24"/>
                <w:lang w:val="pt-BR"/>
              </w:rPr>
              <w:br/>
              <w:t>Detentora da Ata</w:t>
            </w:r>
          </w:p>
        </w:tc>
      </w:tr>
    </w:tbl>
    <w:p w:rsidR="00D11A6B" w:rsidRPr="008B33CE" w:rsidRDefault="00D11A6B" w:rsidP="002D20F3">
      <w:pPr>
        <w:jc w:val="both"/>
        <w:rPr>
          <w:rFonts w:ascii="Times New Roman" w:hAnsi="Times New Roman" w:cs="Times New Roman"/>
          <w:sz w:val="24"/>
          <w:szCs w:val="24"/>
        </w:rPr>
      </w:pPr>
    </w:p>
    <w:sectPr w:rsidR="00D11A6B" w:rsidRPr="008B33CE"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0F3"/>
    <w:rsid w:val="002D20F3"/>
    <w:rsid w:val="005E6818"/>
    <w:rsid w:val="007F5149"/>
    <w:rsid w:val="00D11A6B"/>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88ACBB-29FE-40A0-8CA3-753EE8AA5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0F3"/>
    <w:pPr>
      <w:spacing w:after="200" w:line="276" w:lineRule="auto"/>
      <w:ind w:firstLine="0"/>
      <w:jc w:val="left"/>
    </w:pPr>
    <w:rPr>
      <w:rFonts w:ascii="Arial" w:eastAsia="Arial" w:hAnsi="Arial"/>
      <w:sz w:val="18"/>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2D20F3"/>
    <w:pPr>
      <w:spacing w:line="240" w:lineRule="auto"/>
      <w:ind w:firstLine="0"/>
      <w:jc w:val="lef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056399">
      <w:bodyDiv w:val="1"/>
      <w:marLeft w:val="0"/>
      <w:marRight w:val="0"/>
      <w:marTop w:val="0"/>
      <w:marBottom w:val="0"/>
      <w:divBdr>
        <w:top w:val="none" w:sz="0" w:space="0" w:color="auto"/>
        <w:left w:val="none" w:sz="0" w:space="0" w:color="auto"/>
        <w:bottom w:val="none" w:sz="0" w:space="0" w:color="auto"/>
        <w:right w:val="none" w:sz="0" w:space="0" w:color="auto"/>
      </w:divBdr>
    </w:div>
    <w:div w:id="194067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1183</Words>
  <Characters>6394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dcterms:created xsi:type="dcterms:W3CDTF">2026-10-23T12:06:00Z</dcterms:created>
  <dcterms:modified xsi:type="dcterms:W3CDTF">2026-10-23T12:06:00Z</dcterms:modified>
</cp:coreProperties>
</file>