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sz w:val="104"/>
          <w:szCs w:val="10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sz w:val="104"/>
          <w:szCs w:val="10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sz w:val="104"/>
          <w:szCs w:val="10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sz w:val="104"/>
          <w:szCs w:val="104"/>
        </w:rPr>
      </w:pPr>
      <w:r w:rsidDel="00000000" w:rsidR="00000000" w:rsidRPr="00000000">
        <w:rPr>
          <w:sz w:val="104"/>
          <w:szCs w:val="104"/>
          <w:rtl w:val="0"/>
        </w:rPr>
        <w:t xml:space="preserve">Consultar ABA na Planilha de Custo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