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rPr>
          <w:rFonts w:ascii="Arial" w:hAnsi="Arial" w:cs="Arial"/>
          <w:sz w:val="24"/>
          <w:szCs w:val="24"/>
          <w:shd w:fill="FFFF00" w:val="clear"/>
        </w:rPr>
      </w:pPr>
      <w:r>
        <w:rPr>
          <w:rFonts w:cs="Arial" w:ascii="Arial" w:hAnsi="Arial"/>
          <w:sz w:val="24"/>
          <w:szCs w:val="24"/>
          <w:shd w:fill="FFFF00" w:val="clear"/>
        </w:rPr>
      </w:r>
    </w:p>
    <w:p>
      <w:pPr>
        <w:pStyle w:val="Cabealho"/>
        <w:spacing w:lineRule="auto" w:line="360"/>
        <w:jc w:val="center"/>
        <w:rPr/>
      </w:pPr>
      <w:r>
        <w:rPr>
          <w:rStyle w:val="Appleconvertedspace"/>
          <w:rFonts w:cs="Arial" w:ascii="Arial" w:hAnsi="Arial"/>
          <w:b/>
          <w:sz w:val="24"/>
          <w:szCs w:val="24"/>
          <w:shd w:fill="auto" w:val="clear"/>
        </w:rPr>
        <w:t>Projeto Básico</w:t>
      </w:r>
    </w:p>
    <w:p>
      <w:pPr>
        <w:pStyle w:val="Cabealho"/>
        <w:spacing w:lineRule="auto" w:line="360"/>
        <w:rPr>
          <w:rFonts w:ascii="Arial" w:hAnsi="Arial" w:cs="Arial"/>
          <w:sz w:val="24"/>
          <w:szCs w:val="24"/>
          <w:shd w:fill="auto" w:val="clear"/>
        </w:rPr>
      </w:pPr>
      <w:r>
        <w:rPr>
          <w:rFonts w:cs="Arial" w:ascii="Arial" w:hAnsi="Arial"/>
          <w:sz w:val="24"/>
          <w:szCs w:val="24"/>
          <w:shd w:fill="auto" w:val="clear"/>
        </w:rPr>
      </w:r>
    </w:p>
    <w:p>
      <w:pPr>
        <w:pStyle w:val="Cabealho"/>
        <w:spacing w:lineRule="auto" w:line="360"/>
        <w:rPr>
          <w:rFonts w:ascii="Arial" w:hAnsi="Arial" w:cs="Arial"/>
          <w:sz w:val="24"/>
          <w:szCs w:val="24"/>
          <w:shd w:fill="auto" w:val="clear"/>
        </w:rPr>
      </w:pPr>
      <w:r>
        <w:rPr>
          <w:rFonts w:cs="Arial" w:ascii="Arial" w:hAnsi="Arial"/>
          <w:sz w:val="24"/>
          <w:szCs w:val="24"/>
          <w:shd w:fill="auto" w:val="clear"/>
        </w:rPr>
      </w:r>
    </w:p>
    <w:p>
      <w:pPr>
        <w:pStyle w:val="PargrafodaLista1"/>
        <w:numPr>
          <w:ilvl w:val="0"/>
          <w:numId w:val="0"/>
        </w:numPr>
        <w:tabs>
          <w:tab w:val="clear" w:pos="708"/>
          <w:tab w:val="left" w:pos="0" w:leader="none"/>
        </w:tabs>
        <w:spacing w:lineRule="auto" w:line="360"/>
        <w:ind w:left="360" w:hanging="0"/>
        <w:jc w:val="both"/>
        <w:rPr>
          <w:rFonts w:ascii="Arial" w:hAnsi="Arial"/>
          <w:sz w:val="24"/>
          <w:szCs w:val="24"/>
        </w:rPr>
      </w:pPr>
      <w:r>
        <w:rPr>
          <w:rFonts w:cs="Arial" w:ascii="Arial" w:hAnsi="Arial"/>
          <w:b/>
          <w:sz w:val="24"/>
          <w:szCs w:val="24"/>
          <w:shd w:fill="auto" w:val="clear"/>
        </w:rPr>
        <w:t>DO OBJETO</w:t>
      </w:r>
    </w:p>
    <w:p>
      <w:pPr>
        <w:pStyle w:val="PargrafodaLista1"/>
        <w:tabs>
          <w:tab w:val="clear" w:pos="708"/>
          <w:tab w:val="left" w:pos="0" w:leader="none"/>
        </w:tabs>
        <w:spacing w:lineRule="auto" w:line="360"/>
        <w:ind w:hanging="0"/>
        <w:jc w:val="both"/>
        <w:rPr>
          <w:rFonts w:ascii="Arial" w:hAnsi="Arial"/>
          <w:sz w:val="24"/>
          <w:szCs w:val="24"/>
        </w:rPr>
      </w:pPr>
      <w:r>
        <w:rPr>
          <w:rFonts w:cs="Arial" w:ascii="Arial" w:hAnsi="Arial"/>
          <w:sz w:val="24"/>
          <w:szCs w:val="24"/>
          <w:shd w:fill="auto" w:val="clear"/>
        </w:rPr>
        <w:tab/>
        <w:t>O objeto do presente expediente consiste na locação de imóvel para instalação da delegacia desta Autarquia no Município de Rio Grande/RS.</w:t>
      </w:r>
    </w:p>
    <w:p>
      <w:pPr>
        <w:pStyle w:val="PargrafodaLista1"/>
        <w:tabs>
          <w:tab w:val="clear" w:pos="708"/>
          <w:tab w:val="left" w:pos="0" w:leader="none"/>
        </w:tabs>
        <w:spacing w:lineRule="auto" w:line="360"/>
        <w:ind w:left="360" w:hanging="0"/>
        <w:jc w:val="both"/>
        <w:rPr>
          <w:rFonts w:ascii="Arial" w:hAnsi="Arial" w:cs="Arial"/>
          <w:sz w:val="24"/>
          <w:szCs w:val="24"/>
          <w:shd w:fill="FFFF00" w:val="clear"/>
        </w:rPr>
      </w:pPr>
      <w:r>
        <w:rPr>
          <w:rFonts w:cs="Arial" w:ascii="Arial" w:hAnsi="Arial"/>
          <w:sz w:val="24"/>
          <w:szCs w:val="24"/>
          <w:shd w:fill="FFFF00" w:val="clear"/>
        </w:rPr>
      </w:r>
    </w:p>
    <w:p>
      <w:pPr>
        <w:pStyle w:val="PargrafodaLista1"/>
        <w:numPr>
          <w:ilvl w:val="0"/>
          <w:numId w:val="0"/>
        </w:numPr>
        <w:tabs>
          <w:tab w:val="clear" w:pos="708"/>
          <w:tab w:val="left" w:pos="0" w:leader="none"/>
        </w:tabs>
        <w:spacing w:lineRule="auto" w:line="360"/>
        <w:ind w:left="360" w:hanging="0"/>
        <w:jc w:val="both"/>
        <w:rPr>
          <w:rFonts w:ascii="Arial" w:hAnsi="Arial"/>
          <w:sz w:val="24"/>
          <w:szCs w:val="24"/>
        </w:rPr>
      </w:pPr>
      <w:r>
        <w:rPr>
          <w:rFonts w:cs="Arial" w:ascii="Arial" w:hAnsi="Arial"/>
          <w:b/>
          <w:sz w:val="24"/>
          <w:szCs w:val="24"/>
          <w:shd w:fill="auto" w:val="clear"/>
        </w:rPr>
        <w:t>DO VALOR</w:t>
      </w:r>
    </w:p>
    <w:p>
      <w:pPr>
        <w:pStyle w:val="Normal"/>
        <w:spacing w:lineRule="auto" w:line="360"/>
        <w:jc w:val="both"/>
        <w:rPr>
          <w:rFonts w:ascii="Arial" w:hAnsi="Arial"/>
          <w:sz w:val="24"/>
          <w:szCs w:val="24"/>
        </w:rPr>
      </w:pPr>
      <w:r>
        <w:rPr>
          <w:rFonts w:cs="Arial" w:ascii="Arial" w:hAnsi="Arial"/>
          <w:sz w:val="24"/>
          <w:szCs w:val="24"/>
          <w:shd w:fill="auto" w:val="clear"/>
        </w:rPr>
        <w:tab/>
        <w:t>O valor estimado para contratação anual é de R$ 24.786,57 (vinte e quatro mil, setecentos e oitenta e seis reais e cinquenta e sete centavos), que engloba o valor dos aluguéis, valor aproximado dos condomínios e IPTU (anual). Valor este obtido por meio de pesquisa de mercado com as imobiliárias e corretores da região, sendo a partir destas informações possíveis identificar a melhor oferta/custo-benefício a este Conselho.</w:t>
      </w:r>
    </w:p>
    <w:p>
      <w:pPr>
        <w:pStyle w:val="PargrafodaLista1"/>
        <w:numPr>
          <w:ilvl w:val="0"/>
          <w:numId w:val="0"/>
        </w:numPr>
        <w:tabs>
          <w:tab w:val="clear" w:pos="708"/>
          <w:tab w:val="left" w:pos="0" w:leader="none"/>
        </w:tabs>
        <w:spacing w:lineRule="auto" w:line="360"/>
        <w:ind w:left="426" w:hanging="0"/>
        <w:jc w:val="both"/>
        <w:rPr>
          <w:rFonts w:cs="Arial"/>
          <w:b/>
          <w:b/>
          <w:shd w:fill="auto" w:val="clear"/>
        </w:rPr>
      </w:pPr>
      <w:r>
        <w:rPr>
          <w:rFonts w:ascii="Arial" w:hAnsi="Arial"/>
          <w:sz w:val="24"/>
          <w:szCs w:val="24"/>
        </w:rPr>
      </w:r>
    </w:p>
    <w:p>
      <w:pPr>
        <w:pStyle w:val="PargrafodaLista1"/>
        <w:numPr>
          <w:ilvl w:val="0"/>
          <w:numId w:val="0"/>
        </w:numPr>
        <w:tabs>
          <w:tab w:val="clear" w:pos="708"/>
          <w:tab w:val="left" w:pos="0" w:leader="none"/>
        </w:tabs>
        <w:spacing w:lineRule="auto" w:line="360"/>
        <w:ind w:left="426" w:hanging="0"/>
        <w:jc w:val="both"/>
        <w:rPr>
          <w:rFonts w:ascii="Arial" w:hAnsi="Arial"/>
          <w:sz w:val="24"/>
          <w:szCs w:val="24"/>
        </w:rPr>
      </w:pPr>
      <w:r>
        <w:rPr>
          <w:rFonts w:cs="Arial" w:ascii="Arial" w:hAnsi="Arial"/>
          <w:b/>
          <w:sz w:val="24"/>
          <w:szCs w:val="24"/>
          <w:shd w:fill="auto" w:val="clear"/>
        </w:rPr>
        <w:t>DA JUSTIFICATIVA</w:t>
      </w:r>
    </w:p>
    <w:p>
      <w:pPr>
        <w:pStyle w:val="ListParagraph"/>
        <w:spacing w:lineRule="auto" w:line="360"/>
        <w:ind w:hanging="0"/>
        <w:jc w:val="both"/>
        <w:rPr>
          <w:rFonts w:ascii="Arial" w:hAnsi="Arial"/>
          <w:sz w:val="24"/>
          <w:szCs w:val="24"/>
        </w:rPr>
      </w:pPr>
      <w:r>
        <w:rPr>
          <w:rFonts w:cs="Arial" w:ascii="Arial" w:hAnsi="Arial"/>
          <w:sz w:val="24"/>
          <w:szCs w:val="24"/>
          <w:shd w:fill="auto" w:val="clear"/>
        </w:rPr>
        <w:tab/>
        <w:t>A presente demanda visa instruir processo para a contratação de espaço objetivando a abertura de delegacia regional deste CRECI no município, tendo em vista melhor atender os corretores de imóveis, funcionários e a sociedade como um todo.</w:t>
      </w:r>
    </w:p>
    <w:p>
      <w:pPr>
        <w:pStyle w:val="ListParagraph"/>
        <w:spacing w:lineRule="auto" w:line="360"/>
        <w:ind w:left="735" w:hanging="15"/>
        <w:jc w:val="both"/>
        <w:rPr>
          <w:rFonts w:ascii="Arial" w:hAnsi="Arial" w:cs="Arial"/>
          <w:sz w:val="24"/>
          <w:szCs w:val="24"/>
          <w:shd w:fill="FFFF00" w:val="clear"/>
        </w:rPr>
      </w:pPr>
      <w:r>
        <w:rPr>
          <w:rFonts w:cs="Arial" w:ascii="Arial" w:hAnsi="Arial"/>
          <w:sz w:val="24"/>
          <w:szCs w:val="24"/>
          <w:shd w:fill="FFFF00" w:val="clear"/>
        </w:rPr>
      </w:r>
    </w:p>
    <w:p>
      <w:pPr>
        <w:pStyle w:val="PargrafodaLista1"/>
        <w:numPr>
          <w:ilvl w:val="0"/>
          <w:numId w:val="0"/>
        </w:numPr>
        <w:tabs>
          <w:tab w:val="clear" w:pos="708"/>
          <w:tab w:val="left" w:pos="0" w:leader="none"/>
        </w:tabs>
        <w:spacing w:lineRule="auto" w:line="360"/>
        <w:ind w:left="426" w:hanging="0"/>
        <w:jc w:val="both"/>
        <w:rPr>
          <w:rFonts w:ascii="Arial" w:hAnsi="Arial"/>
          <w:sz w:val="24"/>
          <w:szCs w:val="24"/>
        </w:rPr>
      </w:pPr>
      <w:r>
        <w:rPr>
          <w:rFonts w:cs="Arial" w:ascii="Arial" w:hAnsi="Arial"/>
          <w:b/>
          <w:sz w:val="24"/>
          <w:szCs w:val="24"/>
          <w:shd w:fill="auto" w:val="clear"/>
        </w:rPr>
        <w:t>ESPECIFICAÇÕES TÉCNICAS DO IMÓVEL</w:t>
      </w:r>
    </w:p>
    <w:p>
      <w:pPr>
        <w:pStyle w:val="PargrafodaLista1"/>
        <w:numPr>
          <w:ilvl w:val="0"/>
          <w:numId w:val="0"/>
        </w:numPr>
        <w:tabs>
          <w:tab w:val="clear" w:pos="708"/>
          <w:tab w:val="left" w:pos="720" w:leader="none"/>
        </w:tabs>
        <w:spacing w:lineRule="auto" w:line="360" w:before="120" w:after="120"/>
        <w:ind w:left="927" w:hanging="0"/>
        <w:jc w:val="both"/>
        <w:rPr>
          <w:rFonts w:ascii="Arial" w:hAnsi="Arial"/>
          <w:sz w:val="24"/>
          <w:szCs w:val="24"/>
        </w:rPr>
      </w:pPr>
      <w:r>
        <w:rPr>
          <w:rFonts w:cs="Arial" w:ascii="Arial" w:hAnsi="Arial"/>
          <w:b/>
          <w:bCs/>
          <w:sz w:val="24"/>
          <w:szCs w:val="24"/>
          <w:shd w:fill="auto" w:val="clear"/>
        </w:rPr>
        <w:t xml:space="preserve">a) </w:t>
      </w:r>
      <w:r>
        <w:rPr>
          <w:rFonts w:cs="Arial" w:ascii="Arial" w:hAnsi="Arial"/>
          <w:sz w:val="24"/>
          <w:szCs w:val="24"/>
          <w:shd w:fill="auto" w:val="clear"/>
        </w:rPr>
        <w:t xml:space="preserve">A contratação de espaço para abertura de delegacia do CRECI-RS tem a natureza de serviços continuados/tempo indeterminado cabendo a administração aplicar anualmente objetivando a correção dos valores pactuados o índice IPCA; </w:t>
      </w:r>
    </w:p>
    <w:p>
      <w:pPr>
        <w:pStyle w:val="PargrafodaLista1"/>
        <w:numPr>
          <w:ilvl w:val="0"/>
          <w:numId w:val="0"/>
        </w:numPr>
        <w:tabs>
          <w:tab w:val="clear" w:pos="708"/>
          <w:tab w:val="left" w:pos="720" w:leader="none"/>
        </w:tabs>
        <w:spacing w:lineRule="auto" w:line="360" w:before="120" w:after="120"/>
        <w:ind w:left="927" w:hanging="0"/>
        <w:jc w:val="both"/>
        <w:rPr>
          <w:rFonts w:ascii="Arial" w:hAnsi="Arial"/>
          <w:sz w:val="24"/>
          <w:szCs w:val="24"/>
        </w:rPr>
      </w:pPr>
      <w:r>
        <w:rPr>
          <w:rFonts w:cs="Arial" w:ascii="Arial" w:hAnsi="Arial"/>
          <w:b/>
          <w:bCs/>
          <w:sz w:val="24"/>
          <w:szCs w:val="24"/>
          <w:shd w:fill="auto" w:val="clear"/>
        </w:rPr>
        <w:t xml:space="preserve">b) </w:t>
      </w:r>
      <w:r>
        <w:rPr>
          <w:rFonts w:cs="Arial" w:ascii="Arial" w:hAnsi="Arial"/>
          <w:sz w:val="24"/>
          <w:szCs w:val="24"/>
          <w:shd w:fill="auto" w:val="clear"/>
        </w:rPr>
        <w:t>O contratado/locador deverá disponibilizar o imóvel no prazo máximo de 05 dias do envio da nota de empenho;</w:t>
      </w:r>
    </w:p>
    <w:p>
      <w:pPr>
        <w:pStyle w:val="PargrafodaLista1"/>
        <w:numPr>
          <w:ilvl w:val="0"/>
          <w:numId w:val="0"/>
        </w:numPr>
        <w:tabs>
          <w:tab w:val="clear" w:pos="708"/>
          <w:tab w:val="left" w:pos="720" w:leader="none"/>
        </w:tabs>
        <w:spacing w:lineRule="auto" w:line="360" w:before="120" w:after="120"/>
        <w:ind w:left="927" w:hanging="0"/>
        <w:jc w:val="both"/>
        <w:rPr>
          <w:rFonts w:ascii="Arial" w:hAnsi="Arial"/>
          <w:sz w:val="24"/>
          <w:szCs w:val="24"/>
        </w:rPr>
      </w:pPr>
      <w:r>
        <w:rPr>
          <w:rFonts w:cs="Arial" w:ascii="Arial" w:hAnsi="Arial"/>
          <w:b/>
          <w:bCs/>
          <w:sz w:val="24"/>
          <w:szCs w:val="24"/>
          <w:shd w:fill="auto" w:val="clear"/>
        </w:rPr>
        <w:t xml:space="preserve">c) </w:t>
      </w:r>
      <w:r>
        <w:rPr>
          <w:rFonts w:cs="Arial" w:ascii="Arial" w:hAnsi="Arial"/>
          <w:sz w:val="24"/>
          <w:szCs w:val="24"/>
          <w:shd w:fill="auto" w:val="clear"/>
        </w:rPr>
        <w:t>DO LOCAL – o imóvel a ser locado deverá estar em área central da cidade com vias de acesso pavimentadas e de fácil acesso do público em geral;</w:t>
      </w:r>
    </w:p>
    <w:p>
      <w:pPr>
        <w:pStyle w:val="PargrafodaLista1"/>
        <w:numPr>
          <w:ilvl w:val="0"/>
          <w:numId w:val="0"/>
        </w:numPr>
        <w:tabs>
          <w:tab w:val="clear" w:pos="708"/>
          <w:tab w:val="left" w:pos="720" w:leader="none"/>
        </w:tabs>
        <w:spacing w:lineRule="auto" w:line="360" w:before="120" w:after="120"/>
        <w:ind w:left="927" w:hanging="0"/>
        <w:jc w:val="both"/>
        <w:rPr>
          <w:rFonts w:ascii="Arial" w:hAnsi="Arial"/>
          <w:sz w:val="24"/>
          <w:szCs w:val="24"/>
        </w:rPr>
      </w:pPr>
      <w:r>
        <w:rPr>
          <w:rFonts w:cs="Arial" w:ascii="Arial" w:hAnsi="Arial"/>
          <w:b/>
          <w:bCs/>
          <w:sz w:val="24"/>
          <w:szCs w:val="24"/>
          <w:shd w:fill="auto" w:val="clear"/>
        </w:rPr>
        <w:t xml:space="preserve">d) </w:t>
      </w:r>
      <w:r>
        <w:rPr>
          <w:rFonts w:cs="Arial" w:ascii="Arial" w:hAnsi="Arial"/>
          <w:sz w:val="24"/>
          <w:szCs w:val="24"/>
          <w:shd w:fill="auto" w:val="clear"/>
        </w:rPr>
        <w:t>DA ÁREA – A área de escolha da administração por suas características deverá ter entre 40 a 50 m² de extensão;</w:t>
      </w:r>
    </w:p>
    <w:p>
      <w:pPr>
        <w:pStyle w:val="PargrafodaLista1"/>
        <w:numPr>
          <w:ilvl w:val="0"/>
          <w:numId w:val="0"/>
        </w:numPr>
        <w:tabs>
          <w:tab w:val="clear" w:pos="708"/>
          <w:tab w:val="left" w:pos="720" w:leader="none"/>
        </w:tabs>
        <w:spacing w:lineRule="auto" w:line="360" w:before="120" w:after="120"/>
        <w:ind w:left="927" w:hanging="0"/>
        <w:jc w:val="both"/>
        <w:rPr>
          <w:rFonts w:ascii="Arial" w:hAnsi="Arial"/>
          <w:sz w:val="24"/>
          <w:szCs w:val="24"/>
        </w:rPr>
      </w:pPr>
      <w:r>
        <w:rPr>
          <w:rFonts w:cs="Arial" w:ascii="Arial" w:hAnsi="Arial"/>
          <w:b/>
          <w:bCs/>
          <w:sz w:val="24"/>
          <w:szCs w:val="24"/>
          <w:shd w:fill="auto" w:val="clear"/>
        </w:rPr>
        <w:t xml:space="preserve">e) </w:t>
      </w:r>
      <w:r>
        <w:rPr>
          <w:rFonts w:cs="Arial" w:ascii="Arial" w:hAnsi="Arial"/>
          <w:sz w:val="24"/>
          <w:szCs w:val="24"/>
          <w:shd w:fill="auto" w:val="clear"/>
        </w:rPr>
        <w:t>DO EDIFÍCIO/SALA – deverá este apresentar fácil acesso de pessoas, e estar dentro das condições uso para que a administração possa em momento seguinte ao envio das obrigações iniciais, realizar de fato a abertura da sub-regional.</w:t>
      </w:r>
    </w:p>
    <w:p>
      <w:pPr>
        <w:pStyle w:val="PargrafodaLista1"/>
        <w:numPr>
          <w:ilvl w:val="0"/>
          <w:numId w:val="0"/>
        </w:numPr>
        <w:tabs>
          <w:tab w:val="clear" w:pos="708"/>
          <w:tab w:val="left" w:pos="720" w:leader="none"/>
        </w:tabs>
        <w:spacing w:lineRule="auto" w:line="360" w:before="120" w:after="120"/>
        <w:ind w:left="1647" w:hanging="0"/>
        <w:jc w:val="both"/>
        <w:rPr>
          <w:rFonts w:cs="Arial"/>
          <w:shd w:fill="auto" w:val="clear"/>
        </w:rPr>
      </w:pPr>
      <w:r>
        <w:rPr>
          <w:rFonts w:ascii="Arial" w:hAnsi="Arial"/>
          <w:sz w:val="24"/>
          <w:szCs w:val="24"/>
        </w:rPr>
      </w:r>
    </w:p>
    <w:p>
      <w:pPr>
        <w:pStyle w:val="ListParagraph"/>
        <w:numPr>
          <w:ilvl w:val="0"/>
          <w:numId w:val="0"/>
        </w:numPr>
        <w:tabs>
          <w:tab w:val="clear" w:pos="708"/>
          <w:tab w:val="left" w:pos="0" w:leader="none"/>
        </w:tabs>
        <w:suppressAutoHyphens w:val="true"/>
        <w:spacing w:lineRule="auto" w:line="360" w:before="0" w:after="0"/>
        <w:ind w:left="360" w:hanging="0"/>
        <w:contextualSpacing/>
        <w:jc w:val="both"/>
        <w:rPr>
          <w:rFonts w:ascii="Arial" w:hAnsi="Arial"/>
          <w:sz w:val="24"/>
          <w:szCs w:val="24"/>
        </w:rPr>
      </w:pPr>
      <w:r>
        <w:rPr>
          <w:rFonts w:cs="Arial" w:ascii="Arial" w:hAnsi="Arial"/>
          <w:b/>
          <w:sz w:val="24"/>
          <w:szCs w:val="24"/>
          <w:shd w:fill="auto" w:val="clear"/>
        </w:rPr>
        <w:t>DOS PRAZOS E CONDIÇÕES DE EXECUÇÃO DOS SERVIÇOS</w:t>
      </w:r>
    </w:p>
    <w:p>
      <w:pPr>
        <w:pStyle w:val="ListParagraph"/>
        <w:numPr>
          <w:ilvl w:val="0"/>
          <w:numId w:val="0"/>
        </w:numPr>
        <w:suppressAutoHyphens w:val="true"/>
        <w:spacing w:lineRule="auto" w:line="360" w:before="120" w:after="0"/>
        <w:ind w:left="360" w:hanging="0"/>
        <w:contextualSpacing/>
        <w:jc w:val="both"/>
        <w:rPr>
          <w:rFonts w:ascii="Arial" w:hAnsi="Arial"/>
          <w:b w:val="false"/>
          <w:b w:val="false"/>
          <w:bCs w:val="false"/>
          <w:sz w:val="24"/>
          <w:szCs w:val="24"/>
        </w:rPr>
      </w:pPr>
      <w:r>
        <w:rPr>
          <w:rFonts w:cs="Arial" w:ascii="Arial" w:hAnsi="Arial"/>
          <w:b/>
          <w:bCs/>
          <w:sz w:val="24"/>
          <w:szCs w:val="24"/>
          <w:shd w:fill="auto" w:val="clear"/>
        </w:rPr>
        <w:t xml:space="preserve">a) </w:t>
      </w:r>
      <w:r>
        <w:rPr>
          <w:rFonts w:cs="Arial" w:ascii="Arial" w:hAnsi="Arial"/>
          <w:b w:val="false"/>
          <w:bCs w:val="false"/>
          <w:sz w:val="24"/>
          <w:szCs w:val="24"/>
          <w:shd w:fill="auto" w:val="clear"/>
        </w:rPr>
        <w:t>O contrato terá vigência de 36 (doze) meses, a contar de sua assinatura, podendo ser prorrogado, nos termos previstos na Lei 8.245 de 18 de outubro de 1991;</w:t>
      </w:r>
    </w:p>
    <w:p>
      <w:pPr>
        <w:pStyle w:val="ListParagraph"/>
        <w:numPr>
          <w:ilvl w:val="0"/>
          <w:numId w:val="0"/>
        </w:numPr>
        <w:tabs>
          <w:tab w:val="clear" w:pos="708"/>
          <w:tab w:val="left" w:pos="0" w:leader="none"/>
        </w:tabs>
        <w:suppressAutoHyphens w:val="true"/>
        <w:spacing w:lineRule="auto" w:line="360" w:before="120" w:afterAutospacing="1"/>
        <w:ind w:left="360" w:hanging="0"/>
        <w:contextualSpacing/>
        <w:jc w:val="both"/>
        <w:rPr>
          <w:rFonts w:ascii="Arial" w:hAnsi="Arial"/>
          <w:b w:val="false"/>
          <w:b w:val="false"/>
          <w:bCs w:val="false"/>
          <w:sz w:val="24"/>
          <w:szCs w:val="24"/>
        </w:rPr>
      </w:pPr>
      <w:r>
        <w:rPr>
          <w:rFonts w:cs="Arial" w:ascii="Arial" w:hAnsi="Arial"/>
          <w:b/>
          <w:bCs/>
          <w:sz w:val="24"/>
          <w:szCs w:val="24"/>
          <w:shd w:fill="auto" w:val="clear"/>
        </w:rPr>
        <w:t xml:space="preserve">b) </w:t>
      </w:r>
      <w:r>
        <w:rPr>
          <w:rFonts w:cs="Arial" w:ascii="Arial" w:hAnsi="Arial"/>
          <w:b w:val="false"/>
          <w:bCs w:val="false"/>
          <w:sz w:val="24"/>
          <w:szCs w:val="24"/>
          <w:shd w:fill="auto" w:val="clear"/>
        </w:rPr>
        <w:t>A prorrogação dependerá de pesquisa a ser realizada pela Contratada, a fim de se confirmar a manutenção da vantagem econômica para a Administração, inclusive quanto à paridade dos preços cobrados pela Contratada em outros ajustes com outros órgãos e entidades públicos.</w:t>
      </w:r>
    </w:p>
    <w:p>
      <w:pPr>
        <w:pStyle w:val="ListParagraph"/>
        <w:numPr>
          <w:ilvl w:val="0"/>
          <w:numId w:val="0"/>
        </w:numPr>
        <w:tabs>
          <w:tab w:val="clear" w:pos="708"/>
          <w:tab w:val="left" w:pos="0" w:leader="none"/>
        </w:tabs>
        <w:suppressAutoHyphens w:val="true"/>
        <w:spacing w:lineRule="auto" w:line="360" w:before="120" w:afterAutospacing="1"/>
        <w:ind w:left="1080" w:hanging="0"/>
        <w:contextualSpacing/>
        <w:jc w:val="both"/>
        <w:rPr>
          <w:rFonts w:cs="Arial"/>
          <w:b/>
          <w:b/>
          <w:shd w:fill="auto" w:val="clear"/>
        </w:rPr>
      </w:pPr>
      <w:r>
        <w:rPr>
          <w:rFonts w:ascii="Arial" w:hAnsi="Arial"/>
          <w:sz w:val="24"/>
          <w:szCs w:val="24"/>
        </w:rPr>
      </w:r>
    </w:p>
    <w:p>
      <w:pPr>
        <w:pStyle w:val="ListParagraph"/>
        <w:numPr>
          <w:ilvl w:val="0"/>
          <w:numId w:val="0"/>
        </w:numPr>
        <w:tabs>
          <w:tab w:val="clear" w:pos="708"/>
          <w:tab w:val="left" w:pos="0" w:leader="none"/>
        </w:tabs>
        <w:suppressAutoHyphens w:val="true"/>
        <w:spacing w:lineRule="auto" w:line="360" w:before="0" w:after="0"/>
        <w:ind w:left="360" w:hanging="0"/>
        <w:contextualSpacing/>
        <w:jc w:val="both"/>
        <w:rPr>
          <w:rFonts w:ascii="Arial" w:hAnsi="Arial"/>
          <w:sz w:val="24"/>
          <w:szCs w:val="24"/>
        </w:rPr>
      </w:pPr>
      <w:r>
        <w:rPr>
          <w:rFonts w:cs="Arial" w:ascii="Arial" w:hAnsi="Arial"/>
          <w:b/>
          <w:sz w:val="24"/>
          <w:szCs w:val="24"/>
          <w:shd w:fill="auto" w:val="clear"/>
        </w:rPr>
        <w:t>DOS DEVERES E RESPONSABILIDADES DO LOCADOR</w:t>
      </w:r>
    </w:p>
    <w:p>
      <w:pPr>
        <w:pStyle w:val="Normal"/>
        <w:numPr>
          <w:ilvl w:val="0"/>
          <w:numId w:val="0"/>
        </w:numPr>
        <w:spacing w:lineRule="auto" w:line="360" w:before="0" w:after="120"/>
        <w:ind w:left="1494" w:hanging="0"/>
        <w:jc w:val="both"/>
        <w:rPr>
          <w:rFonts w:ascii="Arial" w:hAnsi="Arial"/>
          <w:sz w:val="24"/>
          <w:szCs w:val="24"/>
        </w:rPr>
      </w:pPr>
      <w:r>
        <w:rPr>
          <w:rFonts w:cs="Arial" w:ascii="Arial" w:hAnsi="Arial"/>
          <w:b/>
          <w:bCs/>
          <w:sz w:val="24"/>
          <w:szCs w:val="24"/>
          <w:shd w:fill="auto" w:val="clear"/>
        </w:rPr>
        <w:t xml:space="preserve">a) </w:t>
      </w:r>
      <w:r>
        <w:rPr>
          <w:rFonts w:cs="Arial" w:ascii="Arial" w:hAnsi="Arial"/>
          <w:sz w:val="24"/>
          <w:szCs w:val="24"/>
          <w:shd w:fill="auto" w:val="clear"/>
        </w:rPr>
        <w:t xml:space="preserve">Entregar o imóvel em perfeitas condições de uso para os fins a que se </w:t>
      </w:r>
      <w:r>
        <w:rPr>
          <w:rFonts w:cs="Arial" w:ascii="Arial" w:hAnsi="Arial"/>
          <w:sz w:val="24"/>
          <w:szCs w:val="24"/>
          <w:shd w:fill="auto" w:val="clear"/>
          <w:lang w:eastAsia="pt-BR"/>
        </w:rPr>
        <w:t>destina;</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b) </w:t>
      </w:r>
      <w:r>
        <w:rPr>
          <w:rFonts w:cs="Arial" w:ascii="Arial" w:hAnsi="Arial"/>
          <w:sz w:val="24"/>
          <w:szCs w:val="24"/>
          <w:shd w:fill="auto" w:val="clear"/>
        </w:rPr>
        <w:t>Fornecer declaração atestando que não pesa sobre o imóvel qualquer impedimento de ordem jurídica capaz de colocar em risco a locação, ou, caso exista algum impedimento, prestar os esclarecimentos cabíveis, inclusive com a juntada da documentação pertinente, para fins de avaliação por parte da administração;</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c) </w:t>
      </w:r>
      <w:r>
        <w:rPr>
          <w:rFonts w:cs="Arial" w:ascii="Arial" w:hAnsi="Arial"/>
          <w:sz w:val="24"/>
          <w:szCs w:val="24"/>
          <w:shd w:fill="auto" w:val="clear"/>
        </w:rPr>
        <w:t>Garantir, durante o tempo da locação, o uso pacífico do imóvel</w:t>
      </w:r>
      <w:r>
        <w:rPr>
          <w:rFonts w:cs="Arial" w:ascii="Arial" w:hAnsi="Arial"/>
          <w:sz w:val="24"/>
          <w:szCs w:val="24"/>
          <w:shd w:fill="auto" w:val="clear"/>
          <w:lang w:eastAsia="pt-BR"/>
        </w:rPr>
        <w:t>;</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d) </w:t>
      </w:r>
      <w:r>
        <w:rPr>
          <w:rFonts w:cs="Arial" w:ascii="Arial" w:hAnsi="Arial"/>
          <w:sz w:val="24"/>
          <w:szCs w:val="24"/>
          <w:shd w:fill="auto" w:val="clear"/>
        </w:rPr>
        <w:t>Manter, durante a locação, a forma e o destino do imóvel;</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e) </w:t>
      </w:r>
      <w:r>
        <w:rPr>
          <w:rFonts w:cs="Arial" w:ascii="Arial" w:hAnsi="Arial"/>
          <w:sz w:val="24"/>
          <w:szCs w:val="24"/>
          <w:shd w:fill="auto" w:val="clear"/>
        </w:rPr>
        <w:t>Responder pelos vícios ou defeitos anteriores à locação;</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f) </w:t>
      </w:r>
      <w:r>
        <w:rPr>
          <w:rFonts w:cs="Arial" w:ascii="Arial" w:hAnsi="Arial"/>
          <w:sz w:val="24"/>
          <w:szCs w:val="24"/>
          <w:shd w:fill="auto" w:val="clear"/>
        </w:rPr>
        <w:t>Fornecer ao LOCATÁRIO descrição minuciosa do estado do imóvel, quando de sua vistoria para entrega, com expressa referência aos eventuais defeitos existentes;</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g) </w:t>
      </w:r>
      <w:r>
        <w:rPr>
          <w:rFonts w:cs="Arial" w:ascii="Arial" w:hAnsi="Arial"/>
          <w:sz w:val="24"/>
          <w:szCs w:val="24"/>
          <w:shd w:fill="auto" w:val="clear"/>
        </w:rPr>
        <w:t>Fornecer ao LOCATÁRIO recibo discriminado das importâncias pagas, vedada a quitação genérica;</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w:t>
      </w:r>
      <w:r>
        <w:rPr>
          <w:rFonts w:cs="Arial" w:ascii="Arial" w:hAnsi="Arial"/>
          <w:sz w:val="24"/>
          <w:szCs w:val="24"/>
          <w:shd w:fill="auto" w:val="clear"/>
        </w:rPr>
        <w:t xml:space="preserve"> </w:t>
      </w:r>
      <w:r>
        <w:rPr>
          <w:rFonts w:cs="Arial" w:ascii="Arial" w:hAnsi="Arial"/>
          <w:sz w:val="24"/>
          <w:szCs w:val="24"/>
          <w:shd w:fill="auto" w:val="clear"/>
        </w:rPr>
        <w:t xml:space="preserve">Pagar as despesas extraordinárias de condomínio, entendidas como aquelas que não se refiram aos gastos rotineiros de manutenção do edifício, como, por exemplo: </w:t>
      </w:r>
    </w:p>
    <w:p>
      <w:pPr>
        <w:pStyle w:val="Normal"/>
        <w:numPr>
          <w:ilvl w:val="0"/>
          <w:numId w:val="0"/>
        </w:numPr>
        <w:spacing w:lineRule="auto" w:line="360" w:before="120" w:after="120"/>
        <w:ind w:left="1353" w:hanging="0"/>
        <w:jc w:val="both"/>
        <w:rPr>
          <w:rFonts w:ascii="Arial" w:hAnsi="Arial"/>
          <w:sz w:val="24"/>
          <w:szCs w:val="24"/>
        </w:rPr>
      </w:pPr>
      <w:r>
        <w:rPr>
          <w:rFonts w:cs="Arial" w:ascii="Arial" w:hAnsi="Arial"/>
          <w:b/>
          <w:bCs/>
          <w:sz w:val="24"/>
          <w:szCs w:val="24"/>
          <w:shd w:fill="auto" w:val="clear"/>
        </w:rPr>
        <w:t xml:space="preserve">h.1) </w:t>
      </w:r>
      <w:r>
        <w:rPr>
          <w:rFonts w:cs="Arial" w:ascii="Arial" w:hAnsi="Arial"/>
          <w:sz w:val="24"/>
          <w:szCs w:val="24"/>
          <w:shd w:fill="auto" w:val="clear"/>
        </w:rPr>
        <w:t xml:space="preserve">Obras de reformas ou acréscimos que interessem à estrutura integral do imóvel; </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h.2)</w:t>
      </w:r>
      <w:r>
        <w:rPr>
          <w:rFonts w:cs="Arial" w:ascii="Arial" w:hAnsi="Arial"/>
          <w:sz w:val="24"/>
          <w:szCs w:val="24"/>
          <w:shd w:fill="auto" w:val="clear"/>
        </w:rPr>
        <w:t xml:space="preserve"> </w:t>
      </w:r>
      <w:r>
        <w:rPr>
          <w:rFonts w:cs="Arial" w:ascii="Arial" w:hAnsi="Arial"/>
          <w:sz w:val="24"/>
          <w:szCs w:val="24"/>
          <w:shd w:fill="auto" w:val="clear"/>
        </w:rPr>
        <w:t xml:space="preserve">Pintura das fachadas, empenas, poços de aeração e iluminação, bem como das esquadrias externas; </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h.3)</w:t>
      </w:r>
      <w:r>
        <w:rPr>
          <w:rFonts w:cs="Arial" w:ascii="Arial" w:hAnsi="Arial"/>
          <w:sz w:val="24"/>
          <w:szCs w:val="24"/>
          <w:shd w:fill="auto" w:val="clear"/>
        </w:rPr>
        <w:t xml:space="preserve"> </w:t>
      </w:r>
      <w:r>
        <w:rPr>
          <w:rFonts w:cs="Arial" w:ascii="Arial" w:hAnsi="Arial"/>
          <w:sz w:val="24"/>
          <w:szCs w:val="24"/>
          <w:shd w:fill="auto" w:val="clear"/>
        </w:rPr>
        <w:t xml:space="preserve">Obras destinadas a repor as condições de habitação do edifício; </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h.4)</w:t>
      </w:r>
      <w:r>
        <w:rPr>
          <w:rFonts w:cs="Arial" w:ascii="Arial" w:hAnsi="Arial"/>
          <w:sz w:val="24"/>
          <w:szCs w:val="24"/>
          <w:shd w:fill="auto" w:val="clear"/>
        </w:rPr>
        <w:t xml:space="preserve"> </w:t>
      </w:r>
      <w:r>
        <w:rPr>
          <w:rFonts w:cs="Arial" w:ascii="Arial" w:hAnsi="Arial"/>
          <w:sz w:val="24"/>
          <w:szCs w:val="24"/>
          <w:shd w:fill="auto" w:val="clear"/>
        </w:rPr>
        <w:t>Instalação de equipamento de segurança e de incêndio, de telefonia, de intercomunicação, de esporte e de lazer;</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h.5)</w:t>
      </w:r>
      <w:r>
        <w:rPr>
          <w:rFonts w:cs="Arial" w:ascii="Arial" w:hAnsi="Arial"/>
          <w:sz w:val="24"/>
          <w:szCs w:val="24"/>
          <w:shd w:fill="auto" w:val="clear"/>
        </w:rPr>
        <w:t xml:space="preserve"> </w:t>
      </w:r>
      <w:r>
        <w:rPr>
          <w:rFonts w:cs="Arial" w:ascii="Arial" w:hAnsi="Arial"/>
          <w:sz w:val="24"/>
          <w:szCs w:val="24"/>
          <w:shd w:fill="auto" w:val="clear"/>
        </w:rPr>
        <w:t xml:space="preserve">Despesas de decoração e paisagismo nas partes de uso comum; </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h.6)</w:t>
      </w:r>
      <w:r>
        <w:rPr>
          <w:rFonts w:cs="Arial" w:ascii="Arial" w:hAnsi="Arial"/>
          <w:sz w:val="24"/>
          <w:szCs w:val="24"/>
          <w:shd w:fill="auto" w:val="clear"/>
        </w:rPr>
        <w:t xml:space="preserve"> </w:t>
      </w:r>
      <w:r>
        <w:rPr>
          <w:rFonts w:cs="Arial" w:ascii="Arial" w:hAnsi="Arial"/>
          <w:sz w:val="24"/>
          <w:szCs w:val="24"/>
          <w:shd w:fill="auto" w:val="clear"/>
        </w:rPr>
        <w:t xml:space="preserve">Constituição de fundo de reserva, e reposição deste, quando utilizado para cobertura de despesas extraordinárias; </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h.7)</w:t>
      </w:r>
      <w:r>
        <w:rPr>
          <w:rFonts w:cs="Arial" w:ascii="Arial" w:hAnsi="Arial"/>
          <w:sz w:val="24"/>
          <w:szCs w:val="24"/>
          <w:shd w:fill="auto" w:val="clear"/>
        </w:rPr>
        <w:t xml:space="preserve"> </w:t>
      </w:r>
      <w:r>
        <w:rPr>
          <w:rFonts w:cs="Arial" w:ascii="Arial" w:hAnsi="Arial"/>
          <w:sz w:val="24"/>
          <w:szCs w:val="24"/>
          <w:shd w:fill="auto" w:val="clear"/>
        </w:rPr>
        <w:t>Entregar, em perfeito estado de funcionamento, os sistemas de combate a incêndio e rede de lógica, bem como o sistema hidráulico e a rede elétrica;</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h.8)</w:t>
      </w:r>
      <w:r>
        <w:rPr>
          <w:rFonts w:cs="Arial" w:ascii="Arial" w:hAnsi="Arial"/>
          <w:sz w:val="24"/>
          <w:szCs w:val="24"/>
          <w:shd w:fill="auto" w:val="clear"/>
        </w:rPr>
        <w:t xml:space="preserve"> </w:t>
      </w:r>
      <w:r>
        <w:rPr>
          <w:rFonts w:cs="Arial" w:ascii="Arial" w:hAnsi="Arial"/>
          <w:sz w:val="24"/>
          <w:szCs w:val="24"/>
          <w:shd w:fill="auto" w:val="clear"/>
        </w:rPr>
        <w:t xml:space="preserve">Manter, durante a vigência do contrato, todas as condições de habilitação e qualificação exigidas no processo de contratação; </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h.9)</w:t>
      </w:r>
      <w:r>
        <w:rPr>
          <w:rFonts w:cs="Arial" w:ascii="Arial" w:hAnsi="Arial"/>
          <w:sz w:val="24"/>
          <w:szCs w:val="24"/>
          <w:shd w:fill="auto" w:val="clear"/>
        </w:rPr>
        <w:t xml:space="preserve"> </w:t>
      </w:r>
      <w:r>
        <w:rPr>
          <w:rFonts w:cs="Arial" w:ascii="Arial" w:hAnsi="Arial"/>
          <w:sz w:val="24"/>
          <w:szCs w:val="24"/>
          <w:shd w:fill="auto" w:val="clear"/>
        </w:rPr>
        <w:t xml:space="preserve">Exibir ao LOCATÁRIO, quando solicitado, os comprovantes relativos às parcelas que estejam sendo exigidas; </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h.10) </w:t>
      </w:r>
      <w:r>
        <w:rPr>
          <w:rFonts w:cs="Arial" w:ascii="Arial" w:hAnsi="Arial"/>
          <w:sz w:val="24"/>
          <w:szCs w:val="24"/>
          <w:shd w:fill="auto" w:val="clear"/>
        </w:rPr>
        <w:t xml:space="preserve">Pagar o prêmio de seguro complementar contra fogo; </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h.11)</w:t>
      </w:r>
      <w:r>
        <w:rPr>
          <w:rFonts w:cs="Arial" w:ascii="Arial" w:hAnsi="Arial"/>
          <w:sz w:val="24"/>
          <w:szCs w:val="24"/>
          <w:shd w:fill="auto" w:val="clear"/>
        </w:rPr>
        <w:t xml:space="preserve"> </w:t>
      </w:r>
      <w:r>
        <w:rPr>
          <w:rFonts w:cs="Arial" w:ascii="Arial" w:hAnsi="Arial"/>
          <w:sz w:val="24"/>
          <w:szCs w:val="24"/>
          <w:shd w:fill="auto" w:val="clear"/>
        </w:rPr>
        <w:t>Providenciar a atualização do Auto de Vistoria do Corpo de Bombeiros e o pagamento do prêmio de seguro complementar contra fogo, caso ocorra um sinistro dessa natureza;</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h.12)</w:t>
      </w:r>
      <w:r>
        <w:rPr>
          <w:rFonts w:cs="Arial" w:ascii="Arial" w:hAnsi="Arial"/>
          <w:sz w:val="24"/>
          <w:szCs w:val="24"/>
          <w:shd w:fill="auto" w:val="clear"/>
        </w:rPr>
        <w:t xml:space="preserve"> </w:t>
      </w:r>
      <w:r>
        <w:rPr>
          <w:rFonts w:cs="Arial" w:ascii="Arial" w:hAnsi="Arial"/>
          <w:sz w:val="24"/>
          <w:szCs w:val="24"/>
          <w:shd w:fill="auto" w:val="clear"/>
        </w:rPr>
        <w:t>Informar ao LOCATÁRIO quaisquer alterações na titularidade do imóvel, inclusive com a apresentação da documentação correspondente.</w:t>
      </w:r>
    </w:p>
    <w:p>
      <w:pPr>
        <w:pStyle w:val="Normal"/>
        <w:numPr>
          <w:ilvl w:val="0"/>
          <w:numId w:val="0"/>
        </w:numPr>
        <w:spacing w:lineRule="auto" w:line="360" w:before="120" w:after="120"/>
        <w:ind w:left="2203" w:hanging="0"/>
        <w:jc w:val="both"/>
        <w:rPr>
          <w:rFonts w:cs="Arial"/>
          <w:shd w:fill="auto" w:val="clear"/>
        </w:rPr>
      </w:pPr>
      <w:r>
        <w:rPr>
          <w:rFonts w:ascii="Arial" w:hAnsi="Arial"/>
          <w:sz w:val="24"/>
          <w:szCs w:val="24"/>
        </w:rPr>
      </w:r>
    </w:p>
    <w:p>
      <w:pPr>
        <w:pStyle w:val="Recuodecorpodetexto21"/>
        <w:numPr>
          <w:ilvl w:val="0"/>
          <w:numId w:val="0"/>
        </w:numPr>
        <w:spacing w:lineRule="auto" w:line="360"/>
        <w:ind w:left="360" w:hanging="0"/>
        <w:rPr>
          <w:rFonts w:ascii="Arial" w:hAnsi="Arial"/>
          <w:sz w:val="24"/>
          <w:szCs w:val="24"/>
        </w:rPr>
      </w:pPr>
      <w:r>
        <w:rPr>
          <w:rFonts w:cs="Arial" w:ascii="Arial" w:hAnsi="Arial"/>
          <w:b/>
          <w:sz w:val="24"/>
          <w:szCs w:val="24"/>
          <w:shd w:fill="auto" w:val="clear"/>
        </w:rPr>
        <w:t>DOS DEVERES E RESPONSABILIDADES DO LOCATÁRIO</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a) </w:t>
      </w:r>
      <w:r>
        <w:rPr>
          <w:rFonts w:cs="Arial" w:ascii="Arial" w:hAnsi="Arial"/>
          <w:sz w:val="24"/>
          <w:szCs w:val="24"/>
          <w:shd w:fill="auto" w:val="clear"/>
        </w:rPr>
        <w:t xml:space="preserve">O LOCATÁRIO obriga-se a: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b) </w:t>
      </w:r>
      <w:r>
        <w:rPr>
          <w:rFonts w:cs="Arial" w:ascii="Arial" w:hAnsi="Arial"/>
          <w:sz w:val="24"/>
          <w:szCs w:val="24"/>
          <w:shd w:fill="auto" w:val="clear"/>
        </w:rPr>
        <w:t xml:space="preserve">Pagar o aluguel e os encargos da locação exigíveis, no prazo estipulado neste contrato; </w:t>
      </w:r>
    </w:p>
    <w:p>
      <w:pPr>
        <w:pStyle w:val="Normal"/>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c) </w:t>
      </w:r>
      <w:r>
        <w:rPr>
          <w:rFonts w:cs="Arial" w:ascii="Arial" w:hAnsi="Arial"/>
          <w:sz w:val="24"/>
          <w:szCs w:val="24"/>
          <w:shd w:fill="auto" w:val="clear"/>
        </w:rPr>
        <w:t xml:space="preserve">Pagar os impostos (especialmente Imposto Predial Territorial Urbano - IPTU) e taxas, inclusive a contribuição para o custeio de serviços de iluminação pública, incidentes sobre o imóvel;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d)</w:t>
      </w:r>
      <w:r>
        <w:rPr>
          <w:rFonts w:cs="Arial" w:ascii="Arial" w:hAnsi="Arial"/>
          <w:sz w:val="24"/>
          <w:szCs w:val="24"/>
          <w:shd w:fill="auto" w:val="clear"/>
        </w:rPr>
        <w:t xml:space="preserve"> </w:t>
      </w:r>
      <w:r>
        <w:rPr>
          <w:rFonts w:cs="Arial" w:ascii="Arial" w:hAnsi="Arial"/>
          <w:sz w:val="24"/>
          <w:szCs w:val="24"/>
          <w:shd w:fill="auto" w:val="clear"/>
        </w:rPr>
        <w:t xml:space="preserve">Servir-se do imóvel para o uso convencionado ou presumido, compatível com a natureza deste e com o fim a que se destina, devendo conservá-lo como se seu fosse;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e)</w:t>
      </w:r>
      <w:r>
        <w:rPr>
          <w:rFonts w:cs="Arial" w:ascii="Arial" w:hAnsi="Arial"/>
          <w:sz w:val="24"/>
          <w:szCs w:val="24"/>
          <w:shd w:fill="auto" w:val="clear"/>
        </w:rPr>
        <w:t xml:space="preserve"> </w:t>
      </w:r>
      <w:r>
        <w:rPr>
          <w:rFonts w:cs="Arial" w:ascii="Arial" w:hAnsi="Arial"/>
          <w:sz w:val="24"/>
          <w:szCs w:val="24"/>
          <w:shd w:fill="auto" w:val="clear"/>
        </w:rPr>
        <w:t xml:space="preserve">Realizar vistoria do imóvel, por ocasião da entrega das chaves, para fins de verificação minuciosa do estado do imóvel, fazendo constar do Termo de Vistoria os eventuais defeitos existentes;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f)</w:t>
      </w:r>
      <w:r>
        <w:rPr>
          <w:rFonts w:cs="Arial" w:ascii="Arial" w:hAnsi="Arial"/>
          <w:sz w:val="24"/>
          <w:szCs w:val="24"/>
          <w:shd w:fill="auto" w:val="clear"/>
        </w:rPr>
        <w:t xml:space="preserve"> Restituir o imóvel, finda a locação, nas condições em que o recebeu, conforme documento de descrição minuciosa elaborado quando da vistoria para entrega, salvo os desgastes e deteriorações decorrentes do uso normal;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g)</w:t>
      </w:r>
      <w:r>
        <w:rPr>
          <w:rFonts w:cs="Arial" w:ascii="Arial" w:hAnsi="Arial"/>
          <w:sz w:val="24"/>
          <w:szCs w:val="24"/>
          <w:shd w:fill="auto" w:val="clear"/>
        </w:rPr>
        <w:t xml:space="preserve"> Comunicar ao LOCADOR qualquer dano ou defeito cuja reparação a este incumba, bem como as eventuais turbações de terceiros;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h)</w:t>
      </w:r>
      <w:r>
        <w:rPr>
          <w:rFonts w:cs="Arial" w:ascii="Arial" w:hAnsi="Arial"/>
          <w:sz w:val="24"/>
          <w:szCs w:val="24"/>
          <w:shd w:fill="auto" w:val="clear"/>
        </w:rPr>
        <w:t xml:space="preserve"> Consentir com a realização de reparos urgentes, a cargo do LOCADOR, assegurando-se o direito ao abatimento proporcional do aluguel, caso os reparos durem mais de dez dias, nos termos do artigo 26 da Lei n° 8.245, de 1991;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i)</w:t>
      </w:r>
      <w:r>
        <w:rPr>
          <w:rFonts w:cs="Arial" w:ascii="Arial" w:hAnsi="Arial"/>
          <w:sz w:val="24"/>
          <w:szCs w:val="24"/>
          <w:shd w:fill="auto" w:val="clear"/>
        </w:rPr>
        <w:t xml:space="preserve"> Realizar o imediato reparo dos danos verificados no imóvel, ou nas suas instalações, provocados por seus agentes, funcionários ou visitantes autorizados;</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j)</w:t>
      </w:r>
      <w:r>
        <w:rPr>
          <w:rFonts w:cs="Arial" w:ascii="Arial" w:hAnsi="Arial"/>
          <w:sz w:val="24"/>
          <w:szCs w:val="24"/>
          <w:shd w:fill="auto" w:val="clear"/>
        </w:rPr>
        <w:t xml:space="preserve"> Não modificar a forma externa ou interna do imóvel, sem o consentimento prévio e por escrito do LOCADOR;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k)</w:t>
      </w:r>
      <w:r>
        <w:rPr>
          <w:rFonts w:cs="Arial" w:ascii="Arial" w:hAnsi="Arial"/>
          <w:sz w:val="24"/>
          <w:szCs w:val="24"/>
          <w:shd w:fill="auto" w:val="clear"/>
        </w:rPr>
        <w:t xml:space="preserve"> </w:t>
      </w:r>
      <w:r>
        <w:rPr>
          <w:rFonts w:cs="Arial" w:ascii="Arial" w:hAnsi="Arial"/>
          <w:sz w:val="24"/>
          <w:szCs w:val="24"/>
          <w:shd w:fill="auto" w:val="clear"/>
        </w:rPr>
        <w:t xml:space="preserve">Entregar imediatamente ao LOCADOR os documentos de cobrança de tributos e encargos condominiais, cujo pagamento não seja de seu encargo, bem como qualquer intimação, multa ou exigência de autoridade pública, ainda que direcionada ao LOCATÁRIO;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i w:val="false"/>
          <w:iCs w:val="false"/>
          <w:sz w:val="24"/>
          <w:szCs w:val="24"/>
          <w:shd w:fill="auto" w:val="clear"/>
        </w:rPr>
        <w:t>l)</w:t>
      </w:r>
      <w:r>
        <w:rPr>
          <w:rFonts w:cs="Arial" w:ascii="Arial" w:hAnsi="Arial"/>
          <w:sz w:val="24"/>
          <w:szCs w:val="24"/>
          <w:shd w:fill="auto" w:val="clear"/>
        </w:rPr>
        <w:t xml:space="preserve"> Pagar as despesas ordinárias de condomínio, entendidas como aquelas necessárias à sua administração, como, por exemplo:</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m)</w:t>
      </w:r>
      <w:r>
        <w:rPr>
          <w:rFonts w:cs="Arial" w:ascii="Arial" w:hAnsi="Arial"/>
          <w:sz w:val="24"/>
          <w:szCs w:val="24"/>
          <w:shd w:fill="auto" w:val="clear"/>
        </w:rPr>
        <w:t xml:space="preserve"> </w:t>
      </w:r>
      <w:r>
        <w:rPr>
          <w:rFonts w:cs="Arial" w:ascii="Arial" w:hAnsi="Arial"/>
          <w:sz w:val="24"/>
          <w:szCs w:val="24"/>
          <w:shd w:fill="auto" w:val="clear"/>
        </w:rPr>
        <w:t xml:space="preserve">Salários, encargos trabalhistas, contribuições previdenciárias e sociais dos empregados do condomínio;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n)</w:t>
      </w:r>
      <w:r>
        <w:rPr>
          <w:rFonts w:cs="Arial" w:ascii="Arial" w:hAnsi="Arial"/>
          <w:sz w:val="24"/>
          <w:szCs w:val="24"/>
          <w:shd w:fill="auto" w:val="clear"/>
        </w:rPr>
        <w:t xml:space="preserve"> </w:t>
      </w:r>
      <w:r>
        <w:rPr>
          <w:rFonts w:cs="Arial" w:ascii="Arial" w:hAnsi="Arial"/>
          <w:sz w:val="24"/>
          <w:szCs w:val="24"/>
          <w:shd w:fill="auto" w:val="clear"/>
        </w:rPr>
        <w:t xml:space="preserve">Consumo de água e esgoto, gás, luz e força das áreas de uso comum;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o)</w:t>
      </w:r>
      <w:r>
        <w:rPr>
          <w:rFonts w:cs="Arial" w:ascii="Arial" w:hAnsi="Arial"/>
          <w:b/>
          <w:bCs/>
          <w:sz w:val="24"/>
          <w:szCs w:val="24"/>
          <w:shd w:fill="auto" w:val="clear"/>
        </w:rPr>
        <w:t xml:space="preserve"> </w:t>
      </w:r>
      <w:r>
        <w:rPr>
          <w:rFonts w:cs="Arial" w:ascii="Arial" w:hAnsi="Arial"/>
          <w:sz w:val="24"/>
          <w:szCs w:val="24"/>
          <w:shd w:fill="auto" w:val="clear"/>
        </w:rPr>
        <w:t xml:space="preserve">Limpeza, conservação e pintura das instalações e dependências de uso comum;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p)</w:t>
      </w:r>
      <w:r>
        <w:rPr>
          <w:rFonts w:cs="Arial" w:ascii="Arial" w:hAnsi="Arial"/>
          <w:sz w:val="24"/>
          <w:szCs w:val="24"/>
          <w:shd w:fill="auto" w:val="clear"/>
        </w:rPr>
        <w:t xml:space="preserve"> </w:t>
      </w:r>
      <w:r>
        <w:rPr>
          <w:rFonts w:cs="Arial" w:ascii="Arial" w:hAnsi="Arial"/>
          <w:sz w:val="24"/>
          <w:szCs w:val="24"/>
          <w:shd w:fill="auto" w:val="clear"/>
        </w:rPr>
        <w:t xml:space="preserve">Manutenção e conservação das instalações e equipamentos hidráulicos, elétricos, mecânicos e de segurança, de uso comum;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q)</w:t>
      </w:r>
      <w:r>
        <w:rPr>
          <w:rFonts w:cs="Arial" w:ascii="Arial" w:hAnsi="Arial"/>
          <w:sz w:val="24"/>
          <w:szCs w:val="24"/>
          <w:shd w:fill="auto" w:val="clear"/>
        </w:rPr>
        <w:t xml:space="preserve"> Manutenção e conservação das instalações e equipamentos de uso comum destinados à prática de esportes e lazer;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r)</w:t>
      </w:r>
      <w:r>
        <w:rPr>
          <w:rFonts w:cs="Arial" w:ascii="Arial" w:hAnsi="Arial"/>
          <w:sz w:val="24"/>
          <w:szCs w:val="24"/>
          <w:shd w:fill="auto" w:val="clear"/>
        </w:rPr>
        <w:t xml:space="preserve"> Manutenção e conservação de elevadores, porteiro eletrônico e antenas coletivas;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s)</w:t>
      </w:r>
      <w:r>
        <w:rPr>
          <w:rFonts w:cs="Arial" w:ascii="Arial" w:hAnsi="Arial"/>
          <w:sz w:val="24"/>
          <w:szCs w:val="24"/>
          <w:shd w:fill="auto" w:val="clear"/>
        </w:rPr>
        <w:t xml:space="preserve"> Pequenos reparos nas dependências e instalações elétricas e hidráulicas de uso comum;</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t)</w:t>
      </w:r>
      <w:r>
        <w:rPr>
          <w:rFonts w:cs="Arial" w:ascii="Arial" w:hAnsi="Arial"/>
          <w:sz w:val="24"/>
          <w:szCs w:val="24"/>
          <w:shd w:fill="auto" w:val="clear"/>
        </w:rPr>
        <w:t xml:space="preserve"> </w:t>
      </w:r>
      <w:r>
        <w:rPr>
          <w:rFonts w:cs="Arial" w:ascii="Arial" w:hAnsi="Arial"/>
          <w:sz w:val="24"/>
          <w:szCs w:val="24"/>
          <w:shd w:fill="auto" w:val="clear"/>
        </w:rPr>
        <w:t xml:space="preserve">Permitir a vistoria do imóvel pelo LOCADOR ou por seus mandatários, mediante prévia combinação de dia e hora, bem como admitir que seja visitado e examinado por terceiros, na hipótese prevista no artigo 27 da Lei nº 8.245, de 1991;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u)</w:t>
      </w:r>
      <w:r>
        <w:rPr>
          <w:rFonts w:cs="Arial" w:ascii="Arial" w:hAnsi="Arial"/>
          <w:sz w:val="24"/>
          <w:szCs w:val="24"/>
          <w:shd w:fill="auto" w:val="clear"/>
        </w:rPr>
        <w:t xml:space="preserve"> Cumprir integralmente a convenção de condomínio e os regulamentos internos.</w:t>
      </w:r>
    </w:p>
    <w:p>
      <w:pPr>
        <w:pStyle w:val="Recuodecorpodetexto21"/>
        <w:numPr>
          <w:ilvl w:val="0"/>
          <w:numId w:val="0"/>
        </w:numPr>
        <w:spacing w:lineRule="auto" w:line="360" w:before="120" w:after="120"/>
        <w:ind w:left="1494" w:hanging="0"/>
        <w:jc w:val="both"/>
        <w:rPr>
          <w:rFonts w:cs="Arial"/>
          <w:b/>
          <w:b/>
          <w:shd w:fill="auto" w:val="clear"/>
        </w:rPr>
      </w:pPr>
      <w:r>
        <w:rPr>
          <w:rFonts w:ascii="Arial" w:hAnsi="Arial"/>
          <w:sz w:val="24"/>
          <w:szCs w:val="24"/>
        </w:rPr>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sz w:val="24"/>
          <w:szCs w:val="24"/>
          <w:shd w:fill="auto" w:val="clear"/>
        </w:rPr>
        <w:t>DAS BENFEITORIAS E CONSERVAÇÃO</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sz w:val="24"/>
          <w:szCs w:val="24"/>
          <w:shd w:fill="auto" w:val="clear"/>
        </w:rPr>
        <w:t xml:space="preserve">a) </w:t>
      </w:r>
      <w:r>
        <w:rPr>
          <w:rFonts w:cs="Arial" w:ascii="Arial" w:hAnsi="Arial"/>
          <w:sz w:val="24"/>
          <w:szCs w:val="24"/>
          <w:shd w:fill="auto" w:val="clear"/>
        </w:rPr>
        <w:t>As benfeitorias necessárias introduzidas pelo LOCATÁRIO, ainda que não autorizadas pelo LOCADOR, bem como as úteis, desde que autorizadas, serão indenizáveis e permitem o exercício do direito de retenção, de acordo com o artigo 35 da Lei 8.245, de 1991, e o artigo 578 do Código Civil;</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b)</w:t>
      </w:r>
      <w:r>
        <w:rPr>
          <w:rFonts w:cs="Arial" w:ascii="Arial" w:hAnsi="Arial"/>
          <w:sz w:val="24"/>
          <w:szCs w:val="24"/>
          <w:shd w:fill="auto" w:val="clear"/>
        </w:rPr>
        <w:t xml:space="preserve"> </w:t>
      </w:r>
      <w:r>
        <w:rPr>
          <w:rFonts w:cs="Arial" w:ascii="Arial" w:hAnsi="Arial"/>
          <w:sz w:val="24"/>
          <w:szCs w:val="24"/>
          <w:shd w:fill="auto" w:val="clear"/>
        </w:rPr>
        <w:t>O LOCATÁRIO fica desde já autorizado a fazer, no imóvel locado, as adaptações indispensáveis ao desempenho das suas atividades;</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c)</w:t>
      </w:r>
      <w:r>
        <w:rPr>
          <w:rFonts w:cs="Arial" w:ascii="Arial" w:hAnsi="Arial"/>
          <w:sz w:val="24"/>
          <w:szCs w:val="24"/>
          <w:shd w:fill="auto" w:val="clear"/>
        </w:rPr>
        <w:t xml:space="preserve"> </w:t>
      </w:r>
      <w:r>
        <w:rPr>
          <w:rFonts w:cs="Arial" w:ascii="Arial" w:hAnsi="Arial"/>
          <w:sz w:val="24"/>
          <w:szCs w:val="24"/>
          <w:shd w:fill="auto" w:val="clear"/>
        </w:rPr>
        <w:t>Em qualquer caso, todas as benfeitorias desmontáveis, tais como lambris, biombos, cofre construído, tapetes, etc., poderão ser retiradas pelo LOCATÁRIO, devendo o imóvel locado, entretanto, ser devolvido com os seus respectivos acessórios;</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d)</w:t>
      </w:r>
      <w:r>
        <w:rPr>
          <w:rFonts w:cs="Arial" w:ascii="Arial" w:hAnsi="Arial"/>
          <w:sz w:val="24"/>
          <w:szCs w:val="24"/>
          <w:shd w:fill="auto" w:val="clear"/>
        </w:rPr>
        <w:t xml:space="preserve"> </w:t>
      </w:r>
      <w:r>
        <w:rPr>
          <w:rFonts w:cs="Arial" w:ascii="Arial" w:hAnsi="Arial"/>
          <w:sz w:val="24"/>
          <w:szCs w:val="24"/>
          <w:shd w:fill="auto" w:val="clear"/>
        </w:rPr>
        <w:t>Finda a locação, será o imóvel devolvido ao LOCADOR, nas condições em que foi recebido pelo LOCATÁRIO, conforme documento de descrição minuciosa elaborado quando da vistoria para entrega, salvo os desgastes e deteriorações decorrentes do uso normal.</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sz w:val="24"/>
          <w:szCs w:val="24"/>
          <w:shd w:fill="FFFF00" w:val="clear"/>
        </w:rPr>
        <w:t xml:space="preserve">                                                                                                                                                                                                                                                                                                                                                                                                                                                                                                                                                                                                                                                                                                                    </w:t>
      </w:r>
    </w:p>
    <w:p>
      <w:pPr>
        <w:pStyle w:val="Recuodecorpodetexto21"/>
        <w:numPr>
          <w:ilvl w:val="0"/>
          <w:numId w:val="0"/>
        </w:numPr>
        <w:spacing w:lineRule="auto" w:line="360"/>
        <w:ind w:left="360" w:hanging="0"/>
        <w:jc w:val="both"/>
        <w:rPr>
          <w:rFonts w:ascii="Arial" w:hAnsi="Arial"/>
          <w:sz w:val="24"/>
          <w:szCs w:val="24"/>
        </w:rPr>
      </w:pPr>
      <w:r>
        <w:rPr>
          <w:rFonts w:cs="Arial" w:ascii="Arial" w:hAnsi="Arial"/>
          <w:b/>
          <w:sz w:val="24"/>
          <w:szCs w:val="24"/>
          <w:shd w:fill="auto" w:val="clear"/>
        </w:rPr>
        <w:t>DO PAGAMENTO:</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a)</w:t>
      </w:r>
      <w:r>
        <w:rPr>
          <w:rFonts w:cs="Arial" w:ascii="Arial" w:hAnsi="Arial"/>
          <w:sz w:val="24"/>
          <w:szCs w:val="24"/>
          <w:shd w:fill="auto" w:val="clear"/>
        </w:rPr>
        <w:t xml:space="preserve"> </w:t>
      </w:r>
      <w:r>
        <w:rPr>
          <w:rFonts w:cs="Arial" w:ascii="Arial" w:hAnsi="Arial"/>
          <w:sz w:val="24"/>
          <w:szCs w:val="24"/>
          <w:shd w:fill="auto" w:val="clear"/>
        </w:rPr>
        <w:t>O pagamento será realizado após o recebimento definitivo do objeto desta contratação, e do atesto da respectiva nota fiscal, através de ordem bancária em nome da Contratada, desde que esta indique o banco, agência e conta-corrente a ser creditada;</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b)</w:t>
      </w:r>
      <w:r>
        <w:rPr>
          <w:rFonts w:cs="Arial" w:ascii="Arial" w:hAnsi="Arial"/>
          <w:sz w:val="24"/>
          <w:szCs w:val="24"/>
          <w:shd w:fill="auto" w:val="clear"/>
        </w:rPr>
        <w:t xml:space="preserve"> </w:t>
      </w:r>
      <w:r>
        <w:rPr>
          <w:rFonts w:cs="Arial" w:ascii="Arial" w:hAnsi="Arial"/>
          <w:sz w:val="24"/>
          <w:szCs w:val="24"/>
          <w:shd w:fill="auto" w:val="clear"/>
        </w:rPr>
        <w:t>A Contratada deverá apresentar, juntamente com a nota fiscal/fatura, as certidões de regularidade fiscal junto à Previdência Social (CND), Receita Federal do Brasil, Fundo de Garantia (CRF) e ao Tribunal Superior do Trabalho (CNDT);</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c)</w:t>
      </w:r>
      <w:r>
        <w:rPr>
          <w:rFonts w:cs="Arial" w:ascii="Arial" w:hAnsi="Arial"/>
          <w:sz w:val="24"/>
          <w:szCs w:val="24"/>
          <w:shd w:fill="auto" w:val="clear"/>
        </w:rPr>
        <w:t xml:space="preserve"> </w:t>
      </w:r>
      <w:r>
        <w:rPr>
          <w:rFonts w:cs="Arial" w:ascii="Arial" w:hAnsi="Arial"/>
          <w:sz w:val="24"/>
          <w:szCs w:val="24"/>
          <w:shd w:fill="auto" w:val="clear"/>
        </w:rPr>
        <w:t>A nota fiscal que contiver erro ou rasura será devolvida à Contratada para retificação, reabrindo-se em favor da Contratante o prazo para atesto e pagamento;</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d)</w:t>
      </w:r>
      <w:r>
        <w:rPr>
          <w:rFonts w:cs="Arial" w:ascii="Arial" w:hAnsi="Arial"/>
          <w:sz w:val="24"/>
          <w:szCs w:val="24"/>
          <w:shd w:fill="auto" w:val="clear"/>
        </w:rPr>
        <w:t xml:space="preserve"> </w:t>
      </w:r>
      <w:r>
        <w:rPr>
          <w:rFonts w:cs="Arial" w:ascii="Arial" w:hAnsi="Arial"/>
          <w:sz w:val="24"/>
          <w:szCs w:val="24"/>
          <w:shd w:fill="auto" w:val="clear"/>
        </w:rPr>
        <w:t>A data para pagamento mensal será definida em comum acordo.</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sz w:val="24"/>
          <w:szCs w:val="24"/>
          <w:shd w:fill="auto" w:val="clear"/>
        </w:rPr>
        <w:t>DO REAJUSTE</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sz w:val="24"/>
          <w:szCs w:val="24"/>
          <w:shd w:fill="auto" w:val="clear"/>
        </w:rPr>
        <w:t xml:space="preserve">a) </w:t>
      </w:r>
      <w:r>
        <w:rPr>
          <w:rFonts w:cs="Arial" w:ascii="Arial" w:hAnsi="Arial"/>
          <w:sz w:val="24"/>
          <w:szCs w:val="24"/>
          <w:shd w:fill="auto" w:val="clear"/>
        </w:rPr>
        <w:t>Será admitido o reajuste do preço do aluguel da locação com prazo de vigência igual ou superior a doze meses, mediante a aplicação do (Índice Nacional de Preços ao Consumidor Amplo – IPCA), ou outro que venha substituí-lo, divulgado pelo Instituto Brasileiro de Geografia e Estatística – IBGE, desde que seja observado o interregno mínimo de 1 (um) ano, contado da data da assinatura do contrato, para o primeiro reajuste, ou da data do último reajuste, para os subsequentes.</w:t>
      </w:r>
    </w:p>
    <w:p>
      <w:pPr>
        <w:pStyle w:val="Recuodecorpodetexto21"/>
        <w:numPr>
          <w:ilvl w:val="0"/>
          <w:numId w:val="0"/>
        </w:numPr>
        <w:spacing w:lineRule="auto" w:line="360" w:before="120" w:after="120"/>
        <w:ind w:left="1494" w:hanging="0"/>
        <w:jc w:val="both"/>
        <w:rPr>
          <w:rFonts w:cs="Arial"/>
          <w:b/>
          <w:b/>
          <w:shd w:fill="auto" w:val="clear"/>
        </w:rPr>
      </w:pPr>
      <w:r>
        <w:rPr>
          <w:rFonts w:ascii="Arial" w:hAnsi="Arial"/>
          <w:sz w:val="24"/>
          <w:szCs w:val="24"/>
        </w:rPr>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sz w:val="24"/>
          <w:szCs w:val="24"/>
          <w:shd w:fill="auto" w:val="clear"/>
        </w:rPr>
        <w:t>DA FISCALIZAÇÃO E ACOMPANHAMENTO</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sz w:val="24"/>
          <w:szCs w:val="24"/>
          <w:shd w:fill="auto" w:val="clear"/>
        </w:rPr>
        <w:t xml:space="preserve">a) </w:t>
      </w:r>
      <w:r>
        <w:rPr>
          <w:rFonts w:cs="Arial" w:ascii="Arial" w:hAnsi="Arial"/>
          <w:sz w:val="24"/>
          <w:szCs w:val="24"/>
          <w:shd w:fill="auto" w:val="clear"/>
        </w:rPr>
        <w:t>A fiscalização do presente contrato será exercida por um representante do qual competirá dirimir as dúvidas que surgirem no curso da execução do contrato e de tudo dará ciência à Administração;</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b)</w:t>
      </w:r>
      <w:r>
        <w:rPr>
          <w:rFonts w:cs="Arial" w:ascii="Arial" w:hAnsi="Arial"/>
          <w:sz w:val="24"/>
          <w:szCs w:val="24"/>
          <w:shd w:fill="auto" w:val="clear"/>
        </w:rPr>
        <w:t xml:space="preserve"> </w:t>
      </w:r>
      <w:r>
        <w:rPr>
          <w:rFonts w:cs="Arial" w:ascii="Arial" w:hAnsi="Arial"/>
          <w:sz w:val="24"/>
          <w:szCs w:val="24"/>
          <w:shd w:fill="auto" w:val="clear"/>
        </w:rPr>
        <w:t xml:space="preserve">A fiscalização de que trata esta cláusula não exclui nem reduz a responsabilidade do LOCADOR,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a Lei nº 14.133, de 2021.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c)</w:t>
      </w:r>
      <w:r>
        <w:rPr>
          <w:rFonts w:cs="Arial" w:ascii="Arial" w:hAnsi="Arial"/>
          <w:sz w:val="24"/>
          <w:szCs w:val="24"/>
          <w:shd w:fill="auto" w:val="clear"/>
        </w:rPr>
        <w:t xml:space="preserve"> </w:t>
      </w:r>
      <w:r>
        <w:rPr>
          <w:rFonts w:cs="Arial" w:ascii="Arial" w:hAnsi="Arial"/>
          <w:sz w:val="24"/>
          <w:szCs w:val="24"/>
          <w:shd w:fill="auto" w:val="clear"/>
        </w:rPr>
        <w:t xml:space="preserve">O fiscal do contrato anotará em registro próprio todas as ocorrências relacionadas com a execução do contrato, indicando dia, mês e ano, bem como o nome das pessoas eventualmente envolvidas, determinando o que for necessário à regularização das faltas ou defeitos observados e encaminhando os apontamentos à autoridade competente para as providências cabíveis.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d)</w:t>
      </w:r>
      <w:r>
        <w:rPr>
          <w:rFonts w:cs="Arial" w:ascii="Arial" w:hAnsi="Arial"/>
          <w:sz w:val="24"/>
          <w:szCs w:val="24"/>
          <w:shd w:fill="auto" w:val="clear"/>
        </w:rPr>
        <w:t xml:space="preserve"> </w:t>
      </w:r>
      <w:r>
        <w:rPr>
          <w:rFonts w:cs="Arial" w:ascii="Arial" w:hAnsi="Arial"/>
          <w:sz w:val="24"/>
          <w:szCs w:val="24"/>
          <w:shd w:fill="auto" w:val="clear"/>
        </w:rPr>
        <w:t xml:space="preserve">As decisões e providências que ultrapassarem a competência do fiscal do contrato deverão ser solicitadas a seus superiores em tempo hábil, para a adoção das medidas convenientes. </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bCs/>
          <w:sz w:val="24"/>
          <w:szCs w:val="24"/>
          <w:shd w:fill="auto" w:val="clear"/>
        </w:rPr>
        <w:t xml:space="preserve">e) </w:t>
      </w:r>
      <w:r>
        <w:rPr>
          <w:rFonts w:cs="Arial" w:ascii="Arial" w:hAnsi="Arial"/>
          <w:sz w:val="24"/>
          <w:szCs w:val="24"/>
          <w:shd w:fill="auto" w:val="clear"/>
        </w:rPr>
        <w:t>O LOCADOR poderá indicar um representante para representá-lo na execução do contrato.</w:t>
      </w:r>
    </w:p>
    <w:p>
      <w:pPr>
        <w:pStyle w:val="Recuodecorpodetexto21"/>
        <w:numPr>
          <w:ilvl w:val="0"/>
          <w:numId w:val="0"/>
        </w:numPr>
        <w:spacing w:lineRule="auto" w:line="360" w:before="120" w:after="120"/>
        <w:ind w:left="1494" w:hanging="0"/>
        <w:jc w:val="both"/>
        <w:rPr>
          <w:rFonts w:ascii="Arial" w:hAnsi="Arial"/>
          <w:sz w:val="24"/>
          <w:szCs w:val="24"/>
        </w:rPr>
      </w:pPr>
      <w:r>
        <w:rPr>
          <w:rFonts w:cs="Arial" w:ascii="Arial" w:hAnsi="Arial"/>
          <w:b/>
          <w:sz w:val="24"/>
          <w:szCs w:val="24"/>
          <w:shd w:fill="auto" w:val="clear"/>
        </w:rPr>
        <w:t xml:space="preserve">f) </w:t>
      </w:r>
      <w:r>
        <w:rPr>
          <w:rFonts w:cs="Arial" w:ascii="Arial" w:hAnsi="Arial"/>
          <w:b/>
          <w:sz w:val="24"/>
          <w:szCs w:val="24"/>
          <w:shd w:fill="auto" w:val="clear"/>
        </w:rPr>
        <w:t>FISCAL DO CONTRATO: Felipe Souza Gaspar Silva</w:t>
      </w:r>
    </w:p>
    <w:p>
      <w:pPr>
        <w:pStyle w:val="Recuodecorpodetexto21"/>
        <w:numPr>
          <w:ilvl w:val="0"/>
          <w:numId w:val="0"/>
        </w:numPr>
        <w:spacing w:lineRule="auto" w:line="360" w:before="120" w:after="120"/>
        <w:ind w:hanging="0"/>
        <w:jc w:val="both"/>
        <w:rPr>
          <w:rFonts w:ascii="Arial" w:hAnsi="Arial"/>
          <w:sz w:val="24"/>
          <w:szCs w:val="24"/>
        </w:rPr>
      </w:pPr>
      <w:r>
        <w:rPr>
          <w:rFonts w:cs="Arial" w:ascii="Arial" w:hAnsi="Arial"/>
          <w:b/>
          <w:sz w:val="24"/>
          <w:szCs w:val="24"/>
          <w:shd w:fill="auto" w:val="clear"/>
        </w:rPr>
        <w:t>CPF: 834.501.900-59</w:t>
      </w:r>
    </w:p>
    <w:p>
      <w:pPr>
        <w:pStyle w:val="Recuodecorpodetexto21"/>
        <w:numPr>
          <w:ilvl w:val="0"/>
          <w:numId w:val="0"/>
        </w:numPr>
        <w:spacing w:lineRule="auto" w:line="360" w:before="120" w:after="120"/>
        <w:ind w:hanging="0"/>
        <w:jc w:val="both"/>
        <w:rPr>
          <w:rFonts w:ascii="Arial" w:hAnsi="Arial"/>
          <w:sz w:val="24"/>
          <w:szCs w:val="24"/>
        </w:rPr>
      </w:pPr>
      <w:r>
        <w:rPr>
          <w:rFonts w:cs="Arial" w:ascii="Arial" w:hAnsi="Arial"/>
          <w:b/>
          <w:sz w:val="24"/>
          <w:szCs w:val="24"/>
          <w:shd w:fill="auto" w:val="clear"/>
        </w:rPr>
        <w:t>TELEFONE: (51) 98170-9704</w:t>
      </w:r>
    </w:p>
    <w:p>
      <w:pPr>
        <w:pStyle w:val="Recuodecorpodetexto21"/>
        <w:numPr>
          <w:ilvl w:val="0"/>
          <w:numId w:val="0"/>
        </w:numPr>
        <w:spacing w:lineRule="auto" w:line="360" w:before="120" w:after="120"/>
        <w:ind w:hanging="0"/>
        <w:jc w:val="both"/>
        <w:rPr/>
      </w:pPr>
      <w:r>
        <w:rPr>
          <w:rFonts w:cs="Arial" w:ascii="Arial" w:hAnsi="Arial"/>
          <w:b/>
          <w:sz w:val="24"/>
          <w:szCs w:val="24"/>
          <w:shd w:fill="auto" w:val="clear"/>
        </w:rPr>
        <w:t xml:space="preserve">E-MAIL: </w:t>
      </w:r>
      <w:r>
        <w:rPr>
          <w:rStyle w:val="LinkdaInternet"/>
          <w:rFonts w:cs="Arial" w:ascii="Arial" w:hAnsi="Arial"/>
          <w:b/>
          <w:sz w:val="24"/>
          <w:szCs w:val="24"/>
          <w:shd w:fill="auto" w:val="clear"/>
        </w:rPr>
        <w:t>felipe.silva@creci-rs.gov.br</w:t>
      </w:r>
    </w:p>
    <w:p>
      <w:pPr>
        <w:pStyle w:val="Recuodecorpodetexto21"/>
        <w:numPr>
          <w:ilvl w:val="0"/>
          <w:numId w:val="0"/>
        </w:numPr>
        <w:spacing w:lineRule="auto" w:line="360" w:before="120" w:after="120"/>
        <w:ind w:left="1494" w:hanging="0"/>
        <w:jc w:val="both"/>
        <w:rPr>
          <w:rFonts w:ascii="Arial" w:hAnsi="Arial" w:cs="Arial"/>
          <w:b/>
          <w:b/>
          <w:sz w:val="24"/>
          <w:szCs w:val="24"/>
          <w:shd w:fill="FFFF00" w:val="clear"/>
        </w:rPr>
      </w:pPr>
      <w:r>
        <w:rPr>
          <w:rFonts w:cs="Arial" w:ascii="Arial" w:hAnsi="Arial"/>
          <w:b/>
          <w:sz w:val="24"/>
          <w:szCs w:val="24"/>
          <w:shd w:fill="FFFF00" w:val="clear"/>
        </w:rPr>
      </w:r>
    </w:p>
    <w:p>
      <w:pPr>
        <w:pStyle w:val="Recuodecorpodetexto21"/>
        <w:numPr>
          <w:ilvl w:val="0"/>
          <w:numId w:val="0"/>
        </w:numPr>
        <w:spacing w:lineRule="auto" w:line="360" w:before="120" w:after="120"/>
        <w:ind w:left="360" w:hanging="0"/>
        <w:jc w:val="both"/>
        <w:rPr>
          <w:rFonts w:ascii="Arial" w:hAnsi="Arial"/>
          <w:sz w:val="24"/>
          <w:szCs w:val="24"/>
        </w:rPr>
      </w:pPr>
      <w:r>
        <w:rPr>
          <w:rFonts w:cs="Arial" w:ascii="Arial" w:hAnsi="Arial"/>
          <w:b/>
          <w:sz w:val="24"/>
          <w:szCs w:val="24"/>
          <w:shd w:fill="auto" w:val="clear"/>
        </w:rPr>
        <w:t>SANÇÕES ADMINISTRATIVAS</w:t>
      </w:r>
    </w:p>
    <w:p>
      <w:pPr>
        <w:pStyle w:val="Recuodecorpodetexto21"/>
        <w:numPr>
          <w:ilvl w:val="0"/>
          <w:numId w:val="0"/>
        </w:numPr>
        <w:spacing w:lineRule="auto" w:line="360" w:before="120" w:after="120"/>
        <w:ind w:left="1494" w:hanging="0"/>
        <w:jc w:val="both"/>
        <w:rPr/>
      </w:pPr>
      <w:r>
        <w:rPr>
          <w:rFonts w:cs="Arial" w:ascii="Arial" w:hAnsi="Arial"/>
          <w:b/>
          <w:bCs/>
          <w:sz w:val="24"/>
          <w:szCs w:val="24"/>
          <w:shd w:fill="auto" w:val="clear"/>
        </w:rPr>
        <w:t>a)</w:t>
      </w:r>
      <w:r>
        <w:rPr>
          <w:rFonts w:cs="Arial" w:ascii="Arial" w:hAnsi="Arial"/>
          <w:sz w:val="24"/>
          <w:szCs w:val="24"/>
          <w:shd w:fill="auto" w:val="clear"/>
        </w:rPr>
        <w:t xml:space="preserve"> </w:t>
      </w:r>
      <w:r>
        <w:rPr>
          <w:rFonts w:cs="Arial" w:ascii="Arial" w:hAnsi="Arial"/>
          <w:sz w:val="24"/>
          <w:szCs w:val="24"/>
          <w:shd w:fill="auto" w:val="clear"/>
        </w:rPr>
        <w:t>Em caso de inexecução parcial ou total das condições pactuadas, garantida a prévia defesa, ficará a Contratada sujeita às sanções previstas na Lei 14.133/21 e demais legislação pertinente, sem prejuízo das responsabilidades civil e criminal que seu ato ensejar.</w:t>
      </w:r>
    </w:p>
    <w:p>
      <w:pPr>
        <w:pStyle w:val="Recuodecorpodetexto21"/>
        <w:numPr>
          <w:ilvl w:val="0"/>
          <w:numId w:val="0"/>
        </w:numPr>
        <w:spacing w:lineRule="auto" w:line="360" w:before="120" w:after="120"/>
        <w:ind w:left="1494" w:hanging="0"/>
        <w:jc w:val="both"/>
        <w:rPr>
          <w:rStyle w:val="Appleconvertedspace"/>
          <w:rFonts w:ascii="Arial" w:hAnsi="Arial" w:cs="Arial"/>
          <w:b/>
          <w:b/>
          <w:sz w:val="24"/>
          <w:szCs w:val="24"/>
          <w:shd w:fill="auto" w:val="clear"/>
        </w:rPr>
      </w:pPr>
      <w:r>
        <w:rPr/>
      </w:r>
    </w:p>
    <w:p>
      <w:pPr>
        <w:pStyle w:val="Recuodecorpodetexto21"/>
        <w:numPr>
          <w:ilvl w:val="0"/>
          <w:numId w:val="0"/>
        </w:numPr>
        <w:spacing w:lineRule="auto" w:line="360" w:before="120" w:after="120"/>
        <w:ind w:left="1494" w:hanging="0"/>
        <w:jc w:val="both"/>
        <w:rPr/>
      </w:pPr>
      <w:r>
        <w:rPr>
          <w:rStyle w:val="Appleconvertedspace"/>
          <w:rFonts w:cs="Arial" w:ascii="Arial" w:hAnsi="Arial"/>
          <w:b/>
          <w:sz w:val="24"/>
          <w:szCs w:val="24"/>
          <w:shd w:fill="auto" w:val="clear"/>
        </w:rPr>
        <w:t>FORMA DE CONTRATAÇÃ</w:t>
      </w:r>
      <w:r>
        <w:rPr>
          <w:rStyle w:val="Appleconvertedspace"/>
          <w:rFonts w:cs="Arial" w:ascii="Arial" w:hAnsi="Arial"/>
          <w:b/>
          <w:sz w:val="24"/>
          <w:szCs w:val="24"/>
          <w:shd w:fill="auto" w:val="clear"/>
        </w:rPr>
        <w:t>O</w:t>
      </w:r>
    </w:p>
    <w:p>
      <w:pPr>
        <w:pStyle w:val="Recuodecorpodetexto21"/>
        <w:numPr>
          <w:ilvl w:val="0"/>
          <w:numId w:val="0"/>
        </w:numPr>
        <w:spacing w:lineRule="auto" w:line="360" w:before="120" w:after="120"/>
        <w:ind w:left="1494" w:hanging="0"/>
        <w:jc w:val="both"/>
        <w:rPr/>
      </w:pPr>
      <w:r>
        <w:rPr>
          <w:rStyle w:val="Appleconvertedspace"/>
          <w:rFonts w:cs="Arial" w:ascii="Arial" w:hAnsi="Arial"/>
          <w:b/>
          <w:bCs/>
          <w:sz w:val="24"/>
          <w:szCs w:val="24"/>
          <w:shd w:fill="auto" w:val="clear"/>
        </w:rPr>
        <w:t>a)</w:t>
      </w:r>
      <w:r>
        <w:rPr>
          <w:rStyle w:val="Appleconvertedspace"/>
          <w:rFonts w:cs="Arial" w:ascii="Arial" w:hAnsi="Arial"/>
          <w:b/>
          <w:sz w:val="24"/>
          <w:szCs w:val="24"/>
          <w:shd w:fill="auto" w:val="clear"/>
        </w:rPr>
        <w:t xml:space="preserve"> </w:t>
      </w:r>
      <w:r>
        <w:rPr>
          <w:rStyle w:val="Appleconvertedspace"/>
          <w:rFonts w:cs="Arial" w:ascii="Arial" w:hAnsi="Arial"/>
          <w:sz w:val="24"/>
          <w:szCs w:val="24"/>
          <w:shd w:fill="auto" w:val="clear"/>
        </w:rPr>
        <w:t>Inexigibilidade de Licitação fundada no inciso V, do artigo 74, da Lei 14.133 de 1º de abril de 2021.</w:t>
      </w:r>
    </w:p>
    <w:p>
      <w:pPr>
        <w:pStyle w:val="Recuodecorpodetexto21"/>
        <w:numPr>
          <w:ilvl w:val="0"/>
          <w:numId w:val="0"/>
        </w:numPr>
        <w:spacing w:lineRule="auto" w:line="360" w:before="120" w:after="120"/>
        <w:ind w:left="1494" w:hanging="0"/>
        <w:jc w:val="both"/>
        <w:rPr>
          <w:rStyle w:val="Appleconvertedspace"/>
          <w:rFonts w:ascii="Arial" w:hAnsi="Arial" w:cs="Arial"/>
          <w:b/>
          <w:b/>
          <w:sz w:val="24"/>
          <w:szCs w:val="24"/>
          <w:shd w:fill="auto" w:val="clear"/>
        </w:rPr>
      </w:pPr>
      <w:r>
        <w:rPr/>
      </w:r>
    </w:p>
    <w:p>
      <w:pPr>
        <w:pStyle w:val="Recuodecorpodetexto21"/>
        <w:numPr>
          <w:ilvl w:val="0"/>
          <w:numId w:val="0"/>
        </w:numPr>
        <w:spacing w:lineRule="auto" w:line="360" w:before="120" w:after="120"/>
        <w:ind w:left="1494" w:hanging="0"/>
        <w:jc w:val="both"/>
        <w:rPr/>
      </w:pPr>
      <w:r>
        <w:rPr>
          <w:rStyle w:val="Appleconvertedspace"/>
          <w:rFonts w:cs="Arial" w:ascii="Arial" w:hAnsi="Arial"/>
          <w:b/>
          <w:sz w:val="24"/>
          <w:szCs w:val="24"/>
          <w:shd w:fill="auto" w:val="clear"/>
        </w:rPr>
        <w:t>PREVISÃO ORÇAMENTÁRIA</w:t>
      </w:r>
    </w:p>
    <w:p>
      <w:pPr>
        <w:pStyle w:val="Recuodecorpodetexto21"/>
        <w:numPr>
          <w:ilvl w:val="0"/>
          <w:numId w:val="0"/>
        </w:numPr>
        <w:spacing w:lineRule="auto" w:line="360" w:before="120" w:after="120"/>
        <w:ind w:left="1494" w:hanging="0"/>
        <w:jc w:val="both"/>
        <w:rPr/>
      </w:pPr>
      <w:r>
        <w:rPr>
          <w:rStyle w:val="Appleconvertedspace"/>
          <w:rFonts w:cs="Arial" w:ascii="Arial" w:hAnsi="Arial"/>
          <w:b/>
          <w:bCs/>
          <w:sz w:val="24"/>
          <w:szCs w:val="24"/>
          <w:shd w:fill="auto" w:val="clear"/>
        </w:rPr>
        <w:t>a)</w:t>
      </w:r>
      <w:r>
        <w:rPr>
          <w:rStyle w:val="Appleconvertedspace"/>
          <w:rFonts w:cs="Arial" w:ascii="Arial" w:hAnsi="Arial"/>
          <w:b/>
          <w:sz w:val="24"/>
          <w:szCs w:val="24"/>
          <w:shd w:fill="auto" w:val="clear"/>
        </w:rPr>
        <w:t xml:space="preserve"> </w:t>
      </w:r>
      <w:r>
        <w:rPr>
          <w:rStyle w:val="Appleconvertedspace"/>
          <w:rFonts w:cs="Arial" w:ascii="Arial" w:hAnsi="Arial"/>
          <w:sz w:val="24"/>
          <w:szCs w:val="24"/>
          <w:shd w:fill="auto" w:val="clear"/>
        </w:rPr>
        <w:t xml:space="preserve">Contas Orçamentárias: </w:t>
      </w:r>
    </w:p>
    <w:p>
      <w:pPr>
        <w:pStyle w:val="Cabealho"/>
        <w:numPr>
          <w:ilvl w:val="0"/>
          <w:numId w:val="0"/>
        </w:numPr>
        <w:spacing w:lineRule="auto" w:line="360"/>
        <w:ind w:left="1080" w:hanging="0"/>
        <w:rPr/>
      </w:pPr>
      <w:r>
        <w:rPr>
          <w:rStyle w:val="Appleconvertedspace"/>
          <w:rFonts w:cs="Arial" w:ascii="Arial" w:hAnsi="Arial"/>
          <w:sz w:val="24"/>
          <w:szCs w:val="24"/>
          <w:shd w:fill="auto" w:val="clear"/>
        </w:rPr>
        <w:t>6.3.1.3.04.01.027 – Locação de Bens Imóveis</w:t>
      </w:r>
    </w:p>
    <w:p>
      <w:pPr>
        <w:pStyle w:val="Cabealho"/>
        <w:numPr>
          <w:ilvl w:val="0"/>
          <w:numId w:val="0"/>
        </w:numPr>
        <w:spacing w:lineRule="auto" w:line="360"/>
        <w:ind w:left="1080" w:hanging="0"/>
        <w:rPr/>
      </w:pPr>
      <w:r>
        <w:rPr>
          <w:rStyle w:val="Appleconvertedspace"/>
          <w:rFonts w:cs="Arial" w:ascii="Arial" w:hAnsi="Arial"/>
          <w:sz w:val="24"/>
          <w:szCs w:val="24"/>
          <w:shd w:fill="auto" w:val="clear"/>
        </w:rPr>
        <w:t>6.3.1.3.04.01.028 – Condomínios</w:t>
      </w:r>
    </w:p>
    <w:p>
      <w:pPr>
        <w:pStyle w:val="Cabealho"/>
        <w:numPr>
          <w:ilvl w:val="0"/>
          <w:numId w:val="0"/>
        </w:numPr>
        <w:spacing w:lineRule="auto" w:line="360"/>
        <w:ind w:left="1080" w:hanging="0"/>
        <w:rPr/>
      </w:pPr>
      <w:r>
        <w:rPr>
          <w:rStyle w:val="Appleconvertedspace"/>
          <w:rFonts w:cs="Arial" w:ascii="Arial" w:hAnsi="Arial"/>
          <w:sz w:val="24"/>
          <w:szCs w:val="24"/>
          <w:shd w:fill="auto" w:val="clear"/>
        </w:rPr>
        <w:t>6.3.1.3.04.01.051 – Impostos, taxas, multas e juros;</w:t>
      </w:r>
    </w:p>
    <w:p>
      <w:pPr>
        <w:pStyle w:val="Cabealho"/>
        <w:widowControl/>
        <w:numPr>
          <w:ilvl w:val="0"/>
          <w:numId w:val="0"/>
        </w:numPr>
        <w:tabs>
          <w:tab w:val="center" w:pos="4252" w:leader="none"/>
          <w:tab w:val="right" w:pos="8504" w:leader="none"/>
        </w:tabs>
        <w:suppressAutoHyphens w:val="true"/>
        <w:bidi w:val="0"/>
        <w:spacing w:lineRule="auto" w:line="360" w:before="0" w:after="0"/>
        <w:ind w:left="740" w:right="0" w:hanging="0"/>
        <w:jc w:val="left"/>
        <w:rPr/>
      </w:pPr>
      <w:r>
        <w:rPr>
          <w:rStyle w:val="Appleconvertedspace"/>
          <w:rFonts w:eastAsia="Calibri" w:cs="Arial" w:ascii="Arial" w:hAnsi="Arial"/>
          <w:b/>
          <w:bCs/>
          <w:color w:val="000000"/>
          <w:kern w:val="0"/>
          <w:sz w:val="24"/>
          <w:szCs w:val="24"/>
          <w:shd w:fill="auto" w:val="clear"/>
          <w:lang w:val="pt-BR" w:eastAsia="en-US" w:bidi="ar-SA"/>
        </w:rPr>
        <w:t>b)</w:t>
      </w:r>
      <w:r>
        <w:rPr>
          <w:rStyle w:val="Appleconvertedspace"/>
          <w:rFonts w:eastAsia="Calibri" w:cs="Arial" w:ascii="Arial" w:hAnsi="Arial"/>
          <w:b/>
          <w:bCs/>
          <w:color w:val="000000"/>
          <w:kern w:val="0"/>
          <w:sz w:val="24"/>
          <w:szCs w:val="24"/>
          <w:shd w:fill="auto" w:val="clear"/>
          <w:lang w:val="pt-BR" w:eastAsia="en-US" w:bidi="ar-SA"/>
        </w:rPr>
        <w:t xml:space="preserve"> </w:t>
      </w:r>
      <w:r>
        <w:rPr>
          <w:rStyle w:val="Appleconvertedspace"/>
          <w:rFonts w:eastAsia="Calibri" w:cs="Arial" w:ascii="Arial" w:hAnsi="Arial"/>
          <w:color w:val="000000"/>
          <w:kern w:val="0"/>
          <w:sz w:val="24"/>
          <w:szCs w:val="24"/>
          <w:shd w:fill="auto" w:val="clear"/>
          <w:lang w:val="pt-BR" w:eastAsia="en-US" w:bidi="ar-SA"/>
        </w:rPr>
        <w:t>Valores Contas Orçamentárias:</w:t>
      </w:r>
    </w:p>
    <w:p>
      <w:pPr>
        <w:pStyle w:val="Cabealho"/>
        <w:numPr>
          <w:ilvl w:val="0"/>
          <w:numId w:val="0"/>
        </w:numPr>
        <w:spacing w:lineRule="auto" w:line="360"/>
        <w:ind w:left="1080" w:hanging="0"/>
        <w:rPr/>
      </w:pPr>
      <w:r>
        <w:rPr>
          <w:rStyle w:val="Appleconvertedspace"/>
          <w:rFonts w:cs="Arial" w:ascii="Arial" w:hAnsi="Arial"/>
          <w:sz w:val="24"/>
          <w:szCs w:val="24"/>
          <w:shd w:fill="auto" w:val="clear"/>
        </w:rPr>
        <w:t xml:space="preserve">6.3.1.3.04.01.027 – Locação de Bens Imóveis – </w:t>
      </w:r>
      <w:r>
        <w:rPr>
          <w:rStyle w:val="Appleconvertedspace"/>
          <w:rFonts w:cs="Arial" w:ascii="Arial" w:hAnsi="Arial"/>
          <w:sz w:val="24"/>
          <w:szCs w:val="24"/>
          <w:shd w:fill="auto" w:val="clear"/>
        </w:rPr>
        <w:t>R$ 19.200,00 (dezenove mil e duzentos reais);</w:t>
      </w:r>
    </w:p>
    <w:p>
      <w:pPr>
        <w:pStyle w:val="Cabealho"/>
        <w:numPr>
          <w:ilvl w:val="0"/>
          <w:numId w:val="0"/>
        </w:numPr>
        <w:spacing w:lineRule="auto" w:line="360"/>
        <w:ind w:left="1080" w:hanging="0"/>
        <w:rPr/>
      </w:pPr>
      <w:r>
        <w:rPr>
          <w:rStyle w:val="Appleconvertedspace"/>
          <w:rFonts w:cs="Arial" w:ascii="Arial" w:hAnsi="Arial"/>
          <w:sz w:val="24"/>
          <w:szCs w:val="24"/>
          <w:shd w:fill="auto" w:val="clear"/>
        </w:rPr>
        <w:t>6.3.1.3.04.01.028 – Condomínios – R$ 5.002,68 (</w:t>
      </w:r>
      <w:r>
        <w:rPr>
          <w:rStyle w:val="Appleconvertedspace"/>
          <w:rFonts w:cs="Arial" w:ascii="Arial" w:hAnsi="Arial"/>
          <w:b w:val="false"/>
          <w:i w:val="false"/>
          <w:caps w:val="false"/>
          <w:smallCaps w:val="false"/>
          <w:color w:val="000000"/>
          <w:spacing w:val="0"/>
          <w:sz w:val="24"/>
          <w:szCs w:val="24"/>
          <w:shd w:fill="auto" w:val="clear"/>
        </w:rPr>
        <w:t>cinco mil e dois reais e sessenta e oito centavos);</w:t>
      </w:r>
      <w:r>
        <w:rPr>
          <w:rStyle w:val="Appleconvertedspace"/>
          <w:rFonts w:cs="Arial" w:ascii="Arial" w:hAnsi="Arial"/>
          <w:sz w:val="24"/>
          <w:szCs w:val="24"/>
          <w:shd w:fill="auto" w:val="clear"/>
        </w:rPr>
        <w:t xml:space="preserve"> </w:t>
      </w:r>
    </w:p>
    <w:p>
      <w:pPr>
        <w:pStyle w:val="Cabealho"/>
        <w:numPr>
          <w:ilvl w:val="0"/>
          <w:numId w:val="0"/>
        </w:numPr>
        <w:spacing w:lineRule="auto" w:line="360"/>
        <w:ind w:left="1080" w:hanging="0"/>
        <w:rPr/>
      </w:pPr>
      <w:r>
        <w:rPr>
          <w:rStyle w:val="Appleconvertedspace"/>
          <w:rFonts w:eastAsia="Calibri" w:cs="Arial" w:ascii="Arial" w:hAnsi="Arial"/>
          <w:color w:val="000000"/>
          <w:kern w:val="0"/>
          <w:sz w:val="24"/>
          <w:szCs w:val="24"/>
          <w:shd w:fill="auto" w:val="clear"/>
          <w:lang w:val="pt-BR" w:eastAsia="en-US" w:bidi="ar-SA"/>
        </w:rPr>
        <w:t xml:space="preserve">6.3.1.3.04.01.051 – Impostos, taxas, multas e juros - </w:t>
      </w:r>
      <w:r>
        <w:rPr>
          <w:rStyle w:val="Appleconvertedspace"/>
          <w:rFonts w:eastAsia="Calibri" w:cs="Arial" w:ascii="Arial" w:hAnsi="Arial"/>
          <w:b w:val="false"/>
          <w:i w:val="false"/>
          <w:caps w:val="false"/>
          <w:smallCaps w:val="false"/>
          <w:color w:val="000000"/>
          <w:spacing w:val="0"/>
          <w:kern w:val="0"/>
          <w:sz w:val="24"/>
          <w:szCs w:val="24"/>
          <w:shd w:fill="auto" w:val="clear"/>
          <w:lang w:val="pt-BR" w:eastAsia="en-US" w:bidi="ar-SA"/>
        </w:rPr>
        <w:t>R$ 583,89 (quinhentos e oitenta e três reais e oitenta e nove centavos).</w:t>
      </w:r>
    </w:p>
    <w:p>
      <w:pPr>
        <w:pStyle w:val="Cabealho"/>
        <w:widowControl/>
        <w:numPr>
          <w:ilvl w:val="0"/>
          <w:numId w:val="0"/>
        </w:numPr>
        <w:suppressAutoHyphens w:val="true"/>
        <w:bidi w:val="0"/>
        <w:spacing w:lineRule="auto" w:line="360" w:before="0" w:after="0"/>
        <w:ind w:left="740" w:right="0" w:hanging="0"/>
        <w:jc w:val="left"/>
        <w:rPr/>
      </w:pPr>
      <w:r>
        <w:rPr>
          <w:rStyle w:val="Appleconvertedspace"/>
          <w:rFonts w:cs="Arial" w:ascii="Arial" w:hAnsi="Arial"/>
          <w:b/>
          <w:bCs/>
          <w:sz w:val="24"/>
          <w:szCs w:val="24"/>
          <w:shd w:fill="auto" w:val="clear"/>
        </w:rPr>
        <w:t>c</w:t>
      </w:r>
      <w:r>
        <w:rPr>
          <w:rStyle w:val="Appleconvertedspace"/>
          <w:rFonts w:eastAsia="Calibri" w:cs="Arial" w:ascii="Arial" w:hAnsi="Arial"/>
          <w:b/>
          <w:bCs/>
          <w:i w:val="false"/>
          <w:caps w:val="false"/>
          <w:smallCaps w:val="false"/>
          <w:color w:val="000000"/>
          <w:spacing w:val="0"/>
          <w:kern w:val="0"/>
          <w:sz w:val="24"/>
          <w:szCs w:val="24"/>
          <w:shd w:fill="auto" w:val="clear"/>
          <w:lang w:val="pt-BR" w:eastAsia="en-US" w:bidi="ar-SA"/>
        </w:rPr>
        <w:t>)</w:t>
      </w:r>
      <w:r>
        <w:rPr>
          <w:rStyle w:val="Appleconvertedspace"/>
          <w:rFonts w:eastAsia="Calibri" w:cs="Arial" w:ascii="Arial" w:hAnsi="Arial"/>
          <w:b w:val="false"/>
          <w:i w:val="false"/>
          <w:caps w:val="false"/>
          <w:smallCaps w:val="false"/>
          <w:color w:val="000000"/>
          <w:spacing w:val="0"/>
          <w:kern w:val="0"/>
          <w:sz w:val="24"/>
          <w:szCs w:val="24"/>
          <w:shd w:fill="auto" w:val="clear"/>
          <w:lang w:val="pt-BR" w:eastAsia="en-US" w:bidi="ar-SA"/>
        </w:rPr>
        <w:t xml:space="preserve"> </w:t>
      </w:r>
      <w:r>
        <w:rPr>
          <w:rStyle w:val="Appleconvertedspace"/>
          <w:rFonts w:cs="Arial" w:ascii="Arial" w:hAnsi="Arial"/>
          <w:sz w:val="24"/>
          <w:szCs w:val="24"/>
          <w:shd w:fill="auto" w:val="clear"/>
        </w:rPr>
        <w:t>Valor total: R$ 24.786,57 (vinte e quatro mil, setecentos e oitenta e seis reais e cinquenta e sete centavos).</w:t>
      </w:r>
    </w:p>
    <w:p>
      <w:pPr>
        <w:pStyle w:val="Cabealho"/>
        <w:spacing w:lineRule="auto" w:line="360"/>
        <w:ind w:left="360" w:hanging="0"/>
        <w:rPr>
          <w:rFonts w:ascii="Arial" w:hAnsi="Arial" w:cs="Arial"/>
          <w:sz w:val="24"/>
          <w:szCs w:val="24"/>
          <w:shd w:fill="FFFF00" w:val="clear"/>
        </w:rPr>
      </w:pPr>
      <w:r>
        <w:rPr>
          <w:rFonts w:cs="Arial" w:ascii="Arial" w:hAnsi="Arial"/>
          <w:sz w:val="24"/>
          <w:szCs w:val="24"/>
          <w:shd w:fill="FFFF00" w:val="clear"/>
        </w:rPr>
      </w:r>
    </w:p>
    <w:p>
      <w:pPr>
        <w:pStyle w:val="Cabealho"/>
        <w:numPr>
          <w:ilvl w:val="0"/>
          <w:numId w:val="0"/>
        </w:numPr>
        <w:spacing w:lineRule="auto" w:line="360"/>
        <w:ind w:left="1080" w:hanging="0"/>
        <w:jc w:val="right"/>
        <w:rPr/>
      </w:pPr>
      <w:r>
        <w:rPr>
          <w:rStyle w:val="Appleconvertedspace"/>
          <w:rFonts w:cs="Arial" w:ascii="Arial" w:hAnsi="Arial"/>
          <w:sz w:val="24"/>
          <w:szCs w:val="24"/>
          <w:shd w:fill="auto" w:val="clear"/>
        </w:rPr>
        <w:t>Porto Alegre, 21 de fevereiro de 2022.</w:t>
      </w:r>
    </w:p>
    <w:p>
      <w:pPr>
        <w:pStyle w:val="Cabealho"/>
        <w:spacing w:lineRule="auto" w:line="360"/>
        <w:rPr>
          <w:rFonts w:ascii="Arial" w:hAnsi="Arial" w:cs="Arial"/>
          <w:sz w:val="24"/>
          <w:szCs w:val="24"/>
          <w:shd w:fill="auto" w:val="clear"/>
        </w:rPr>
      </w:pPr>
      <w:r>
        <w:rPr>
          <w:rFonts w:cs="Arial" w:ascii="Arial" w:hAnsi="Arial"/>
          <w:sz w:val="24"/>
          <w:szCs w:val="24"/>
          <w:shd w:fill="auto" w:val="clear"/>
        </w:rPr>
      </w:r>
    </w:p>
    <w:p>
      <w:pPr>
        <w:pStyle w:val="Cabealho"/>
        <w:spacing w:lineRule="auto" w:line="360"/>
        <w:rPr>
          <w:rFonts w:ascii="Arial" w:hAnsi="Arial" w:cs="Arial"/>
          <w:sz w:val="24"/>
          <w:szCs w:val="24"/>
          <w:shd w:fill="auto" w:val="clear"/>
        </w:rPr>
      </w:pPr>
      <w:r>
        <w:rPr>
          <w:rFonts w:cs="Arial" w:ascii="Arial" w:hAnsi="Arial"/>
          <w:sz w:val="24"/>
          <w:szCs w:val="24"/>
          <w:shd w:fill="auto" w:val="clear"/>
        </w:rPr>
      </w:r>
    </w:p>
    <w:p>
      <w:pPr>
        <w:pStyle w:val="Cabealho"/>
        <w:spacing w:lineRule="auto" w:line="360"/>
        <w:ind w:left="1080" w:hanging="0"/>
        <w:jc w:val="center"/>
        <w:rPr/>
      </w:pPr>
      <w:r>
        <w:rPr>
          <w:rStyle w:val="Appleconvertedspace"/>
          <w:rFonts w:cs="Arial" w:ascii="Arial" w:hAnsi="Arial"/>
          <w:sz w:val="24"/>
          <w:szCs w:val="24"/>
          <w:shd w:fill="auto" w:val="clear"/>
        </w:rPr>
        <w:t>Felipe Souza Gaspar Silva</w:t>
      </w:r>
    </w:p>
    <w:p>
      <w:pPr>
        <w:pStyle w:val="Cabealho"/>
        <w:spacing w:lineRule="auto" w:line="360"/>
        <w:ind w:left="1080" w:hanging="0"/>
        <w:jc w:val="center"/>
        <w:rPr/>
      </w:pPr>
      <w:r>
        <w:rPr>
          <w:rStyle w:val="Appleconvertedspace"/>
          <w:rFonts w:cs="Arial" w:ascii="Arial" w:hAnsi="Arial"/>
          <w:sz w:val="24"/>
          <w:szCs w:val="24"/>
          <w:shd w:fill="auto" w:val="clear"/>
        </w:rPr>
        <w:t>Coordenador do Departamento de Delegacias</w:t>
      </w:r>
    </w:p>
    <w:sectPr>
      <w:headerReference w:type="default" r:id="rId2"/>
      <w:footerReference w:type="default" r:id="rId3"/>
      <w:type w:val="nextPage"/>
      <w:pgSz w:w="11906" w:h="16838"/>
      <w:pgMar w:left="1701" w:right="1701" w:header="567" w:top="1417" w:footer="907"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676162699"/>
    </w:sdtPr>
    <w:sdtContent>
      <w:p>
        <w:pPr>
          <w:pStyle w:val="Rodap"/>
          <w:pBdr>
            <w:top w:val="single" w:sz="4" w:space="1" w:color="D9D9D9"/>
          </w:pBdr>
          <w:jc w:val="right"/>
          <w:rPr/>
        </w:pPr>
        <w:r>
          <w:rPr/>
          <w:fldChar w:fldCharType="begin"/>
        </w:r>
        <w:r>
          <w:rPr/>
          <w:instrText> PAGE </w:instrText>
        </w:r>
        <w:r>
          <w:rPr/>
          <w:fldChar w:fldCharType="separate"/>
        </w:r>
        <w:r>
          <w:rPr/>
          <w:t>9</w:t>
        </w:r>
        <w:r>
          <w:rPr/>
          <w:fldChar w:fldCharType="end"/>
        </w:r>
        <w:r>
          <w:rPr/>
          <w:t xml:space="preserve"> </w:t>
        </w:r>
        <w:r>
          <w:rPr/>
          <w:t xml:space="preserve">| </w:t>
        </w:r>
        <w:r>
          <w:rPr>
            <w:color w:val="7F7F7F" w:themeColor="background1" w:themeShade="7f"/>
            <w:spacing w:val="60"/>
          </w:rPr>
          <w:t>Página</w:t>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pPr>
    <w:r>
      <w:rPr/>
      <w:drawing>
        <wp:inline distT="0" distB="0" distL="0" distR="0">
          <wp:extent cx="5400040" cy="103949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5400040" cy="103949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2">
    <w:lvl w:ilvl="0">
      <w:start w:val="1"/>
      <w:numFmt w:val="decimal"/>
      <w:lvlText w:val="%1."/>
      <w:lvlJc w:val="left"/>
      <w:pPr>
        <w:tabs>
          <w:tab w:val="num" w:pos="0"/>
        </w:tabs>
        <w:ind w:left="360" w:hanging="360"/>
      </w:pPr>
    </w:lvl>
    <w:lvl w:ilvl="1">
      <w:start w:val="1"/>
      <w:numFmt w:val="decimal"/>
      <w:lvlText w:val="%2."/>
      <w:lvlJc w:val="left"/>
      <w:pPr>
        <w:tabs>
          <w:tab w:val="num" w:pos="1080"/>
        </w:tabs>
        <w:ind w:left="1440" w:hanging="360"/>
      </w:pPr>
    </w:lvl>
    <w:lvl w:ilvl="2">
      <w:start w:val="1"/>
      <w:numFmt w:val="lowerLetter"/>
      <w:lvlText w:val="%3)"/>
      <w:lvlJc w:val="left"/>
      <w:pPr>
        <w:tabs>
          <w:tab w:val="num" w:pos="993"/>
        </w:tabs>
        <w:ind w:left="1353" w:hanging="360"/>
      </w:pPr>
      <w:rPr>
        <w:b/>
      </w:rPr>
    </w:lvl>
    <w:lvl w:ilvl="3">
      <w:start w:val="1"/>
      <w:numFmt w:val="decimal"/>
      <w:lvlText w:val="%4."/>
      <w:lvlJc w:val="left"/>
      <w:pPr>
        <w:tabs>
          <w:tab w:val="num" w:pos="1800"/>
        </w:tabs>
        <w:ind w:left="2160" w:hanging="360"/>
      </w:pPr>
    </w:lvl>
    <w:lvl w:ilvl="4">
      <w:start w:val="1"/>
      <w:numFmt w:val="decimal"/>
      <w:lvlText w:val="%5."/>
      <w:lvlJc w:val="left"/>
      <w:pPr>
        <w:tabs>
          <w:tab w:val="num" w:pos="2160"/>
        </w:tabs>
        <w:ind w:left="2520" w:hanging="360"/>
      </w:pPr>
    </w:lvl>
    <w:lvl w:ilvl="5">
      <w:start w:val="1"/>
      <w:numFmt w:val="decimal"/>
      <w:lvlText w:val="%6."/>
      <w:lvlJc w:val="left"/>
      <w:pPr>
        <w:tabs>
          <w:tab w:val="num" w:pos="2520"/>
        </w:tabs>
        <w:ind w:left="2880" w:hanging="360"/>
      </w:pPr>
    </w:lvl>
    <w:lvl w:ilvl="6">
      <w:start w:val="1"/>
      <w:numFmt w:val="decimal"/>
      <w:lvlText w:val="%7."/>
      <w:lvlJc w:val="left"/>
      <w:pPr>
        <w:tabs>
          <w:tab w:val="num" w:pos="2880"/>
        </w:tabs>
        <w:ind w:left="3240" w:hanging="360"/>
      </w:pPr>
    </w:lvl>
    <w:lvl w:ilvl="7">
      <w:start w:val="1"/>
      <w:numFmt w:val="decimal"/>
      <w:lvlText w:val="%8."/>
      <w:lvlJc w:val="left"/>
      <w:pPr>
        <w:tabs>
          <w:tab w:val="num" w:pos="3240"/>
        </w:tabs>
        <w:ind w:left="3600" w:hanging="360"/>
      </w:pPr>
    </w:lvl>
    <w:lvl w:ilvl="8">
      <w:start w:val="1"/>
      <w:numFmt w:val="decimal"/>
      <w:lvlText w:val="%9."/>
      <w:lvlJc w:val="left"/>
      <w:pPr>
        <w:tabs>
          <w:tab w:val="num" w:pos="3600"/>
        </w:tabs>
        <w:ind w:left="3960" w:hanging="360"/>
      </w:pPr>
    </w:lvl>
  </w:abstractNum>
  <w:abstractNum w:abstractNumId="3">
    <w:lvl w:ilvl="0">
      <w:start w:val="4"/>
      <w:numFmt w:val="decimal"/>
      <w:lvlText w:val="%1."/>
      <w:lvlJc w:val="left"/>
      <w:pPr>
        <w:tabs>
          <w:tab w:val="num" w:pos="0"/>
        </w:tabs>
        <w:ind w:left="360" w:hanging="360"/>
      </w:pPr>
      <w:rPr>
        <w:b/>
      </w:rPr>
    </w:lvl>
    <w:lvl w:ilvl="1">
      <w:start w:val="1"/>
      <w:numFmt w:val="lowerLetter"/>
      <w:lvlText w:val="%2)"/>
      <w:lvlJc w:val="left"/>
      <w:pPr>
        <w:tabs>
          <w:tab w:val="num" w:pos="1134"/>
        </w:tabs>
        <w:ind w:left="1494" w:hanging="360"/>
      </w:pPr>
      <w:rPr>
        <w:b/>
      </w:rPr>
    </w:lvl>
    <w:lvl w:ilvl="2">
      <w:start w:val="1"/>
      <w:numFmt w:val="lowerLetter"/>
      <w:lvlText w:val="%3)"/>
      <w:lvlJc w:val="left"/>
      <w:pPr>
        <w:tabs>
          <w:tab w:val="num" w:pos="993"/>
        </w:tabs>
        <w:ind w:left="1353" w:hanging="360"/>
      </w:pPr>
      <w:rPr>
        <w:b/>
      </w:rPr>
    </w:lvl>
    <w:lvl w:ilvl="3">
      <w:start w:val="1"/>
      <w:numFmt w:val="decimal"/>
      <w:lvlText w:val="%4."/>
      <w:lvlJc w:val="left"/>
      <w:pPr>
        <w:tabs>
          <w:tab w:val="num" w:pos="1800"/>
        </w:tabs>
        <w:ind w:left="2160" w:hanging="360"/>
      </w:pPr>
    </w:lvl>
    <w:lvl w:ilvl="4">
      <w:start w:val="1"/>
      <w:numFmt w:val="decimal"/>
      <w:lvlText w:val="%5."/>
      <w:lvlJc w:val="left"/>
      <w:pPr>
        <w:tabs>
          <w:tab w:val="num" w:pos="2160"/>
        </w:tabs>
        <w:ind w:left="2520" w:hanging="360"/>
      </w:pPr>
    </w:lvl>
    <w:lvl w:ilvl="5">
      <w:start w:val="1"/>
      <w:numFmt w:val="decimal"/>
      <w:lvlText w:val="%6."/>
      <w:lvlJc w:val="left"/>
      <w:pPr>
        <w:tabs>
          <w:tab w:val="num" w:pos="2520"/>
        </w:tabs>
        <w:ind w:left="2880" w:hanging="360"/>
      </w:pPr>
    </w:lvl>
    <w:lvl w:ilvl="6">
      <w:start w:val="1"/>
      <w:numFmt w:val="decimal"/>
      <w:lvlText w:val="%7."/>
      <w:lvlJc w:val="left"/>
      <w:pPr>
        <w:tabs>
          <w:tab w:val="num" w:pos="2880"/>
        </w:tabs>
        <w:ind w:left="3240" w:hanging="360"/>
      </w:pPr>
    </w:lvl>
    <w:lvl w:ilvl="7">
      <w:start w:val="1"/>
      <w:numFmt w:val="decimal"/>
      <w:lvlText w:val="%8."/>
      <w:lvlJc w:val="left"/>
      <w:pPr>
        <w:tabs>
          <w:tab w:val="num" w:pos="3240"/>
        </w:tabs>
        <w:ind w:left="3600" w:hanging="360"/>
      </w:pPr>
    </w:lvl>
    <w:lvl w:ilvl="8">
      <w:start w:val="1"/>
      <w:numFmt w:val="decimal"/>
      <w:lvlText w:val="%9."/>
      <w:lvlJc w:val="left"/>
      <w:pPr>
        <w:tabs>
          <w:tab w:val="num" w:pos="3600"/>
        </w:tabs>
        <w:ind w:left="3960" w:hanging="360"/>
      </w:pPr>
    </w:lvl>
  </w:abstractNum>
  <w:abstractNum w:abstractNumId="4">
    <w:lvl w:ilvl="0">
      <w:start w:val="1"/>
      <w:numFmt w:val="lowerLetter"/>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lvl w:ilvl="0">
      <w:start w:val="1"/>
      <w:numFmt w:val="lowerLetter"/>
      <w:lvlText w:val="%1)"/>
      <w:lvlJc w:val="left"/>
      <w:pPr>
        <w:tabs>
          <w:tab w:val="num" w:pos="0"/>
        </w:tabs>
        <w:ind w:left="927"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40"/>
  <w:autoHyphenation w:val="true"/>
  <w:compat>
    <w:compatSetting w:name="compatibilityMode" w:uri="http://schemas.microsoft.com/office/word" w:val="12"/>
  </w:compat>
  <w:hyphenationZone w:val="425"/>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semiHidden="0" w:qFormat="1"/>
    <w:lsdException w:name="footer" w:semiHidden="0" w:qFormat="1"/>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Body Text Indent 3" w:uiPriority="0" w:semiHidden="0" w:unhideWhenUsed="0" w:qFormat="1"/>
    <w:lsdException w:name="Hyperlink" w:semiHidden="0" w:unhideWhenUsed="0" w:qFormat="1"/>
    <w:lsdException w:name="Strong" w:uiPriority="22" w:semiHidden="0" w:unhideWhenUsed="0" w:qFormat="1"/>
    <w:lsdException w:name="Emphasis" w:uiPriority="20" w:semiHidden="0" w:unhideWhenUsed="0" w:qFormat="1"/>
    <w:lsdException w:name="Normal Table" w:qFormat="1"/>
    <w:lsdException w:name="Balloon Text" w:qFormat="1"/>
    <w:lsdException w:name="Table Grid" w:uiPriority="39" w:semiHidden="0" w:unhideWhenUsed="0"/>
    <w:lsdException w:name="List Paragraph" w:uiPriority="0" w:semiHidden="0" w:unhideWhenUsed="0" w:qFormat="1"/>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14ed4"/>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1">
    <w:name w:val="Heading 1"/>
    <w:basedOn w:val="Normal"/>
    <w:next w:val="Normal"/>
    <w:link w:val="Ttulo1Char"/>
    <w:qFormat/>
    <w:rsid w:val="00a14ed4"/>
    <w:pPr>
      <w:keepNext w:val="true"/>
      <w:spacing w:lineRule="auto" w:line="240" w:before="360" w:after="240"/>
      <w:ind w:left="1134" w:hanging="0"/>
      <w:outlineLvl w:val="0"/>
    </w:pPr>
    <w:rPr>
      <w:rFonts w:ascii="Arial" w:hAnsi="Arial" w:eastAsia="Times New Roman" w:cs="Times New Roman"/>
      <w:b/>
      <w:kern w:val="2"/>
      <w:sz w:val="20"/>
      <w:szCs w:val="20"/>
      <w:lang w:eastAsia="pt-BR"/>
    </w:rPr>
  </w:style>
  <w:style w:type="paragraph" w:styleId="Ttulo4">
    <w:name w:val="Heading 4"/>
    <w:basedOn w:val="Normal"/>
    <w:next w:val="Normal"/>
    <w:link w:val="Ttulo4Char"/>
    <w:uiPriority w:val="9"/>
    <w:qFormat/>
    <w:rsid w:val="00a14ed4"/>
    <w:pPr>
      <w:keepNext w:val="true"/>
      <w:spacing w:lineRule="auto" w:line="276" w:before="240" w:after="60"/>
      <w:outlineLvl w:val="3"/>
    </w:pPr>
    <w:rPr>
      <w:rFonts w:ascii="Calibri" w:hAnsi="Calibri" w:eastAsia="Times New Roman" w:cs="Times New Roman"/>
      <w:b/>
      <w:bCs/>
      <w:sz w:val="28"/>
      <w:szCs w:val="28"/>
    </w:rPr>
  </w:style>
  <w:style w:type="character" w:styleId="DefaultParagraphFont" w:default="1">
    <w:name w:val="Default Paragraph Font"/>
    <w:uiPriority w:val="1"/>
    <w:semiHidden/>
    <w:unhideWhenUsed/>
    <w:qFormat/>
    <w:rPr/>
  </w:style>
  <w:style w:type="character" w:styleId="LinkdaInternet">
    <w:name w:val="Link da Internet"/>
    <w:uiPriority w:val="99"/>
    <w:qFormat/>
    <w:rsid w:val="00a14ed4"/>
    <w:rPr>
      <w:color w:val="0000FF"/>
      <w:u w:val="single"/>
    </w:rPr>
  </w:style>
  <w:style w:type="character" w:styleId="TextodebaloChar" w:customStyle="1">
    <w:name w:val="Texto de balão Char"/>
    <w:basedOn w:val="DefaultParagraphFont"/>
    <w:link w:val="Textodebalo"/>
    <w:uiPriority w:val="99"/>
    <w:semiHidden/>
    <w:qFormat/>
    <w:rsid w:val="00a14ed4"/>
    <w:rPr>
      <w:rFonts w:ascii="Segoe UI" w:hAnsi="Segoe UI" w:cs="Segoe UI"/>
      <w:sz w:val="18"/>
      <w:szCs w:val="18"/>
    </w:rPr>
  </w:style>
  <w:style w:type="character" w:styleId="CabealhoChar" w:customStyle="1">
    <w:name w:val="Cabeçalho Char"/>
    <w:basedOn w:val="DefaultParagraphFont"/>
    <w:link w:val="Cabealho"/>
    <w:qFormat/>
    <w:rsid w:val="00a14ed4"/>
    <w:rPr/>
  </w:style>
  <w:style w:type="character" w:styleId="RodapChar" w:customStyle="1">
    <w:name w:val="Rodapé Char"/>
    <w:basedOn w:val="DefaultParagraphFont"/>
    <w:link w:val="Rodap"/>
    <w:uiPriority w:val="99"/>
    <w:qFormat/>
    <w:rsid w:val="00a14ed4"/>
    <w:rPr/>
  </w:style>
  <w:style w:type="character" w:styleId="Ttulo1Char" w:customStyle="1">
    <w:name w:val="Título 1 Char"/>
    <w:basedOn w:val="DefaultParagraphFont"/>
    <w:link w:val="Ttulo1"/>
    <w:qFormat/>
    <w:rsid w:val="00a14ed4"/>
    <w:rPr>
      <w:rFonts w:ascii="Arial" w:hAnsi="Arial" w:eastAsia="Times New Roman" w:cs="Times New Roman"/>
      <w:b/>
      <w:kern w:val="2"/>
      <w:sz w:val="20"/>
      <w:szCs w:val="20"/>
      <w:lang w:eastAsia="pt-BR"/>
    </w:rPr>
  </w:style>
  <w:style w:type="character" w:styleId="Ttulo4Char" w:customStyle="1">
    <w:name w:val="Título 4 Char"/>
    <w:basedOn w:val="DefaultParagraphFont"/>
    <w:link w:val="Ttulo4"/>
    <w:uiPriority w:val="9"/>
    <w:qFormat/>
    <w:rsid w:val="00a14ed4"/>
    <w:rPr>
      <w:rFonts w:ascii="Calibri" w:hAnsi="Calibri" w:eastAsia="Times New Roman" w:cs="Times New Roman"/>
      <w:b/>
      <w:bCs/>
      <w:sz w:val="28"/>
      <w:szCs w:val="28"/>
    </w:rPr>
  </w:style>
  <w:style w:type="character" w:styleId="Recuodecorpodetexto3Char" w:customStyle="1">
    <w:name w:val="Recuo de corpo de texto 3 Char"/>
    <w:basedOn w:val="DefaultParagraphFont"/>
    <w:link w:val="Recuodecorpodetexto3"/>
    <w:qFormat/>
    <w:rsid w:val="00a14ed4"/>
    <w:rPr>
      <w:rFonts w:ascii="Times New Roman" w:hAnsi="Times New Roman" w:eastAsia="Times New Roman"/>
      <w:sz w:val="16"/>
      <w:szCs w:val="16"/>
    </w:rPr>
  </w:style>
  <w:style w:type="character" w:styleId="Object" w:customStyle="1">
    <w:name w:val="object"/>
    <w:basedOn w:val="DefaultParagraphFont"/>
    <w:qFormat/>
    <w:rsid w:val="00a14ed4"/>
    <w:rPr/>
  </w:style>
  <w:style w:type="character" w:styleId="Appleconvertedspace" w:customStyle="1">
    <w:name w:val="apple-converted-space"/>
    <w:basedOn w:val="DefaultParagraphFont"/>
    <w:qFormat/>
    <w:rsid w:val="00a14ed4"/>
    <w:rPr/>
  </w:style>
  <w:style w:type="character" w:styleId="Recuodecorpodetexto3Char1" w:customStyle="1">
    <w:name w:val="Recuo de corpo de texto 3 Char1"/>
    <w:basedOn w:val="DefaultParagraphFont"/>
    <w:link w:val="Recuodecorpodetexto3"/>
    <w:uiPriority w:val="99"/>
    <w:semiHidden/>
    <w:qFormat/>
    <w:rsid w:val="00a14ed4"/>
    <w:rPr>
      <w:sz w:val="16"/>
      <w:szCs w:val="16"/>
    </w:rPr>
  </w:style>
  <w:style w:type="character" w:styleId="Strong">
    <w:name w:val="Strong"/>
    <w:basedOn w:val="DefaultParagraphFont"/>
    <w:uiPriority w:val="22"/>
    <w:qFormat/>
    <w:rsid w:val="00f469ab"/>
    <w:rPr>
      <w:b/>
      <w:bCs/>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CabealhoChar"/>
    <w:unhideWhenUsed/>
    <w:qFormat/>
    <w:rsid w:val="00a14ed4"/>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qFormat/>
    <w:rsid w:val="00a14ed4"/>
    <w:pPr>
      <w:tabs>
        <w:tab w:val="clear" w:pos="708"/>
        <w:tab w:val="center" w:pos="4252" w:leader="none"/>
        <w:tab w:val="right" w:pos="8504" w:leader="none"/>
      </w:tabs>
      <w:spacing w:lineRule="auto" w:line="240" w:before="0" w:after="0"/>
    </w:pPr>
    <w:rPr/>
  </w:style>
  <w:style w:type="paragraph" w:styleId="BodyTextIndent3">
    <w:name w:val="Body Text Indent 3"/>
    <w:basedOn w:val="Normal"/>
    <w:link w:val="Recuodecorpodetexto3Char1"/>
    <w:qFormat/>
    <w:rsid w:val="00a14ed4"/>
    <w:pPr>
      <w:spacing w:lineRule="auto" w:line="240" w:before="0" w:after="120"/>
      <w:ind w:left="283" w:hanging="0"/>
    </w:pPr>
    <w:rPr>
      <w:rFonts w:ascii="Times New Roman" w:hAnsi="Times New Roman" w:eastAsia="Times New Roman"/>
      <w:sz w:val="16"/>
      <w:szCs w:val="16"/>
    </w:rPr>
  </w:style>
  <w:style w:type="paragraph" w:styleId="BalloonText">
    <w:name w:val="Balloon Text"/>
    <w:basedOn w:val="Normal"/>
    <w:link w:val="TextodebaloChar"/>
    <w:uiPriority w:val="99"/>
    <w:semiHidden/>
    <w:unhideWhenUsed/>
    <w:qFormat/>
    <w:rsid w:val="00a14ed4"/>
    <w:pPr>
      <w:spacing w:lineRule="auto" w:line="240" w:before="0" w:after="0"/>
    </w:pPr>
    <w:rPr>
      <w:rFonts w:ascii="Segoe UI" w:hAnsi="Segoe UI" w:cs="Segoe UI"/>
      <w:sz w:val="18"/>
      <w:szCs w:val="18"/>
    </w:rPr>
  </w:style>
  <w:style w:type="paragraph" w:styleId="ListParagraph">
    <w:name w:val="List Paragraph"/>
    <w:basedOn w:val="Normal"/>
    <w:qFormat/>
    <w:rsid w:val="00a14ed4"/>
    <w:pPr>
      <w:spacing w:before="0" w:after="160"/>
      <w:ind w:left="720" w:hanging="0"/>
      <w:contextualSpacing/>
    </w:pPr>
    <w:rPr/>
  </w:style>
  <w:style w:type="paragraph" w:styleId="Default" w:customStyle="1">
    <w:name w:val="Default"/>
    <w:basedOn w:val="Normal"/>
    <w:qFormat/>
    <w:rsid w:val="00a14ed4"/>
    <w:pPr>
      <w:spacing w:lineRule="auto" w:line="240" w:before="0" w:after="0"/>
    </w:pPr>
    <w:rPr>
      <w:rFonts w:ascii="Times New Roman" w:hAnsi="Times New Roman" w:eastAsia="SimSun" w:cs="Times New Roman"/>
      <w:color w:val="000000"/>
      <w:sz w:val="24"/>
      <w:szCs w:val="24"/>
      <w:lang w:eastAsia="pt-BR"/>
    </w:rPr>
  </w:style>
  <w:style w:type="paragraph" w:styleId="Contedodatabela" w:customStyle="1">
    <w:name w:val="Conteúdo da tabela"/>
    <w:basedOn w:val="Normal"/>
    <w:qFormat/>
    <w:rsid w:val="00a14ed4"/>
    <w:pPr>
      <w:widowControl w:val="false"/>
      <w:suppressLineNumbers/>
      <w:suppressAutoHyphens w:val="true"/>
      <w:spacing w:lineRule="auto" w:line="240" w:before="0" w:after="0"/>
    </w:pPr>
    <w:rPr>
      <w:rFonts w:ascii="Times New Roman" w:hAnsi="Times New Roman" w:eastAsia="Lucida Sans Unicode" w:cs="Tahoma"/>
      <w:color w:val="000000"/>
      <w:sz w:val="24"/>
      <w:szCs w:val="24"/>
      <w:lang w:val="en-US" w:bidi="en-US"/>
    </w:rPr>
  </w:style>
  <w:style w:type="paragraph" w:styleId="LICnumeradasubnvel" w:customStyle="1">
    <w:name w:val="LIC-numerada-subnível"/>
    <w:basedOn w:val="Normal"/>
    <w:qFormat/>
    <w:rsid w:val="00a14ed4"/>
    <w:pPr>
      <w:keepLines/>
      <w:numPr>
        <w:ilvl w:val="0"/>
        <w:numId w:val="1"/>
      </w:numPr>
      <w:spacing w:lineRule="auto" w:line="240" w:before="0" w:after="240"/>
      <w:jc w:val="both"/>
    </w:pPr>
    <w:rPr>
      <w:rFonts w:ascii="Arial" w:hAnsi="Arial" w:eastAsia="Times New Roman" w:cs="Times New Roman"/>
      <w:kern w:val="2"/>
      <w:sz w:val="24"/>
      <w:szCs w:val="20"/>
    </w:rPr>
  </w:style>
  <w:style w:type="paragraph" w:styleId="Nome" w:customStyle="1">
    <w:name w:val="Nome"/>
    <w:basedOn w:val="Normal"/>
    <w:qFormat/>
    <w:rsid w:val="00a14ed4"/>
    <w:pPr>
      <w:tabs>
        <w:tab w:val="clear" w:pos="708"/>
        <w:tab w:val="center" w:pos="6096" w:leader="none"/>
      </w:tabs>
      <w:spacing w:lineRule="auto" w:line="240" w:before="0" w:after="0"/>
      <w:jc w:val="both"/>
    </w:pPr>
    <w:rPr>
      <w:rFonts w:ascii="Arial" w:hAnsi="Arial" w:eastAsia="Times New Roman" w:cs="Times New Roman"/>
      <w:sz w:val="24"/>
      <w:szCs w:val="20"/>
      <w:lang w:eastAsia="pt-BR"/>
    </w:rPr>
  </w:style>
  <w:style w:type="paragraph" w:styleId="Nivel01Titulo" w:customStyle="1">
    <w:name w:val="Nivel_01_Titulo"/>
    <w:basedOn w:val="Ttulo1"/>
    <w:next w:val="Normal"/>
    <w:qFormat/>
    <w:rsid w:val="00a14ed4"/>
    <w:pPr>
      <w:keepLines/>
      <w:tabs>
        <w:tab w:val="clear" w:pos="708"/>
        <w:tab w:val="left" w:pos="567" w:leader="none"/>
      </w:tabs>
      <w:spacing w:before="240" w:after="0"/>
      <w:jc w:val="both"/>
    </w:pPr>
    <w:rPr>
      <w:rFonts w:eastAsia="宋体" w:eastAsiaTheme="majorEastAsia"/>
      <w:bCs/>
      <w:kern w:val="0"/>
    </w:rPr>
  </w:style>
  <w:style w:type="paragraph" w:styleId="Recuodecorpodetexto21" w:customStyle="1">
    <w:name w:val="Recuo de corpo de texto 21"/>
    <w:basedOn w:val="Normal"/>
    <w:qFormat/>
    <w:rsid w:val="002a01b6"/>
    <w:pPr>
      <w:suppressAutoHyphens w:val="true"/>
      <w:spacing w:lineRule="atLeast" w:line="100" w:before="0" w:after="0"/>
    </w:pPr>
    <w:rPr>
      <w:rFonts w:ascii="Times New Roman" w:hAnsi="Times New Roman" w:eastAsia="Times New Roman" w:cs="Times New Roman"/>
      <w:kern w:val="2"/>
      <w:sz w:val="20"/>
      <w:szCs w:val="20"/>
      <w:lang w:eastAsia="zh-CN"/>
    </w:rPr>
  </w:style>
  <w:style w:type="paragraph" w:styleId="PargrafodaLista1" w:customStyle="1">
    <w:name w:val="Parágrafo da Lista1"/>
    <w:basedOn w:val="Normal"/>
    <w:qFormat/>
    <w:rsid w:val="002a01b6"/>
    <w:pPr>
      <w:suppressAutoHyphens w:val="true"/>
      <w:spacing w:lineRule="atLeast" w:line="100" w:before="0" w:after="0"/>
      <w:ind w:left="720" w:hanging="0"/>
    </w:pPr>
    <w:rPr>
      <w:rFonts w:ascii="Times New Roman" w:hAnsi="Times New Roman" w:eastAsia="Times New Roman" w:cs="Times New Roman"/>
      <w:kern w:val="2"/>
      <w:sz w:val="20"/>
      <w:szCs w:val="20"/>
      <w:lang w:eastAsia="zh-CN"/>
    </w:rPr>
  </w:style>
  <w:style w:type="paragraph" w:styleId="Nivel1" w:customStyle="1">
    <w:name w:val="Nivel1"/>
    <w:basedOn w:val="Ttulo1"/>
    <w:qFormat/>
    <w:rsid w:val="0037164c"/>
    <w:pPr>
      <w:keepLines/>
      <w:spacing w:lineRule="auto" w:line="276" w:before="480" w:after="0"/>
      <w:jc w:val="both"/>
    </w:pPr>
    <w:rPr>
      <w:rFonts w:eastAsia="宋体" w:eastAsiaTheme="majorEastAsia"/>
      <w:color w:val="000000"/>
      <w:kern w:val="0"/>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styleId="Tabelacomgrade">
    <w:name w:val="Table Grid"/>
    <w:basedOn w:val="Tabelanormal"/>
    <w:uiPriority w:val="39"/>
    <w:rsid w:val="00a42a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27BAC653-1190-4BFC-AC42-2C5F10728CB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3028</TotalTime>
  <Application>LibreOffice/7.1.8.1$Windows_X86_64 LibreOffice_project/e1f30c802c3269a1d052614453f260e49458c82c</Application>
  <AppVersion>15.0000</AppVersion>
  <Pages>9</Pages>
  <Words>1880</Words>
  <Characters>10339</Characters>
  <CharactersWithSpaces>12859</CharactersWithSpaces>
  <Paragraphs>101</Paragraphs>
  <Company>Conselho Regional de Corretores de Imóveis 3ª Região| Rua Guilherme Alves|n  1.010|Bairro Partenon| Porto Alegre-RS| CEP 90680-000| Departamento de Compras e Licitações| deptocompras@creci-rs.gov.br| Fone 55 51 3315 3055 | www.creci-rs.gov.br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2018-02-21T18:47:00Z</dcterms:created>
  <dc:creator>Agnese Giuseppina Schifino</dc:creator>
  <dc:description/>
  <dc:language>pt-BR</dc:language>
  <cp:lastModifiedBy/>
  <cp:lastPrinted>2022-02-21T15:34:06Z</cp:lastPrinted>
  <dcterms:modified xsi:type="dcterms:W3CDTF">2022-02-21T15:35:16Z</dcterms:modified>
  <cp:revision>106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1046-10.2.0.7635</vt:lpwstr>
  </property>
</Properties>
</file>