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line="360" w:lineRule="auto"/>
        <w:jc w:val="center"/>
        <w:rPr>
          <w:rStyle w:val="22"/>
          <w:rFonts w:ascii="Arial" w:hAnsi="Arial" w:cs="Arial"/>
          <w:b/>
        </w:rPr>
      </w:pPr>
      <w:r>
        <w:rPr>
          <w:rStyle w:val="22"/>
          <w:rFonts w:ascii="Arial" w:hAnsi="Arial" w:cs="Arial"/>
          <w:b/>
        </w:rPr>
        <w:t>Termo de Referência</w:t>
      </w:r>
    </w:p>
    <w:p>
      <w:pPr>
        <w:pStyle w:val="9"/>
        <w:spacing w:line="360" w:lineRule="auto"/>
        <w:jc w:val="center"/>
        <w:rPr>
          <w:rStyle w:val="22"/>
          <w:rFonts w:hint="default" w:ascii="Arial" w:hAnsi="Arial" w:cs="Arial"/>
          <w:b/>
          <w:lang w:val="pt-BR"/>
        </w:rPr>
      </w:pPr>
      <w:r>
        <w:rPr>
          <w:rStyle w:val="22"/>
          <w:rFonts w:ascii="Arial" w:hAnsi="Arial" w:cs="Arial"/>
          <w:b/>
        </w:rPr>
        <w:t>Processo nº 20</w:t>
      </w:r>
      <w:r>
        <w:rPr>
          <w:rStyle w:val="22"/>
          <w:rFonts w:hint="default" w:ascii="Arial" w:hAnsi="Arial" w:cs="Arial"/>
          <w:b/>
          <w:lang w:val="pt-BR"/>
        </w:rPr>
        <w:t>22.53.1212.27999</w:t>
      </w:r>
    </w:p>
    <w:p>
      <w:pPr>
        <w:pStyle w:val="9"/>
        <w:spacing w:line="360" w:lineRule="auto"/>
        <w:rPr>
          <w:rStyle w:val="22"/>
          <w:rFonts w:ascii="Arial" w:hAnsi="Arial" w:cs="Arial"/>
        </w:rPr>
      </w:pPr>
    </w:p>
    <w:p>
      <w:pPr>
        <w:pStyle w:val="30"/>
        <w:numPr>
          <w:ilvl w:val="0"/>
          <w:numId w:val="3"/>
        </w:numPr>
        <w:spacing w:line="360" w:lineRule="auto"/>
        <w:ind w:left="294" w:leftChars="0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 OBJETO</w:t>
      </w:r>
    </w:p>
    <w:p>
      <w:pPr>
        <w:autoSpaceDE w:val="0"/>
        <w:autoSpaceDN w:val="0"/>
        <w:adjustRightInd w:val="0"/>
        <w:spacing w:after="0" w:line="360" w:lineRule="auto"/>
        <w:ind w:firstLine="708" w:firstLineChars="0"/>
        <w:jc w:val="both"/>
        <w:rPr>
          <w:rFonts w:hint="default" w:ascii="Arial" w:hAnsi="Arial" w:eastAsia="Courier New" w:cs="Arial"/>
          <w:lang w:val="pt-BR"/>
        </w:rPr>
      </w:pPr>
      <w:r>
        <w:rPr>
          <w:rFonts w:ascii="Arial" w:hAnsi="Arial" w:eastAsia="Courier New" w:cs="Arial"/>
        </w:rPr>
        <w:t xml:space="preserve">Contratação de empresa especializada para </w:t>
      </w:r>
      <w:r>
        <w:rPr>
          <w:rFonts w:hint="default" w:ascii="Arial" w:hAnsi="Arial" w:eastAsia="Courier New" w:cs="Arial"/>
          <w:lang w:val="pt-BR"/>
        </w:rPr>
        <w:t>na Instalação de porta e divisória para o departamento de comunicação do Conselho Regional de Corretores de imóveis 3ªRegião.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hint="default" w:ascii="Arial" w:hAnsi="Arial" w:eastAsia="Courier New" w:cs="Arial"/>
          <w:lang w:val="pt-BR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hint="default" w:ascii="Arial" w:hAnsi="Arial" w:eastAsia="Courier New" w:cs="Arial"/>
          <w:lang w:val="pt-BR"/>
        </w:rPr>
      </w:pPr>
    </w:p>
    <w:p>
      <w:pPr>
        <w:pStyle w:val="30"/>
        <w:numPr>
          <w:ilvl w:val="0"/>
          <w:numId w:val="3"/>
        </w:numPr>
        <w:spacing w:line="360" w:lineRule="auto"/>
        <w:ind w:left="294" w:leftChars="0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 VALOR</w:t>
      </w:r>
    </w:p>
    <w:tbl>
      <w:tblPr>
        <w:tblStyle w:val="5"/>
        <w:tblW w:w="8759" w:type="dxa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19"/>
        <w:gridCol w:w="3603"/>
        <w:gridCol w:w="900"/>
        <w:gridCol w:w="1237"/>
        <w:gridCol w:w="2100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96" w:hRule="atLeast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  <w:t>ITEM</w:t>
            </w:r>
          </w:p>
        </w:tc>
        <w:tc>
          <w:tcPr>
            <w:tcW w:w="36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  <w:t>DESCRIÇÃO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  <w:t>UNID.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  <w:t>QTD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  <w:t>V. TOTAL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343" w:hRule="atLeast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1"/>
                <w:szCs w:val="21"/>
                <w:lang w:eastAsia="pt-BR"/>
              </w:rPr>
              <w:t>1</w:t>
            </w:r>
          </w:p>
        </w:tc>
        <w:tc>
          <w:tcPr>
            <w:tcW w:w="36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both"/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none"/>
                <w:lang w:val="en-US" w:eastAsia="pt-BR"/>
              </w:rPr>
            </w:pPr>
          </w:p>
          <w:p>
            <w:pPr>
              <w:spacing w:after="0" w:line="240" w:lineRule="auto"/>
              <w:jc w:val="both"/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none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none"/>
                <w:lang w:val="en-US" w:eastAsia="pt-BR"/>
              </w:rPr>
              <w:t>Instalação de divisória Naval 1 (painel) branco - Eucatex 35mm/ perfis em aço galvanizado, com aproveitamento de porta existente (reinstalação da porta) - Eucatex 35 mm.</w:t>
            </w:r>
          </w:p>
          <w:p>
            <w:pPr>
              <w:spacing w:after="0" w:line="240" w:lineRule="auto"/>
              <w:jc w:val="both"/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none"/>
                <w:lang w:val="en-US" w:eastAsia="pt-BR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yellow"/>
                <w:lang w:val="en-US" w:eastAsia="pt-BR"/>
              </w:rPr>
            </w:pPr>
          </w:p>
          <w:p>
            <w:pPr>
              <w:spacing w:after="0" w:line="240" w:lineRule="auto"/>
              <w:jc w:val="both"/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yellow"/>
                <w:lang w:val="en-US" w:eastAsia="pt-BR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none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none"/>
                <w:lang w:val="en-US" w:eastAsia="pt-BR"/>
              </w:rPr>
              <w:t>sv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none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none"/>
                <w:lang w:val="en-US" w:eastAsia="pt-BR"/>
              </w:rPr>
              <w:t>01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color w:val="000000"/>
                <w:sz w:val="21"/>
                <w:szCs w:val="21"/>
                <w:highlight w:val="yellow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highlight w:val="none"/>
                <w:lang w:eastAsia="pt-BR"/>
              </w:rPr>
              <w:t> </w:t>
            </w:r>
            <w:r>
              <w:rPr>
                <w:rFonts w:hint="default" w:ascii="Arial" w:hAnsi="Arial" w:eastAsia="Times New Roman" w:cs="Arial"/>
                <w:color w:val="000000"/>
                <w:sz w:val="16"/>
                <w:szCs w:val="16"/>
                <w:highlight w:val="none"/>
                <w:lang w:val="en-US" w:eastAsia="pt-BR"/>
              </w:rPr>
              <w:t>R$1.295,00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76" w:hRule="atLeast"/>
        </w:trPr>
        <w:tc>
          <w:tcPr>
            <w:tcW w:w="66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i/>
                <w:iCs/>
                <w:color w:val="000000"/>
                <w:sz w:val="21"/>
                <w:szCs w:val="21"/>
                <w:highlight w:val="none"/>
                <w:lang w:eastAsia="pt-BR"/>
              </w:rPr>
            </w:pPr>
            <w:r>
              <w:rPr>
                <w:rFonts w:ascii="Arial" w:hAnsi="Arial" w:eastAsia="Times New Roman" w:cs="Arial"/>
                <w:i/>
                <w:iCs/>
                <w:color w:val="000000"/>
                <w:sz w:val="21"/>
                <w:szCs w:val="21"/>
                <w:highlight w:val="none"/>
                <w:lang w:eastAsia="pt-BR"/>
              </w:rPr>
              <w:t>Valor total da contratação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i/>
                <w:iCs/>
                <w:color w:val="000000"/>
                <w:sz w:val="21"/>
                <w:szCs w:val="21"/>
                <w:highlight w:val="none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color w:val="000000"/>
                <w:sz w:val="16"/>
                <w:szCs w:val="16"/>
                <w:highlight w:val="none"/>
                <w:lang w:val="en-US" w:eastAsia="pt-BR"/>
              </w:rPr>
              <w:t xml:space="preserve">R$ 1.295,00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>
      <w:pPr>
        <w:pStyle w:val="30"/>
        <w:numPr>
          <w:ilvl w:val="0"/>
          <w:numId w:val="3"/>
        </w:numPr>
        <w:spacing w:line="360" w:lineRule="auto"/>
        <w:ind w:left="360" w:leftChars="0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 JUSTIFICATIVA</w:t>
      </w:r>
    </w:p>
    <w:p>
      <w:pPr>
        <w:autoSpaceDE w:val="0"/>
        <w:autoSpaceDN w:val="0"/>
        <w:adjustRightInd w:val="0"/>
        <w:spacing w:after="0" w:line="360" w:lineRule="auto"/>
        <w:ind w:firstLine="220" w:firstLineChars="10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3.1</w:t>
      </w:r>
      <w:r>
        <w:rPr>
          <w:rFonts w:hint="default" w:ascii="Arial" w:hAnsi="Arial" w:cs="Arial"/>
          <w:sz w:val="22"/>
          <w:szCs w:val="22"/>
          <w:lang w:val="pt-BR"/>
        </w:rPr>
        <w:t xml:space="preserve">    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>A contratação dos Serviços conforme item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 xml:space="preserve"> 2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 deste Termo de Refer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>ê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ncia 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ab/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 xml:space="preserve">justifica se 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 xml:space="preserve">a medida que atende a demanda de serviços do departamento de 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ab/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ab/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 xml:space="preserve">comunicação e a solicitação de adequação do ambiente de trabalho. </w:t>
      </w:r>
    </w:p>
    <w:p>
      <w:pPr>
        <w:autoSpaceDE w:val="0"/>
        <w:autoSpaceDN w:val="0"/>
        <w:adjustRightInd w:val="0"/>
        <w:spacing w:after="0" w:line="360" w:lineRule="auto"/>
        <w:ind w:firstLine="708" w:firstLineChars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 xml:space="preserve"> </w:t>
      </w:r>
    </w:p>
    <w:p>
      <w:pPr>
        <w:autoSpaceDE w:val="0"/>
        <w:autoSpaceDN w:val="0"/>
        <w:adjustRightInd w:val="0"/>
        <w:spacing w:after="0" w:line="360" w:lineRule="auto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 xml:space="preserve">3.2 </w:t>
      </w:r>
      <w:r>
        <w:rPr>
          <w:rFonts w:hint="default" w:ascii="Arial" w:hAnsi="Arial" w:cs="Arial"/>
          <w:sz w:val="22"/>
          <w:szCs w:val="22"/>
          <w:lang w:val="pt-BR"/>
        </w:rPr>
        <w:t xml:space="preserve">     A  contratação de empresa para fornecimento de material e execução do </w:t>
      </w:r>
      <w:r>
        <w:rPr>
          <w:rFonts w:hint="default" w:ascii="Arial" w:hAnsi="Arial" w:cs="Arial"/>
          <w:sz w:val="22"/>
          <w:szCs w:val="22"/>
          <w:lang w:val="pt-BR"/>
        </w:rPr>
        <w:tab/>
      </w:r>
      <w:r>
        <w:rPr>
          <w:rFonts w:hint="default" w:ascii="Arial" w:hAnsi="Arial" w:cs="Arial"/>
          <w:sz w:val="22"/>
          <w:szCs w:val="22"/>
          <w:lang w:val="pt-BR"/>
        </w:rPr>
        <w:t xml:space="preserve">serviço para instalação de porta com divisória também se faz necessário a fim </w:t>
      </w:r>
      <w:r>
        <w:rPr>
          <w:rFonts w:hint="default" w:ascii="Arial" w:hAnsi="Arial" w:cs="Arial"/>
          <w:sz w:val="22"/>
          <w:szCs w:val="22"/>
          <w:lang w:val="pt-BR"/>
        </w:rPr>
        <w:tab/>
      </w:r>
      <w:r>
        <w:rPr>
          <w:rFonts w:hint="default" w:ascii="Arial" w:hAnsi="Arial" w:cs="Arial"/>
          <w:sz w:val="22"/>
          <w:szCs w:val="22"/>
          <w:lang w:val="pt-BR"/>
        </w:rPr>
        <w:t xml:space="preserve">de assegurar o patrimônio armazenado no departamento de comunicação. </w:t>
      </w:r>
      <w:r>
        <w:rPr>
          <w:rFonts w:hint="default" w:ascii="Arial" w:hAnsi="Arial" w:cs="Arial"/>
          <w:sz w:val="22"/>
          <w:szCs w:val="22"/>
          <w:lang w:val="pt-BR"/>
        </w:rPr>
        <w:tab/>
      </w:r>
      <w:r>
        <w:rPr>
          <w:rFonts w:hint="default" w:ascii="Arial" w:hAnsi="Arial" w:cs="Arial"/>
          <w:sz w:val="22"/>
          <w:szCs w:val="22"/>
          <w:lang w:val="pt-BR"/>
        </w:rPr>
        <w:t xml:space="preserve">Atualmente são armazenados materiais de trabalho de alto valor, como </w:t>
      </w:r>
      <w:r>
        <w:rPr>
          <w:rFonts w:hint="default" w:ascii="Arial" w:hAnsi="Arial" w:cs="Arial"/>
          <w:sz w:val="22"/>
          <w:szCs w:val="22"/>
          <w:lang w:val="pt-BR"/>
        </w:rPr>
        <w:tab/>
      </w:r>
      <w:r>
        <w:rPr>
          <w:rFonts w:hint="default" w:ascii="Arial" w:hAnsi="Arial" w:cs="Arial"/>
          <w:sz w:val="22"/>
          <w:szCs w:val="22"/>
          <w:lang w:val="pt-BR"/>
        </w:rPr>
        <w:t xml:space="preserve">notebooks, câmeras fotográficas e demais trabalhos desenvolvidos pela </w:t>
      </w:r>
      <w:r>
        <w:rPr>
          <w:rFonts w:hint="default" w:ascii="Arial" w:hAnsi="Arial" w:cs="Arial"/>
          <w:sz w:val="22"/>
          <w:szCs w:val="22"/>
          <w:lang w:val="pt-BR"/>
        </w:rPr>
        <w:tab/>
      </w:r>
      <w:r>
        <w:rPr>
          <w:rFonts w:hint="default" w:ascii="Arial" w:hAnsi="Arial" w:cs="Arial"/>
          <w:sz w:val="22"/>
          <w:szCs w:val="22"/>
          <w:lang w:val="pt-BR"/>
        </w:rPr>
        <w:t xml:space="preserve">comunicação que podem ficar em risco de serem extraviados. </w:t>
      </w:r>
    </w:p>
    <w:p>
      <w:pPr>
        <w:keepNext w:val="0"/>
        <w:keepLines w:val="0"/>
        <w:widowControl/>
        <w:suppressLineNumbers w:val="0"/>
        <w:spacing w:line="360" w:lineRule="auto"/>
        <w:ind w:firstLine="708" w:firstLineChars="0"/>
        <w:jc w:val="both"/>
        <w:rPr>
          <w:rFonts w:hint="default" w:ascii="Arial" w:hAnsi="Arial" w:cs="Arial"/>
        </w:rPr>
      </w:pPr>
    </w:p>
    <w:p>
      <w:pPr>
        <w:keepNext w:val="0"/>
        <w:keepLines w:val="0"/>
        <w:widowControl/>
        <w:suppressLineNumbers w:val="0"/>
        <w:spacing w:line="360" w:lineRule="auto"/>
        <w:ind w:firstLine="708" w:firstLineChars="0"/>
        <w:jc w:val="both"/>
        <w:rPr>
          <w:rFonts w:hint="default" w:ascii="Arial" w:hAnsi="Arial" w:cs="Arial"/>
        </w:rPr>
      </w:pPr>
    </w:p>
    <w:p>
      <w:pPr>
        <w:autoSpaceDE w:val="0"/>
        <w:autoSpaceDN w:val="0"/>
        <w:adjustRightInd w:val="0"/>
        <w:spacing w:after="0" w:line="360" w:lineRule="auto"/>
        <w:ind w:firstLine="708" w:firstLineChars="0"/>
        <w:jc w:val="both"/>
        <w:rPr>
          <w:rFonts w:hint="default" w:ascii="Arial" w:hAnsi="Arial" w:cs="Arial"/>
          <w:sz w:val="22"/>
          <w:szCs w:val="22"/>
          <w:lang w:val="pt-BR"/>
        </w:rPr>
      </w:pPr>
    </w:p>
    <w:p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360" w:leftChars="0" w:hanging="360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sz w:val="22"/>
          <w:szCs w:val="22"/>
        </w:rPr>
        <w:t>ESPECIFICAÇÕES TÉCNICAS DOS SERVIÇOS</w:t>
      </w:r>
    </w:p>
    <w:p>
      <w:pPr>
        <w:pStyle w:val="30"/>
        <w:numPr>
          <w:ilvl w:val="0"/>
          <w:numId w:val="4"/>
        </w:numPr>
        <w:tabs>
          <w:tab w:val="left" w:pos="720"/>
        </w:tabs>
        <w:spacing w:before="120" w:after="120" w:line="360" w:lineRule="auto"/>
        <w:ind w:left="580" w:leftChars="0" w:firstLineChars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color w:val="292B2C"/>
          <w:sz w:val="22"/>
          <w:szCs w:val="22"/>
          <w:lang w:eastAsia="pt-BR"/>
        </w:rPr>
        <w:t xml:space="preserve"> </w:t>
      </w:r>
      <w:r>
        <w:rPr>
          <w:rFonts w:hint="default" w:ascii="Arial" w:hAnsi="Arial" w:cs="Arial"/>
          <w:color w:val="auto"/>
          <w:sz w:val="22"/>
          <w:szCs w:val="22"/>
          <w:lang w:eastAsia="pt-BR"/>
        </w:rPr>
        <w:t>A empresa deverá realizar</w:t>
      </w:r>
      <w:r>
        <w:rPr>
          <w:rFonts w:hint="default" w:ascii="Arial" w:hAnsi="Arial" w:cs="Arial"/>
          <w:color w:val="auto"/>
          <w:sz w:val="22"/>
          <w:szCs w:val="22"/>
          <w:lang w:val="en-US" w:eastAsia="pt-BR"/>
        </w:rPr>
        <w:t xml:space="preserve"> a desmontagem de porta já existente junto ao local do departamento de comunicação, e remanejar/reinstalar com o fechamento de material de divisória do tipo NAVAL (N1) 35mm Eucatex,  na sede desta autarquia.</w:t>
      </w:r>
    </w:p>
    <w:p>
      <w:pPr>
        <w:pStyle w:val="30"/>
        <w:numPr>
          <w:ilvl w:val="0"/>
          <w:numId w:val="0"/>
        </w:numPr>
        <w:tabs>
          <w:tab w:val="left" w:pos="720"/>
        </w:tabs>
        <w:spacing w:before="120" w:after="120" w:line="360" w:lineRule="auto"/>
        <w:ind w:left="220" w:leftChars="0" w:firstLine="110" w:firstLineChars="5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4.2</w:t>
      </w:r>
      <w:r>
        <w:rPr>
          <w:rFonts w:hint="default" w:ascii="Arial" w:hAnsi="Arial" w:cs="Arial"/>
          <w:sz w:val="22"/>
          <w:szCs w:val="22"/>
          <w:lang w:val="pt-BR"/>
        </w:rPr>
        <w:t xml:space="preserve">  </w:t>
      </w:r>
      <w:r>
        <w:rPr>
          <w:rFonts w:hint="default" w:ascii="Arial" w:hAnsi="Arial" w:cs="Arial"/>
          <w:sz w:val="22"/>
          <w:szCs w:val="22"/>
        </w:rPr>
        <w:t xml:space="preserve">O fornecedor deverá atentar para todos os requisitos necessários na </w:t>
      </w:r>
      <w:r>
        <w:rPr>
          <w:rFonts w:hint="default" w:ascii="Arial" w:hAnsi="Arial" w:cs="Arial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ab/>
      </w:r>
      <w:r>
        <w:rPr>
          <w:rFonts w:hint="default" w:ascii="Arial" w:hAnsi="Arial" w:cs="Arial"/>
          <w:sz w:val="22"/>
          <w:szCs w:val="22"/>
        </w:rPr>
        <w:t xml:space="preserve">prestação </w:t>
      </w:r>
      <w:r>
        <w:rPr>
          <w:rFonts w:hint="default" w:ascii="Arial" w:hAnsi="Arial" w:cs="Arial"/>
          <w:sz w:val="22"/>
          <w:szCs w:val="22"/>
          <w:lang w:val="pt-BR"/>
        </w:rPr>
        <w:tab/>
      </w:r>
      <w:r>
        <w:rPr>
          <w:rFonts w:hint="default" w:ascii="Arial" w:hAnsi="Arial" w:cs="Arial"/>
          <w:sz w:val="22"/>
          <w:szCs w:val="22"/>
        </w:rPr>
        <w:t>deste serviço no que se refere ao objeto (</w:t>
      </w:r>
      <w:r>
        <w:rPr>
          <w:rFonts w:hint="default" w:ascii="Arial" w:hAnsi="Arial" w:cs="Arial"/>
          <w:sz w:val="22"/>
          <w:szCs w:val="22"/>
          <w:lang w:val="pt-BR"/>
        </w:rPr>
        <w:t xml:space="preserve">fornecimento exato </w:t>
      </w:r>
      <w:r>
        <w:rPr>
          <w:rFonts w:hint="default" w:ascii="Arial" w:hAnsi="Arial" w:cs="Arial"/>
          <w:sz w:val="22"/>
          <w:szCs w:val="22"/>
          <w:lang w:val="pt-BR"/>
        </w:rPr>
        <w:tab/>
      </w:r>
      <w:r>
        <w:rPr>
          <w:rFonts w:hint="default" w:ascii="Arial" w:hAnsi="Arial" w:cs="Arial"/>
          <w:sz w:val="22"/>
          <w:szCs w:val="22"/>
          <w:lang w:val="pt-BR"/>
        </w:rPr>
        <w:t>conforme consta no sub item 2 na tabela desse termo de referência</w:t>
      </w:r>
      <w:r>
        <w:rPr>
          <w:rFonts w:hint="default" w:ascii="Arial" w:hAnsi="Arial" w:cs="Arial"/>
          <w:sz w:val="22"/>
          <w:szCs w:val="22"/>
        </w:rPr>
        <w:t>)</w:t>
      </w:r>
      <w:r>
        <w:rPr>
          <w:rFonts w:hint="default" w:ascii="Arial" w:hAnsi="Arial" w:cs="Arial"/>
          <w:sz w:val="22"/>
          <w:szCs w:val="22"/>
          <w:lang w:val="pt-BR"/>
        </w:rPr>
        <w:t>.</w:t>
      </w:r>
    </w:p>
    <w:p>
      <w:pPr>
        <w:pStyle w:val="30"/>
        <w:numPr>
          <w:ilvl w:val="0"/>
          <w:numId w:val="0"/>
        </w:numPr>
        <w:tabs>
          <w:tab w:val="left" w:pos="720"/>
        </w:tabs>
        <w:spacing w:before="120" w:after="120" w:line="360" w:lineRule="auto"/>
        <w:jc w:val="both"/>
        <w:rPr>
          <w:rFonts w:hint="default" w:ascii="Arial" w:hAnsi="Arial" w:cs="Arial"/>
          <w:sz w:val="22"/>
          <w:szCs w:val="22"/>
          <w:lang w:val="pt-BR"/>
        </w:rPr>
      </w:pPr>
    </w:p>
    <w:p>
      <w:pPr>
        <w:pStyle w:val="30"/>
        <w:numPr>
          <w:ilvl w:val="0"/>
          <w:numId w:val="0"/>
        </w:numPr>
        <w:tabs>
          <w:tab w:val="left" w:pos="720"/>
        </w:tabs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 xml:space="preserve">5. </w:t>
      </w:r>
      <w:r>
        <w:rPr>
          <w:rFonts w:hint="default" w:ascii="Arial" w:hAnsi="Arial" w:cs="Arial"/>
          <w:sz w:val="22"/>
          <w:szCs w:val="22"/>
          <w:lang w:val="pt-BR"/>
        </w:rPr>
        <w:t xml:space="preserve">  </w:t>
      </w:r>
      <w:r>
        <w:rPr>
          <w:rFonts w:ascii="Arial" w:hAnsi="Arial" w:cs="Arial"/>
          <w:b/>
        </w:rPr>
        <w:t>DOS PRAZOS E CONDIÇÕES DE EXECUÇÃO DOS SERVIÇOS</w:t>
      </w:r>
    </w:p>
    <w:p>
      <w:pPr>
        <w:pStyle w:val="14"/>
        <w:numPr>
          <w:ilvl w:val="0"/>
          <w:numId w:val="0"/>
        </w:numPr>
        <w:suppressAutoHyphens/>
        <w:spacing w:before="120" w:after="100" w:afterAutospacing="1" w:line="360" w:lineRule="auto"/>
        <w:ind w:firstLine="330" w:firstLineChars="150"/>
        <w:jc w:val="both"/>
        <w:rPr>
          <w:rFonts w:ascii="Arial" w:hAnsi="Arial" w:cs="Arial"/>
        </w:rPr>
      </w:pPr>
      <w:r>
        <w:rPr>
          <w:rFonts w:hint="default" w:ascii="Arial" w:hAnsi="Arial" w:cs="Arial"/>
          <w:b/>
          <w:bCs/>
          <w:lang w:val="pt-BR"/>
        </w:rPr>
        <w:t xml:space="preserve">5.1 </w:t>
      </w:r>
      <w:r>
        <w:rPr>
          <w:rFonts w:ascii="Arial" w:hAnsi="Arial" w:cs="Arial"/>
        </w:rPr>
        <w:t xml:space="preserve">O prazo </w:t>
      </w:r>
      <w:r>
        <w:rPr>
          <w:rFonts w:hint="default" w:ascii="Arial" w:hAnsi="Arial" w:cs="Arial"/>
          <w:lang w:val="pt-BR"/>
        </w:rPr>
        <w:t xml:space="preserve">para realização dos serviços para execução deverão ser </w:t>
      </w:r>
      <w:r>
        <w:rPr>
          <w:rFonts w:hint="default" w:ascii="Arial" w:hAnsi="Arial" w:cs="Arial"/>
          <w:lang w:val="pt-BR"/>
        </w:rPr>
        <w:tab/>
      </w:r>
      <w:r>
        <w:rPr>
          <w:rFonts w:hint="default" w:ascii="Arial" w:hAnsi="Arial" w:cs="Arial"/>
          <w:lang w:val="pt-BR"/>
        </w:rPr>
        <w:t>antecipadamente combinados com o fornecedor.</w:t>
      </w:r>
    </w:p>
    <w:p>
      <w:pPr>
        <w:pStyle w:val="14"/>
        <w:numPr>
          <w:ilvl w:val="0"/>
          <w:numId w:val="0"/>
        </w:numPr>
        <w:suppressAutoHyphens/>
        <w:spacing w:before="120" w:after="100" w:afterAutospacing="1" w:line="360" w:lineRule="auto"/>
        <w:ind w:firstLine="330" w:firstLineChars="15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b/>
          <w:bCs/>
          <w:lang w:val="pt-BR"/>
        </w:rPr>
        <w:t xml:space="preserve">5.2   </w:t>
      </w:r>
      <w:r>
        <w:rPr>
          <w:rFonts w:hint="default" w:ascii="Arial" w:hAnsi="Arial" w:cs="Arial"/>
          <w:b w:val="0"/>
          <w:bCs w:val="0"/>
          <w:lang w:val="pt-BR"/>
        </w:rPr>
        <w:t xml:space="preserve">A </w:t>
      </w:r>
      <w:r>
        <w:rPr>
          <w:rFonts w:hint="default" w:ascii="Arial" w:hAnsi="Arial" w:cs="Arial"/>
        </w:rPr>
        <w:t xml:space="preserve">empresa </w:t>
      </w:r>
      <w:r>
        <w:rPr>
          <w:rFonts w:hint="default" w:ascii="Arial" w:hAnsi="Arial" w:cs="Arial"/>
          <w:lang w:val="pt-BR"/>
        </w:rPr>
        <w:t xml:space="preserve">contratada </w:t>
      </w:r>
      <w:r>
        <w:rPr>
          <w:rFonts w:hint="default" w:ascii="Arial" w:hAnsi="Arial" w:cs="Arial"/>
        </w:rPr>
        <w:t xml:space="preserve">deverá realizar a </w:t>
      </w:r>
      <w:r>
        <w:rPr>
          <w:rFonts w:hint="default" w:ascii="Arial" w:hAnsi="Arial" w:cs="Arial"/>
          <w:lang w:val="pt-BR"/>
        </w:rPr>
        <w:t xml:space="preserve">instalação de porta com divisória na </w:t>
      </w:r>
      <w:r>
        <w:rPr>
          <w:rFonts w:hint="default" w:ascii="Arial" w:hAnsi="Arial" w:cs="Arial"/>
          <w:lang w:val="pt-BR"/>
        </w:rPr>
        <w:tab/>
      </w:r>
      <w:r>
        <w:rPr>
          <w:rFonts w:hint="default" w:ascii="Arial" w:hAnsi="Arial" w:cs="Arial"/>
          <w:lang w:val="pt-BR"/>
        </w:rPr>
        <w:t xml:space="preserve">no </w:t>
      </w:r>
      <w:r>
        <w:rPr>
          <w:rFonts w:hint="default" w:ascii="Arial" w:hAnsi="Arial" w:cs="Arial"/>
          <w:u w:val="single"/>
          <w:lang w:val="pt-BR"/>
        </w:rPr>
        <w:t xml:space="preserve">departamento de comunicação </w:t>
      </w:r>
      <w:r>
        <w:rPr>
          <w:rFonts w:hint="default" w:ascii="Arial" w:hAnsi="Arial" w:cs="Arial"/>
          <w:lang w:val="pt-BR"/>
        </w:rPr>
        <w:t xml:space="preserve">na sede do </w:t>
      </w:r>
      <w:r>
        <w:rPr>
          <w:rFonts w:hint="default" w:ascii="Arial" w:hAnsi="Arial" w:eastAsia="Courier New" w:cs="Arial"/>
          <w:lang w:val="pt-BR"/>
        </w:rPr>
        <w:t xml:space="preserve">Conselho Regional de </w:t>
      </w:r>
      <w:r>
        <w:rPr>
          <w:rFonts w:hint="default" w:ascii="Arial" w:hAnsi="Arial" w:eastAsia="Courier New" w:cs="Arial"/>
          <w:lang w:val="pt-BR"/>
        </w:rPr>
        <w:tab/>
      </w:r>
      <w:r>
        <w:rPr>
          <w:rFonts w:hint="default" w:ascii="Arial" w:hAnsi="Arial" w:eastAsia="Courier New" w:cs="Arial"/>
          <w:lang w:val="pt-BR"/>
        </w:rPr>
        <w:tab/>
      </w:r>
      <w:r>
        <w:rPr>
          <w:rFonts w:hint="default" w:ascii="Arial" w:hAnsi="Arial" w:eastAsia="Courier New" w:cs="Arial"/>
          <w:lang w:val="pt-BR"/>
        </w:rPr>
        <w:t>Corretores de imóveis 3ªRegião,</w:t>
      </w:r>
      <w:r>
        <w:rPr>
          <w:rFonts w:hint="default" w:ascii="Arial" w:hAnsi="Arial" w:cs="Arial"/>
          <w:lang w:val="pt-BR"/>
        </w:rPr>
        <w:t xml:space="preserve"> localizados no seguinte endereço;</w:t>
      </w:r>
    </w:p>
    <w:p>
      <w:pPr>
        <w:pStyle w:val="29"/>
        <w:numPr>
          <w:ilvl w:val="0"/>
          <w:numId w:val="0"/>
        </w:numPr>
        <w:spacing w:before="120" w:after="120" w:line="480" w:lineRule="auto"/>
        <w:ind w:firstLine="945" w:firstLineChars="450"/>
        <w:jc w:val="both"/>
        <w:rPr>
          <w:rFonts w:hint="default" w:ascii="Arial" w:hAnsi="Arial" w:eastAsia="Source Sans Pro" w:cs="Arial"/>
          <w:b w:val="0"/>
          <w:bCs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pt-BR"/>
        </w:rPr>
      </w:pPr>
      <w:r>
        <w:rPr>
          <w:rFonts w:hint="default" w:ascii="Arial" w:hAnsi="Arial" w:cs="Arial"/>
          <w:b w:val="0"/>
          <w:bCs/>
          <w:i/>
          <w:sz w:val="21"/>
          <w:szCs w:val="21"/>
          <w:lang w:val="pt-BR"/>
        </w:rPr>
        <w:t xml:space="preserve">5.2.1 Rua Guilherme Alves </w:t>
      </w:r>
      <w:r>
        <w:rPr>
          <w:rFonts w:hint="default" w:ascii="Arial" w:hAnsi="Arial" w:cs="Arial"/>
          <w:b w:val="0"/>
          <w:bCs/>
          <w:i/>
          <w:sz w:val="21"/>
          <w:szCs w:val="21"/>
        </w:rPr>
        <w:t xml:space="preserve">n.º </w:t>
      </w:r>
      <w:r>
        <w:rPr>
          <w:rFonts w:hint="default" w:ascii="Arial" w:hAnsi="Arial" w:cs="Arial"/>
          <w:b w:val="0"/>
          <w:bCs/>
          <w:i/>
          <w:sz w:val="21"/>
          <w:szCs w:val="21"/>
          <w:lang w:val="pt-BR"/>
        </w:rPr>
        <w:t>1010</w:t>
      </w:r>
      <w:r>
        <w:rPr>
          <w:rFonts w:hint="default" w:ascii="Arial" w:hAnsi="Arial" w:cs="Arial"/>
          <w:b w:val="0"/>
          <w:bCs/>
          <w:i/>
          <w:sz w:val="21"/>
          <w:szCs w:val="21"/>
        </w:rPr>
        <w:t xml:space="preserve">, Bairro </w:t>
      </w:r>
      <w:r>
        <w:rPr>
          <w:rFonts w:hint="default" w:ascii="Arial" w:hAnsi="Arial" w:cs="Arial"/>
          <w:b w:val="0"/>
          <w:bCs/>
          <w:i/>
          <w:sz w:val="21"/>
          <w:szCs w:val="21"/>
          <w:lang w:val="pt-BR"/>
        </w:rPr>
        <w:t>Partenon</w:t>
      </w:r>
      <w:r>
        <w:rPr>
          <w:rFonts w:hint="default" w:ascii="Arial" w:hAnsi="Arial" w:cs="Arial"/>
          <w:b w:val="0"/>
          <w:bCs/>
          <w:i/>
          <w:sz w:val="21"/>
          <w:szCs w:val="21"/>
        </w:rPr>
        <w:t xml:space="preserve">, CEP </w:t>
      </w:r>
      <w:r>
        <w:rPr>
          <w:rFonts w:hint="default" w:ascii="Arial" w:hAnsi="Arial" w:eastAsia="Source Sans Pro" w:cs="Arial"/>
          <w:b w:val="0"/>
          <w:bCs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9</w:t>
      </w:r>
      <w:r>
        <w:rPr>
          <w:rFonts w:hint="default" w:ascii="Arial" w:hAnsi="Arial" w:eastAsia="Source Sans Pro" w:cs="Arial"/>
          <w:b w:val="0"/>
          <w:bCs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pt-BR"/>
        </w:rPr>
        <w:t xml:space="preserve">0680-000, Porto Alegre/RS. </w:t>
      </w:r>
    </w:p>
    <w:p>
      <w:pPr>
        <w:pStyle w:val="30"/>
        <w:numPr>
          <w:ilvl w:val="0"/>
          <w:numId w:val="5"/>
        </w:numPr>
        <w:spacing w:after="120" w:line="360" w:lineRule="auto"/>
        <w:ind w:left="360" w:leftChars="0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OBRIGAÇÕES DA CONTRATADA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Prestar os serviços objeto deste </w:t>
      </w:r>
      <w:r>
        <w:rPr>
          <w:rFonts w:hint="default" w:ascii="Arial" w:hAnsi="Arial" w:cs="Arial"/>
          <w:lang w:val="en-US" w:eastAsia="pt-BR"/>
        </w:rPr>
        <w:t>Termo de Referência</w:t>
      </w:r>
      <w:r>
        <w:rPr>
          <w:rFonts w:ascii="Arial" w:hAnsi="Arial" w:cs="Arial"/>
          <w:lang w:eastAsia="pt-BR"/>
        </w:rPr>
        <w:t>, responsabilizando-se integralmente pelo cumprimento dos postulados legais vigentes, de âmbito federal, estadual ou municipal;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Zelar pela perfeita execução dos serviços contratados;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Prestar os serviços durante todo o período de vigência do contrato, ressalvados os casos fortuito ou força maior, devidamente justificado;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Fornecer número telefônico para contato, endereço de e-mail, registro de ocorrências sobre o funcionamento do serviço contratado e, com funcionamento, no mínimo, de segunda a sexta-feira, no horário das 09 às 18 horas; 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Responsabilizar-se por todos os tributos, contribuições fiscais e parafiscais que incidam ou venham a incidir, direta e indiretamente, sobre os serviços prestados; 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Manter durante a execução do contrato, as mesmas condições de habilitação;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Não transferir a outrem, no todo ou em parte, a execução do contrato, salvo com expressa autorização da Contratante;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Relatar à Fiscalização do contrato toda e qualquer irregularidade observada quanto à execução dos serviços objeto da contratação; 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Responder administrativa, civil e penal por quaisquer danos materiais ou pessoais ocasionados à Contratante e/ou a terceiros, por seus empregados, dolosa ou culposamente, quanto à prestação dos serviços objeto desta contratação;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Comunicar a Contratante, por escrito, qualquer anormalidade nos serviços e prestar os esclarecimentos julgados necessários;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</w:rPr>
        <w:t>A Contratada não divulgará nem fornecerá dados ou informações obtidos em razão deste contrato, e não utilizará o nome desta Autarquia para fins comerciais ou em campanhas e material de publicidade, salvo com autorização prévia, emitida oficialmente pela Contratante;</w:t>
      </w:r>
    </w:p>
    <w:p>
      <w:pPr>
        <w:numPr>
          <w:ilvl w:val="1"/>
          <w:numId w:val="5"/>
        </w:numPr>
        <w:autoSpaceDE w:val="0"/>
        <w:autoSpaceDN w:val="0"/>
        <w:adjustRightInd w:val="0"/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</w:rPr>
        <w:t>A presença da Fiscalização da Contratante durante a execução dos serviços, quaisquer que sejam os atos praticados no desempenho de suas atribuições, não implicará solidariedade ou co-responsabilidade com a Contratada, que responderá única e integralmente pela execução dos serviços;</w:t>
      </w: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after="120" w:line="360" w:lineRule="auto"/>
        <w:ind w:left="660" w:leftChars="0"/>
        <w:jc w:val="both"/>
        <w:rPr>
          <w:rFonts w:ascii="Arial" w:hAnsi="Arial" w:cs="Arial"/>
          <w:lang w:eastAsia="pt-BR"/>
        </w:rPr>
      </w:pPr>
    </w:p>
    <w:p>
      <w:pPr>
        <w:pStyle w:val="29"/>
        <w:numPr>
          <w:ilvl w:val="0"/>
          <w:numId w:val="5"/>
        </w:numPr>
        <w:spacing w:line="360" w:lineRule="auto"/>
        <w:ind w:left="567" w:leftChars="0" w:hanging="567" w:firstLineChars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OBRIGAÇÕES DA CONTRATANTE</w:t>
      </w:r>
    </w:p>
    <w:p>
      <w:pPr>
        <w:pStyle w:val="29"/>
        <w:numPr>
          <w:ilvl w:val="1"/>
          <w:numId w:val="5"/>
        </w:numPr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Acompanhar, fiscalizar e avaliar a prestação dos serviços objeto desta contratação, não obstante a Contratada seja a única e exclusiva responsável pela sua execução, reservando-se o direito de, sem que de qualquer forma restrinja a plenitude desta responsabilidade, exercer a mais ampla e completa fiscalização, diretamente ou por prepostos designados; </w:t>
      </w:r>
    </w:p>
    <w:p>
      <w:pPr>
        <w:pStyle w:val="29"/>
        <w:numPr>
          <w:ilvl w:val="0"/>
          <w:numId w:val="0"/>
        </w:numPr>
        <w:spacing w:before="120" w:after="120" w:line="360" w:lineRule="auto"/>
        <w:ind w:left="1494" w:firstLine="0"/>
        <w:jc w:val="both"/>
        <w:rPr>
          <w:rFonts w:hint="default"/>
          <w:sz w:val="22"/>
          <w:szCs w:val="22"/>
          <w:shd w:val="clear" w:fill="auto"/>
          <w:lang w:val="pt-BR"/>
        </w:rPr>
      </w:pPr>
      <w:r>
        <w:rPr>
          <w:rFonts w:ascii="Arial" w:hAnsi="Arial" w:cs="Arial"/>
          <w:b/>
          <w:sz w:val="22"/>
          <w:szCs w:val="22"/>
          <w:shd w:val="clear" w:fill="auto"/>
        </w:rPr>
        <w:t xml:space="preserve">FISCAL DO CONTRATO: </w:t>
      </w:r>
      <w:r>
        <w:rPr>
          <w:rFonts w:hint="default" w:ascii="Arial" w:hAnsi="Arial" w:cs="Arial"/>
          <w:b/>
          <w:sz w:val="22"/>
          <w:szCs w:val="22"/>
          <w:shd w:val="clear" w:fill="auto"/>
          <w:lang w:val="pt-BR"/>
        </w:rPr>
        <w:t>Mateus Rosario</w:t>
      </w:r>
    </w:p>
    <w:p>
      <w:pPr>
        <w:pStyle w:val="29"/>
        <w:numPr>
          <w:ilvl w:val="0"/>
          <w:numId w:val="0"/>
        </w:numPr>
        <w:spacing w:before="120" w:after="120" w:line="360" w:lineRule="auto"/>
        <w:ind w:left="1494" w:firstLine="0"/>
        <w:jc w:val="both"/>
        <w:rPr>
          <w:rFonts w:hint="default"/>
          <w:b/>
          <w:bCs/>
          <w:i w:val="0"/>
          <w:iCs w:val="0"/>
          <w:sz w:val="22"/>
          <w:szCs w:val="22"/>
          <w:shd w:val="clear" w:fill="auto"/>
          <w:lang w:val="pt-BR"/>
        </w:rPr>
      </w:pPr>
      <w:r>
        <w:rPr>
          <w:rFonts w:ascii="Arial" w:hAnsi="Arial" w:cs="Arial"/>
          <w:b/>
          <w:sz w:val="22"/>
          <w:szCs w:val="22"/>
          <w:shd w:val="clear" w:fill="auto"/>
        </w:rPr>
        <w:t xml:space="preserve">CPF: </w:t>
      </w:r>
      <w:r>
        <w:rPr>
          <w:rFonts w:hint="default" w:ascii="Arial" w:hAnsi="Arial" w:cs="Arial"/>
          <w:b/>
          <w:sz w:val="22"/>
          <w:szCs w:val="22"/>
          <w:shd w:val="clear" w:fill="auto"/>
          <w:lang w:val="pt-BR"/>
        </w:rPr>
        <w:t>676.002.800-78</w:t>
      </w:r>
    </w:p>
    <w:p>
      <w:pPr>
        <w:pStyle w:val="29"/>
        <w:numPr>
          <w:ilvl w:val="0"/>
          <w:numId w:val="0"/>
        </w:numPr>
        <w:spacing w:before="120" w:after="120" w:line="360" w:lineRule="auto"/>
        <w:ind w:left="1494" w:firstLine="0"/>
        <w:jc w:val="both"/>
        <w:rPr>
          <w:b/>
          <w:bCs/>
          <w:i w:val="0"/>
          <w:iCs w:val="0"/>
          <w:color w:val="auto"/>
          <w:sz w:val="22"/>
          <w:szCs w:val="22"/>
          <w:shd w:val="clear" w:fill="auto"/>
        </w:rPr>
      </w:pPr>
      <w:r>
        <w:rPr>
          <w:rFonts w:ascii="Arial" w:hAnsi="Arial" w:cs="Arial"/>
          <w:b/>
          <w:bCs/>
          <w:i w:val="0"/>
          <w:iCs w:val="0"/>
          <w:sz w:val="22"/>
          <w:szCs w:val="22"/>
          <w:shd w:val="clear" w:fill="auto"/>
        </w:rPr>
        <w:t xml:space="preserve">TELEFONE: (51) </w:t>
      </w:r>
      <w:r>
        <w:rPr>
          <w:rFonts w:ascii="Arial" w:hAnsi="Arial" w:eastAsia="Times New Roman"/>
          <w:b/>
          <w:bCs/>
          <w:i w:val="0"/>
          <w:iCs w:val="0"/>
          <w:color w:val="000000"/>
          <w:sz w:val="22"/>
          <w:szCs w:val="22"/>
          <w:shd w:val="clear" w:fill="auto"/>
          <w:lang w:eastAsia="pt-BR"/>
        </w:rPr>
        <w:t>9</w:t>
      </w:r>
      <w:r>
        <w:rPr>
          <w:rFonts w:hint="default" w:ascii="Arial" w:hAnsi="Arial" w:eastAsia="Times New Roman"/>
          <w:b/>
          <w:bCs/>
          <w:i w:val="0"/>
          <w:iCs w:val="0"/>
          <w:color w:val="000000"/>
          <w:sz w:val="22"/>
          <w:szCs w:val="22"/>
          <w:shd w:val="clear" w:fill="auto"/>
          <w:lang w:val="en-US" w:eastAsia="pt-BR"/>
        </w:rPr>
        <w:t>212-5280</w:t>
      </w:r>
    </w:p>
    <w:p>
      <w:pPr>
        <w:pStyle w:val="29"/>
        <w:numPr>
          <w:ilvl w:val="0"/>
          <w:numId w:val="6"/>
        </w:numPr>
        <w:spacing w:before="120" w:after="120" w:line="360" w:lineRule="auto"/>
        <w:ind w:left="1320" w:leftChars="0" w:firstLine="0" w:firstLineChars="0"/>
        <w:jc w:val="both"/>
        <w:rPr>
          <w:rStyle w:val="33"/>
          <w:rFonts w:hint="default" w:ascii="Arial" w:hAnsi="Arial" w:cs="Arial"/>
          <w:b/>
          <w:bCs w:val="0"/>
          <w:sz w:val="22"/>
          <w:szCs w:val="22"/>
          <w:u w:val="single"/>
          <w:shd w:val="clear" w:fill="auto"/>
        </w:rPr>
      </w:pPr>
      <w:r>
        <w:rPr>
          <w:rFonts w:ascii="Arial" w:hAnsi="Arial" w:cs="Arial"/>
          <w:b/>
          <w:color w:val="auto"/>
          <w:sz w:val="22"/>
          <w:szCs w:val="22"/>
          <w:shd w:val="clear" w:fill="auto"/>
        </w:rPr>
        <w:t>MAIL:</w:t>
      </w:r>
      <w:r>
        <w:rPr>
          <w:rFonts w:hint="default" w:ascii="Arial" w:hAnsi="Arial" w:cs="Arial"/>
          <w:b/>
          <w:bCs w:val="0"/>
          <w:color w:val="auto"/>
          <w:sz w:val="22"/>
          <w:szCs w:val="22"/>
          <w:u w:val="single"/>
          <w:shd w:val="clear" w:fill="auto"/>
        </w:rPr>
        <w:t xml:space="preserve"> </w:t>
      </w:r>
      <w:r>
        <w:rPr>
          <w:rFonts w:hint="default" w:ascii="Arial" w:hAnsi="Arial" w:cs="Arial"/>
          <w:b/>
          <w:bCs w:val="0"/>
          <w:color w:val="auto"/>
          <w:sz w:val="22"/>
          <w:szCs w:val="22"/>
          <w:u w:val="single"/>
        </w:rPr>
        <w:fldChar w:fldCharType="begin"/>
      </w:r>
      <w:r>
        <w:rPr>
          <w:rFonts w:hint="default" w:ascii="Arial" w:hAnsi="Arial" w:cs="Arial"/>
          <w:b/>
          <w:bCs w:val="0"/>
          <w:color w:val="auto"/>
          <w:sz w:val="22"/>
          <w:szCs w:val="22"/>
          <w:u w:val="single"/>
        </w:rPr>
        <w:instrText xml:space="preserve"> HYPERLINK "" \h </w:instrText>
      </w:r>
      <w:r>
        <w:rPr>
          <w:rFonts w:hint="default" w:ascii="Arial" w:hAnsi="Arial" w:cs="Arial"/>
          <w:b/>
          <w:bCs w:val="0"/>
          <w:color w:val="auto"/>
          <w:sz w:val="22"/>
          <w:szCs w:val="22"/>
          <w:u w:val="single"/>
        </w:rPr>
        <w:fldChar w:fldCharType="separate"/>
      </w:r>
      <w:r>
        <w:rPr>
          <w:rFonts w:hint="default" w:ascii="Arial" w:hAnsi="Arial" w:cs="Arial"/>
          <w:b/>
          <w:bCs w:val="0"/>
          <w:color w:val="auto"/>
          <w:sz w:val="22"/>
          <w:szCs w:val="22"/>
          <w:u w:val="single"/>
          <w:lang w:val="pt-BR"/>
        </w:rPr>
        <w:t>mateus</w:t>
      </w:r>
      <w:r>
        <w:rPr>
          <w:rStyle w:val="33"/>
          <w:rFonts w:hint="default" w:ascii="Arial" w:hAnsi="Arial" w:cs="Arial"/>
          <w:b/>
          <w:bCs w:val="0"/>
          <w:color w:val="auto"/>
          <w:sz w:val="22"/>
          <w:szCs w:val="22"/>
          <w:u w:val="single"/>
          <w:shd w:val="clear" w:fill="auto"/>
        </w:rPr>
        <w:t>@creci-rs.gov.br</w:t>
      </w:r>
      <w:r>
        <w:rPr>
          <w:rStyle w:val="33"/>
          <w:rFonts w:hint="default" w:ascii="Arial" w:hAnsi="Arial" w:cs="Arial"/>
          <w:b/>
          <w:bCs w:val="0"/>
          <w:color w:val="auto"/>
          <w:sz w:val="22"/>
          <w:szCs w:val="22"/>
          <w:u w:val="single"/>
          <w:shd w:val="clear" w:fill="auto"/>
        </w:rPr>
        <w:fldChar w:fldCharType="end"/>
      </w:r>
    </w:p>
    <w:p>
      <w:pPr>
        <w:pStyle w:val="29"/>
        <w:numPr>
          <w:ilvl w:val="1"/>
          <w:numId w:val="5"/>
        </w:numPr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Comunicar à Contratada toda e qualquer irregularidade referente à execução do Contrato;</w:t>
      </w:r>
    </w:p>
    <w:p>
      <w:pPr>
        <w:pStyle w:val="29"/>
        <w:numPr>
          <w:ilvl w:val="1"/>
          <w:numId w:val="5"/>
        </w:numPr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Efetuar o pagamento à Contratada mediante apresentação da respec</w:t>
      </w:r>
      <w:r>
        <w:rPr>
          <w:rFonts w:hint="default" w:ascii="Arial" w:hAnsi="Arial" w:cs="Arial"/>
          <w:sz w:val="22"/>
          <w:szCs w:val="22"/>
          <w:lang w:val="pt-BR"/>
        </w:rPr>
        <w:t>tiva nota fiscal</w:t>
      </w:r>
      <w:r>
        <w:rPr>
          <w:rFonts w:ascii="Arial" w:hAnsi="Arial" w:cs="Arial"/>
          <w:sz w:val="22"/>
          <w:szCs w:val="22"/>
        </w:rPr>
        <w:t>, através de crédito em conta bancária observando-se a legislação atual;</w:t>
      </w:r>
    </w:p>
    <w:p>
      <w:pPr>
        <w:pStyle w:val="29"/>
        <w:numPr>
          <w:ilvl w:val="1"/>
          <w:numId w:val="5"/>
        </w:numPr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Prestar as informações e os esclarecimentos que venham a ser solicitados pela Contratada;</w:t>
      </w:r>
    </w:p>
    <w:p>
      <w:pPr>
        <w:pStyle w:val="29"/>
        <w:numPr>
          <w:ilvl w:val="1"/>
          <w:numId w:val="5"/>
        </w:numPr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Comunicar oficialmente à Contratada quaisquer falhas ocorridas, consideradas de natureza grave.</w:t>
      </w:r>
    </w:p>
    <w:p>
      <w:pPr>
        <w:pStyle w:val="29"/>
        <w:numPr>
          <w:ilvl w:val="0"/>
          <w:numId w:val="0"/>
        </w:numPr>
        <w:spacing w:before="120" w:after="120" w:line="360" w:lineRule="auto"/>
        <w:ind w:left="440" w:leftChars="0"/>
        <w:jc w:val="both"/>
        <w:rPr>
          <w:rFonts w:ascii="Arial" w:hAnsi="Arial" w:cs="Arial"/>
          <w:sz w:val="22"/>
          <w:szCs w:val="22"/>
        </w:rPr>
      </w:pPr>
    </w:p>
    <w:p>
      <w:pPr>
        <w:pStyle w:val="29"/>
        <w:numPr>
          <w:ilvl w:val="0"/>
          <w:numId w:val="5"/>
        </w:numPr>
        <w:spacing w:line="360" w:lineRule="auto"/>
        <w:ind w:left="567" w:leftChars="0" w:hanging="567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 PAGAMENTO:</w:t>
      </w:r>
    </w:p>
    <w:p>
      <w:pPr>
        <w:pStyle w:val="29"/>
        <w:numPr>
          <w:ilvl w:val="1"/>
          <w:numId w:val="5"/>
        </w:numPr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pagamento será realizado na medida em que os serviços forem sendo utilizados ou poderá ainda ser definida entre o fiscal do Contrato e o representante da contratada outra forma de pagamento deste que atenda ambas as partes.</w:t>
      </w:r>
    </w:p>
    <w:p>
      <w:pPr>
        <w:pStyle w:val="29"/>
        <w:numPr>
          <w:ilvl w:val="1"/>
          <w:numId w:val="5"/>
        </w:numPr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Contratada deverá apresentar, juntamente com a nota fiscal/fatura, as certidões de regularidade fiscal junto à Previdência Social (CND), Receita Federal do Brasil, Fundo de Garantia (CRF) e ao Tribunal Superior do Trabalho (CNDT).</w:t>
      </w:r>
    </w:p>
    <w:p>
      <w:pPr>
        <w:pStyle w:val="29"/>
        <w:numPr>
          <w:ilvl w:val="1"/>
          <w:numId w:val="5"/>
        </w:numPr>
        <w:spacing w:before="120" w:after="120" w:line="360" w:lineRule="auto"/>
        <w:ind w:left="1007" w:leftChars="0" w:hanging="567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nota fiscal que contiver erro ou rasura será devolvida à Contratada para retificação, reabrindo-se em favor da Contratante o prazo para atesto e pagamento.</w:t>
      </w:r>
    </w:p>
    <w:p>
      <w:pPr>
        <w:pStyle w:val="29"/>
        <w:numPr>
          <w:ilvl w:val="1"/>
          <w:numId w:val="5"/>
        </w:numPr>
        <w:spacing w:before="120" w:after="120" w:line="480" w:lineRule="auto"/>
        <w:ind w:left="1007" w:leftChars="0" w:hanging="567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pagamento seguira as diretrizes previstas na legislação vigente.</w:t>
      </w:r>
    </w:p>
    <w:p>
      <w:pPr>
        <w:pStyle w:val="29"/>
        <w:numPr>
          <w:ilvl w:val="0"/>
          <w:numId w:val="0"/>
        </w:numPr>
        <w:spacing w:before="120" w:after="120" w:line="480" w:lineRule="auto"/>
        <w:ind w:left="440" w:leftChars="0"/>
        <w:jc w:val="both"/>
        <w:rPr>
          <w:rFonts w:ascii="Arial" w:hAnsi="Arial" w:cs="Arial"/>
          <w:b/>
          <w:sz w:val="22"/>
          <w:szCs w:val="22"/>
        </w:rPr>
      </w:pPr>
    </w:p>
    <w:p>
      <w:pPr>
        <w:pStyle w:val="29"/>
        <w:numPr>
          <w:ilvl w:val="0"/>
          <w:numId w:val="0"/>
        </w:numPr>
        <w:spacing w:before="120" w:after="120" w:line="480" w:lineRule="auto"/>
        <w:ind w:left="440" w:leftChars="0"/>
        <w:jc w:val="both"/>
        <w:rPr>
          <w:rFonts w:ascii="Arial" w:hAnsi="Arial" w:cs="Arial"/>
          <w:b/>
          <w:sz w:val="22"/>
          <w:szCs w:val="22"/>
        </w:rPr>
      </w:pPr>
    </w:p>
    <w:p>
      <w:pPr>
        <w:pStyle w:val="29"/>
        <w:numPr>
          <w:ilvl w:val="0"/>
          <w:numId w:val="5"/>
        </w:numPr>
        <w:spacing w:before="120" w:after="120" w:line="360" w:lineRule="auto"/>
        <w:ind w:left="580" w:leftChars="0" w:firstLineChars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</w:t>
      </w:r>
      <w:r>
        <w:rPr>
          <w:rFonts w:hint="default" w:ascii="Arial" w:hAnsi="Arial" w:cs="Arial"/>
          <w:b/>
          <w:sz w:val="22"/>
          <w:szCs w:val="22"/>
          <w:lang w:val="pt-BR"/>
        </w:rPr>
        <w:t>ANÇÕES</w:t>
      </w:r>
    </w:p>
    <w:p>
      <w:pPr>
        <w:pStyle w:val="29"/>
        <w:numPr>
          <w:ilvl w:val="0"/>
          <w:numId w:val="7"/>
        </w:numPr>
        <w:spacing w:before="120" w:after="120" w:line="480" w:lineRule="auto"/>
        <w:ind w:left="660" w:leftChars="0" w:firstLineChars="0"/>
        <w:jc w:val="both"/>
        <w:rPr>
          <w:rStyle w:val="22"/>
          <w:rFonts w:ascii="Arial" w:hAnsi="Arial" w:cs="Arial"/>
          <w:b w:val="0"/>
          <w:bCs/>
        </w:rPr>
      </w:pP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 xml:space="preserve">     </w:t>
      </w:r>
      <w:r>
        <w:rPr>
          <w:rFonts w:ascii="Arial" w:hAnsi="Arial" w:cs="Arial"/>
          <w:b w:val="0"/>
          <w:bCs/>
          <w:sz w:val="22"/>
          <w:szCs w:val="22"/>
        </w:rPr>
        <w:t xml:space="preserve">São aquelas previstas na Lei </w:t>
      </w: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 xml:space="preserve">14.133 </w:t>
      </w:r>
      <w:r>
        <w:rPr>
          <w:rFonts w:ascii="Arial" w:hAnsi="Arial" w:cs="Arial"/>
          <w:b w:val="0"/>
          <w:bCs/>
          <w:sz w:val="22"/>
          <w:szCs w:val="22"/>
        </w:rPr>
        <w:t xml:space="preserve">de </w:t>
      </w: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>1º</w:t>
      </w:r>
      <w:r>
        <w:rPr>
          <w:rFonts w:ascii="Arial" w:hAnsi="Arial" w:cs="Arial"/>
          <w:b w:val="0"/>
          <w:bCs/>
          <w:sz w:val="22"/>
          <w:szCs w:val="22"/>
        </w:rPr>
        <w:t xml:space="preserve"> de </w:t>
      </w: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>Abril</w:t>
      </w:r>
      <w:r>
        <w:rPr>
          <w:rFonts w:ascii="Arial" w:hAnsi="Arial" w:cs="Arial"/>
          <w:b w:val="0"/>
          <w:bCs/>
          <w:sz w:val="22"/>
          <w:szCs w:val="22"/>
        </w:rPr>
        <w:t xml:space="preserve"> de </w:t>
      </w: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>2021</w:t>
      </w:r>
      <w:r>
        <w:rPr>
          <w:rFonts w:ascii="Arial" w:hAnsi="Arial" w:cs="Arial"/>
          <w:b w:val="0"/>
          <w:bCs/>
          <w:sz w:val="22"/>
          <w:szCs w:val="22"/>
        </w:rPr>
        <w:t>.</w:t>
      </w:r>
    </w:p>
    <w:p>
      <w:pPr>
        <w:pStyle w:val="29"/>
        <w:numPr>
          <w:ilvl w:val="0"/>
          <w:numId w:val="5"/>
        </w:numPr>
        <w:spacing w:before="120" w:after="120" w:line="360" w:lineRule="auto"/>
        <w:ind w:left="580" w:leftChars="0" w:hanging="360" w:firstLineChars="0"/>
        <w:jc w:val="both"/>
        <w:rPr>
          <w:rStyle w:val="22"/>
          <w:rFonts w:ascii="Arial" w:hAnsi="Arial" w:cs="Arial"/>
          <w:b/>
          <w:sz w:val="22"/>
          <w:szCs w:val="22"/>
        </w:rPr>
      </w:pPr>
      <w:r>
        <w:rPr>
          <w:rStyle w:val="22"/>
          <w:rFonts w:hint="default" w:ascii="Arial" w:hAnsi="Arial" w:cs="Arial"/>
          <w:b/>
          <w:sz w:val="22"/>
          <w:szCs w:val="22"/>
          <w:lang w:val="pt-BR"/>
        </w:rPr>
        <w:t xml:space="preserve">  </w:t>
      </w:r>
      <w:r>
        <w:rPr>
          <w:rStyle w:val="22"/>
          <w:rFonts w:ascii="Arial" w:hAnsi="Arial" w:cs="Arial"/>
          <w:b/>
          <w:sz w:val="22"/>
          <w:szCs w:val="22"/>
        </w:rPr>
        <w:t>FORMA DE CONTRATAÇÃO</w:t>
      </w:r>
    </w:p>
    <w:p>
      <w:pPr>
        <w:pStyle w:val="9"/>
        <w:numPr>
          <w:ilvl w:val="0"/>
          <w:numId w:val="8"/>
        </w:numPr>
        <w:spacing w:line="480" w:lineRule="auto"/>
        <w:ind w:left="660" w:leftChars="0" w:firstLineChars="0"/>
        <w:rPr>
          <w:rStyle w:val="22"/>
          <w:rFonts w:ascii="Arial" w:hAnsi="Arial" w:cs="Arial"/>
        </w:rPr>
      </w:pPr>
      <w:r>
        <w:rPr>
          <w:rStyle w:val="22"/>
          <w:rFonts w:hint="default" w:ascii="Arial" w:hAnsi="Arial" w:cs="Arial"/>
          <w:lang w:val="pt-BR"/>
        </w:rPr>
        <w:t xml:space="preserve">   </w:t>
      </w:r>
      <w:r>
        <w:rPr>
          <w:rStyle w:val="22"/>
          <w:rFonts w:ascii="Arial" w:hAnsi="Arial" w:cs="Arial"/>
        </w:rPr>
        <w:t>D</w:t>
      </w:r>
      <w:r>
        <w:rPr>
          <w:rStyle w:val="22"/>
          <w:rFonts w:ascii="Arial" w:hAnsi="Arial" w:cs="Arial"/>
          <w:highlight w:val="none"/>
        </w:rPr>
        <w:t xml:space="preserve">ispensa de Licitação fundada no inc II do art. </w:t>
      </w:r>
      <w:r>
        <w:rPr>
          <w:rStyle w:val="22"/>
          <w:rFonts w:hint="default" w:ascii="Arial" w:hAnsi="Arial" w:cs="Arial"/>
          <w:highlight w:val="none"/>
          <w:lang w:val="pt-BR"/>
        </w:rPr>
        <w:t>75</w:t>
      </w:r>
      <w:r>
        <w:rPr>
          <w:rStyle w:val="22"/>
          <w:rFonts w:ascii="Arial" w:hAnsi="Arial" w:cs="Arial"/>
          <w:highlight w:val="none"/>
        </w:rPr>
        <w:t xml:space="preserve"> da Lei </w:t>
      </w:r>
      <w:r>
        <w:rPr>
          <w:rStyle w:val="22"/>
          <w:rFonts w:hint="default" w:ascii="Arial" w:hAnsi="Arial" w:cs="Arial"/>
          <w:highlight w:val="none"/>
          <w:lang w:val="pt-BR"/>
        </w:rPr>
        <w:t>14.133/21.</w:t>
      </w:r>
    </w:p>
    <w:p>
      <w:pPr>
        <w:pStyle w:val="9"/>
        <w:numPr>
          <w:ilvl w:val="0"/>
          <w:numId w:val="0"/>
        </w:numPr>
        <w:spacing w:line="360" w:lineRule="auto"/>
        <w:ind w:left="660" w:leftChars="0"/>
        <w:rPr>
          <w:rStyle w:val="22"/>
          <w:rFonts w:ascii="Arial" w:hAnsi="Arial" w:cs="Arial"/>
        </w:rPr>
      </w:pPr>
    </w:p>
    <w:p>
      <w:pPr>
        <w:pStyle w:val="9"/>
        <w:numPr>
          <w:ilvl w:val="0"/>
          <w:numId w:val="0"/>
        </w:numPr>
        <w:spacing w:line="480" w:lineRule="auto"/>
        <w:ind w:firstLine="220" w:firstLineChars="100"/>
        <w:rPr>
          <w:rStyle w:val="22"/>
          <w:rFonts w:ascii="Arial" w:hAnsi="Arial" w:cs="Arial"/>
          <w:b/>
          <w:sz w:val="22"/>
          <w:szCs w:val="22"/>
        </w:rPr>
      </w:pPr>
      <w:r>
        <w:rPr>
          <w:rStyle w:val="22"/>
          <w:rFonts w:hint="default" w:ascii="Arial" w:hAnsi="Arial" w:cs="Arial"/>
          <w:b/>
          <w:sz w:val="22"/>
          <w:szCs w:val="22"/>
          <w:lang w:val="pt-BR"/>
        </w:rPr>
        <w:t xml:space="preserve">11.    </w:t>
      </w:r>
      <w:r>
        <w:rPr>
          <w:rStyle w:val="22"/>
          <w:rFonts w:ascii="Arial" w:hAnsi="Arial" w:cs="Arial"/>
          <w:b/>
          <w:sz w:val="22"/>
          <w:szCs w:val="22"/>
        </w:rPr>
        <w:t>PREVISÃO ORÇAMENTÁRIA</w:t>
      </w:r>
    </w:p>
    <w:p>
      <w:pPr>
        <w:keepNext w:val="0"/>
        <w:keepLines w:val="0"/>
        <w:widowControl/>
        <w:suppressLineNumbers w:val="0"/>
        <w:jc w:val="left"/>
        <w:rPr>
          <w:rStyle w:val="22"/>
          <w:rFonts w:hint="default" w:ascii="Arial" w:hAnsi="Arial" w:cs="Arial"/>
          <w:sz w:val="24"/>
          <w:szCs w:val="24"/>
          <w:highlight w:val="none"/>
          <w:lang w:val="pt-BR"/>
        </w:rPr>
      </w:pPr>
      <w:r>
        <w:rPr>
          <w:rStyle w:val="22"/>
          <w:rFonts w:hint="default" w:ascii="Arial" w:hAnsi="Arial" w:cs="Arial"/>
          <w:highlight w:val="none"/>
          <w:lang w:val="pt-BR"/>
        </w:rPr>
        <w:t xml:space="preserve"> </w:t>
      </w:r>
      <w:r>
        <w:rPr>
          <w:rStyle w:val="22"/>
          <w:rFonts w:hint="default" w:ascii="Arial" w:hAnsi="Arial" w:cs="Arial"/>
          <w:highlight w:val="none"/>
          <w:lang w:val="pt-BR"/>
        </w:rPr>
        <w:tab/>
      </w:r>
      <w:r>
        <w:rPr>
          <w:rStyle w:val="22"/>
          <w:rFonts w:hint="default" w:ascii="Arial" w:hAnsi="Arial" w:cs="Arial"/>
          <w:sz w:val="24"/>
          <w:szCs w:val="24"/>
          <w:highlight w:val="none"/>
          <w:lang w:val="pt-BR"/>
        </w:rPr>
        <w:t xml:space="preserve"> </w:t>
      </w:r>
      <w:r>
        <w:rPr>
          <w:rStyle w:val="22"/>
          <w:rFonts w:hint="default" w:ascii="Arial" w:hAnsi="Arial" w:cs="Arial"/>
          <w:sz w:val="24"/>
          <w:szCs w:val="24"/>
          <w:highlight w:val="none"/>
        </w:rPr>
        <w:t xml:space="preserve">Conta Orçamentária: 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en-US" w:eastAsia="zh-CN" w:bidi="ar"/>
        </w:rPr>
        <w:t>6.3.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pt-BR" w:eastAsia="zh-CN" w:bidi="ar"/>
        </w:rPr>
        <w:t>2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en-US" w:eastAsia="zh-CN" w:bidi="ar"/>
        </w:rPr>
        <w:t>.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pt-BR" w:eastAsia="zh-CN" w:bidi="ar"/>
        </w:rPr>
        <w:t>1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en-US" w:eastAsia="zh-CN" w:bidi="ar"/>
        </w:rPr>
        <w:t>.0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pt-BR" w:eastAsia="zh-CN" w:bidi="ar"/>
        </w:rPr>
        <w:t>1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en-US" w:eastAsia="zh-CN" w:bidi="ar"/>
        </w:rPr>
        <w:t>.01.0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pt-BR" w:eastAsia="zh-CN" w:bidi="ar"/>
        </w:rPr>
        <w:t>01</w:t>
      </w:r>
      <w:r>
        <w:rPr>
          <w:rFonts w:hint="default" w:ascii="Arial" w:hAnsi="Arial" w:eastAsia="CIDFont" w:cs="Arial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 </w:t>
      </w:r>
      <w:r>
        <w:rPr>
          <w:rStyle w:val="22"/>
          <w:rFonts w:hint="default" w:ascii="Arial" w:hAnsi="Arial" w:cs="Arial"/>
          <w:sz w:val="24"/>
          <w:szCs w:val="24"/>
          <w:highlight w:val="none"/>
        </w:rPr>
        <w:t xml:space="preserve">– </w:t>
      </w:r>
      <w:r>
        <w:rPr>
          <w:rStyle w:val="22"/>
          <w:rFonts w:hint="default" w:ascii="Arial" w:hAnsi="Arial" w:cs="Arial"/>
          <w:sz w:val="24"/>
          <w:szCs w:val="24"/>
          <w:highlight w:val="none"/>
          <w:lang w:val="pt-BR"/>
        </w:rPr>
        <w:t xml:space="preserve">Serviço de Instalação de </w:t>
      </w:r>
      <w:r>
        <w:rPr>
          <w:rStyle w:val="22"/>
          <w:rFonts w:hint="default" w:ascii="Arial" w:hAnsi="Arial" w:cs="Arial"/>
          <w:sz w:val="24"/>
          <w:szCs w:val="24"/>
          <w:highlight w:val="none"/>
          <w:lang w:val="pt-BR"/>
        </w:rPr>
        <w:tab/>
        <w:t xml:space="preserve"> </w:t>
      </w:r>
      <w:r>
        <w:rPr>
          <w:rStyle w:val="22"/>
          <w:rFonts w:hint="default" w:ascii="Arial" w:hAnsi="Arial" w:cs="Arial"/>
          <w:sz w:val="24"/>
          <w:szCs w:val="24"/>
          <w:highlight w:val="none"/>
          <w:lang w:val="pt-BR"/>
        </w:rPr>
        <w:tab/>
        <w:t>divisória.</w:t>
      </w:r>
    </w:p>
    <w:p>
      <w:pPr>
        <w:keepNext w:val="0"/>
        <w:keepLines w:val="0"/>
        <w:widowControl/>
        <w:suppressLineNumbers w:val="0"/>
        <w:jc w:val="left"/>
        <w:rPr>
          <w:rStyle w:val="22"/>
          <w:rFonts w:hint="default" w:ascii="Arial" w:hAnsi="Arial" w:cs="Arial"/>
          <w:sz w:val="24"/>
          <w:szCs w:val="24"/>
          <w:highlight w:val="none"/>
          <w:lang w:val="pt-BR"/>
        </w:rPr>
      </w:pPr>
    </w:p>
    <w:p>
      <w:pPr>
        <w:pStyle w:val="9"/>
        <w:numPr>
          <w:ilvl w:val="0"/>
          <w:numId w:val="0"/>
        </w:numPr>
        <w:spacing w:line="480" w:lineRule="auto"/>
        <w:ind w:firstLine="220" w:firstLineChars="100"/>
        <w:rPr>
          <w:rStyle w:val="22"/>
          <w:rFonts w:hint="default" w:ascii="Arial" w:hAnsi="Arial" w:cs="Arial"/>
          <w:b/>
          <w:sz w:val="22"/>
          <w:szCs w:val="22"/>
          <w:lang w:val="pt-BR"/>
        </w:rPr>
      </w:pPr>
      <w:r>
        <w:rPr>
          <w:rStyle w:val="22"/>
          <w:rFonts w:hint="default" w:ascii="Arial" w:hAnsi="Arial" w:cs="Arial"/>
          <w:b/>
          <w:sz w:val="22"/>
          <w:szCs w:val="22"/>
          <w:lang w:val="pt-BR"/>
        </w:rPr>
        <w:t>12.    ANEXOS</w:t>
      </w:r>
    </w:p>
    <w:p>
      <w:pPr>
        <w:keepNext w:val="0"/>
        <w:keepLines w:val="0"/>
        <w:widowControl/>
        <w:suppressLineNumbers w:val="0"/>
        <w:ind w:firstLine="708" w:firstLineChars="0"/>
        <w:jc w:val="left"/>
        <w:rPr>
          <w:rStyle w:val="22"/>
          <w:rFonts w:hint="default" w:ascii="Arial" w:hAnsi="Arial" w:cs="Arial"/>
          <w:sz w:val="24"/>
          <w:szCs w:val="24"/>
          <w:highlight w:val="none"/>
          <w:lang w:val="pt-BR"/>
        </w:rPr>
      </w:pPr>
      <w:r>
        <w:rPr>
          <w:rStyle w:val="22"/>
          <w:rFonts w:hint="default" w:ascii="Arial" w:hAnsi="Arial" w:cs="Arial"/>
          <w:sz w:val="24"/>
          <w:szCs w:val="24"/>
          <w:highlight w:val="none"/>
          <w:lang w:val="pt-BR"/>
        </w:rPr>
        <w:t>Anexo I - Tabela comparativa de preços.</w:t>
      </w:r>
      <w:bookmarkStart w:id="0" w:name="_GoBack"/>
      <w:bookmarkEnd w:id="0"/>
    </w:p>
    <w:p>
      <w:pPr>
        <w:pStyle w:val="9"/>
        <w:spacing w:line="360" w:lineRule="auto"/>
        <w:ind w:left="360"/>
        <w:rPr>
          <w:rStyle w:val="22"/>
          <w:rFonts w:hint="default" w:ascii="Arial" w:hAnsi="Arial" w:cs="Arial"/>
          <w:sz w:val="24"/>
          <w:szCs w:val="24"/>
          <w:highlight w:val="none"/>
        </w:rPr>
      </w:pPr>
    </w:p>
    <w:p>
      <w:pPr>
        <w:pStyle w:val="9"/>
        <w:spacing w:line="360" w:lineRule="auto"/>
        <w:ind w:left="360"/>
        <w:jc w:val="right"/>
        <w:rPr>
          <w:rStyle w:val="22"/>
          <w:rFonts w:ascii="Arial" w:hAnsi="Arial" w:cs="Arial"/>
          <w:highlight w:val="none"/>
        </w:rPr>
      </w:pPr>
      <w:r>
        <w:rPr>
          <w:rStyle w:val="22"/>
          <w:rFonts w:ascii="Arial" w:hAnsi="Arial" w:cs="Arial"/>
          <w:highlight w:val="none"/>
        </w:rPr>
        <w:t xml:space="preserve">Porto Alegre, </w:t>
      </w:r>
      <w:r>
        <w:rPr>
          <w:rStyle w:val="22"/>
          <w:rFonts w:hint="default" w:ascii="Arial" w:hAnsi="Arial" w:cs="Arial"/>
          <w:highlight w:val="none"/>
          <w:lang w:val="pt-BR"/>
        </w:rPr>
        <w:t xml:space="preserve">03 </w:t>
      </w:r>
      <w:r>
        <w:rPr>
          <w:rStyle w:val="22"/>
          <w:rFonts w:ascii="Arial" w:hAnsi="Arial" w:cs="Arial"/>
          <w:highlight w:val="none"/>
        </w:rPr>
        <w:t xml:space="preserve"> de </w:t>
      </w:r>
      <w:r>
        <w:rPr>
          <w:rStyle w:val="22"/>
          <w:rFonts w:hint="default" w:ascii="Arial" w:hAnsi="Arial" w:cs="Arial"/>
          <w:highlight w:val="none"/>
          <w:lang w:val="pt-BR"/>
        </w:rPr>
        <w:t>Março</w:t>
      </w:r>
      <w:r>
        <w:rPr>
          <w:rStyle w:val="22"/>
          <w:rFonts w:ascii="Arial" w:hAnsi="Arial" w:cs="Arial"/>
          <w:highlight w:val="none"/>
        </w:rPr>
        <w:t xml:space="preserve"> de 202</w:t>
      </w:r>
      <w:r>
        <w:rPr>
          <w:rStyle w:val="22"/>
          <w:rFonts w:hint="default" w:ascii="Arial" w:hAnsi="Arial" w:cs="Arial"/>
          <w:highlight w:val="none"/>
          <w:lang w:val="pt-BR"/>
        </w:rPr>
        <w:t>2</w:t>
      </w:r>
      <w:r>
        <w:rPr>
          <w:rStyle w:val="22"/>
          <w:rFonts w:ascii="Arial" w:hAnsi="Arial" w:cs="Arial"/>
          <w:highlight w:val="none"/>
        </w:rPr>
        <w:t>.</w:t>
      </w:r>
    </w:p>
    <w:p>
      <w:pPr>
        <w:pStyle w:val="9"/>
        <w:spacing w:line="360" w:lineRule="auto"/>
        <w:rPr>
          <w:rStyle w:val="22"/>
          <w:rFonts w:ascii="Arial" w:hAnsi="Arial" w:cs="Arial"/>
          <w:highlight w:val="yellow"/>
        </w:rPr>
      </w:pPr>
    </w:p>
    <w:p>
      <w:pPr>
        <w:spacing w:before="0" w:after="0" w:line="360" w:lineRule="auto"/>
        <w:jc w:val="center"/>
        <w:rPr>
          <w:rFonts w:ascii="Arial" w:hAnsi="Arial" w:eastAsia="Times New Roman"/>
          <w:b/>
          <w:bCs/>
          <w:color w:val="000000"/>
          <w:sz w:val="24"/>
          <w:szCs w:val="24"/>
          <w:highlight w:val="none"/>
          <w:shd w:val="clear" w:fill="auto"/>
          <w:lang w:eastAsia="pt-BR"/>
        </w:rPr>
      </w:pPr>
    </w:p>
    <w:p>
      <w:pPr>
        <w:pStyle w:val="14"/>
        <w:numPr>
          <w:ilvl w:val="0"/>
          <w:numId w:val="0"/>
        </w:numPr>
        <w:spacing w:before="0" w:after="0" w:line="360" w:lineRule="auto"/>
        <w:ind w:left="360" w:firstLine="0"/>
        <w:contextualSpacing/>
        <w:jc w:val="center"/>
        <w:rPr>
          <w:rFonts w:hint="default" w:ascii="Arial" w:hAnsi="Arial"/>
          <w:sz w:val="24"/>
          <w:szCs w:val="24"/>
          <w:highlight w:val="none"/>
          <w:lang w:val="pt-BR"/>
        </w:rPr>
      </w:pPr>
      <w:r>
        <w:rPr>
          <w:rFonts w:hint="default" w:ascii="Arial" w:hAnsi="Arial"/>
          <w:sz w:val="24"/>
          <w:szCs w:val="24"/>
          <w:highlight w:val="none"/>
          <w:lang w:val="pt-BR"/>
        </w:rPr>
        <w:t>Juliano Jacobsen</w:t>
      </w:r>
    </w:p>
    <w:p>
      <w:pPr>
        <w:spacing w:before="0" w:after="0" w:line="360" w:lineRule="auto"/>
        <w:jc w:val="center"/>
        <w:rPr>
          <w:rFonts w:hint="default" w:ascii="Arial" w:hAnsi="Arial"/>
          <w:sz w:val="24"/>
          <w:szCs w:val="24"/>
          <w:highlight w:val="none"/>
          <w:lang w:val="pt-BR"/>
        </w:rPr>
      </w:pPr>
      <w:r>
        <w:rPr>
          <w:rFonts w:hint="default" w:ascii="Arial" w:hAnsi="Arial" w:eastAsia="Times New Roman"/>
          <w:b/>
          <w:bCs w:val="0"/>
          <w:color w:val="000000"/>
          <w:sz w:val="24"/>
          <w:szCs w:val="24"/>
          <w:highlight w:val="none"/>
          <w:u w:val="none"/>
          <w:shd w:val="clear" w:fill="auto"/>
          <w:lang w:val="en-US" w:eastAsia="pt-BR"/>
        </w:rPr>
        <w:t>Supervisor Administrativo</w:t>
      </w:r>
    </w:p>
    <w:p>
      <w:pPr>
        <w:pStyle w:val="9"/>
        <w:spacing w:line="360" w:lineRule="auto"/>
        <w:ind w:left="1080"/>
        <w:jc w:val="center"/>
        <w:rPr>
          <w:rStyle w:val="22"/>
          <w:rFonts w:hint="default" w:ascii="Arial" w:hAnsi="Arial" w:cs="Arial"/>
          <w:highlight w:val="yellow"/>
          <w:lang w:val="pt-BR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567" w:footer="90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ource Sans Pro">
    <w:panose1 w:val="020B0503030403020204"/>
    <w:charset w:val="00"/>
    <w:family w:val="auto"/>
    <w:pitch w:val="default"/>
    <w:sig w:usb0="600002F7" w:usb1="02000001" w:usb2="00000000" w:usb3="00000000" w:csb0="2000019F" w:csb1="00000000"/>
  </w:font>
  <w:font w:name="CIDFon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3740256"/>
      <w:docPartObj>
        <w:docPartGallery w:val="autotext"/>
      </w:docPartObj>
    </w:sdtPr>
    <w:sdtEndPr>
      <w:rPr>
        <w:color w:val="7F7F7F" w:themeColor="background1" w:themeShade="80"/>
        <w:spacing w:val="60"/>
      </w:rPr>
    </w:sdtEndPr>
    <w:sdtContent>
      <w:p>
        <w:pPr>
          <w:pStyle w:val="10"/>
          <w:pBdr>
            <w:top w:val="single" w:color="D8D8D8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| </w:t>
        </w:r>
        <w:r>
          <w:rPr>
            <w:color w:val="7F7F7F" w:themeColor="background1" w:themeShade="80"/>
            <w:spacing w:val="60"/>
          </w:rPr>
          <w:t>Página</w:t>
        </w:r>
      </w:p>
    </w:sdtContent>
  </w:sdt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eastAsia="pt-BR"/>
      </w:rPr>
      <w:drawing>
        <wp:inline distT="0" distB="0" distL="0" distR="0">
          <wp:extent cx="5400040" cy="103949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400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C7EDCA"/>
    <w:multiLevelType w:val="singleLevel"/>
    <w:tmpl w:val="EAC7EDCA"/>
    <w:lvl w:ilvl="0" w:tentative="0">
      <w:start w:val="5"/>
      <w:numFmt w:val="upperLetter"/>
      <w:suff w:val="nothing"/>
      <w:lvlText w:val="%1-"/>
      <w:lvlJc w:val="left"/>
      <w:pPr>
        <w:ind w:left="-174"/>
      </w:pPr>
      <w:rPr>
        <w:rFonts w:hint="default"/>
        <w:color w:val="auto"/>
      </w:rPr>
    </w:lvl>
  </w:abstractNum>
  <w:abstractNum w:abstractNumId="1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0"/>
        </w:tabs>
        <w:ind w:left="294" w:hanging="360"/>
      </w:pPr>
      <w:rPr>
        <w:rFonts w:hint="default"/>
      </w:rPr>
    </w:lvl>
    <w:lvl w:ilvl="1" w:tentative="0">
      <w:start w:val="1"/>
      <w:numFmt w:val="decimal"/>
      <w:lvlText w:val="%2.1"/>
      <w:lvlJc w:val="left"/>
      <w:pPr>
        <w:tabs>
          <w:tab w:val="left" w:pos="1080"/>
        </w:tabs>
        <w:ind w:left="1440" w:hanging="360"/>
      </w:pPr>
      <w:rPr>
        <w:rFonts w:hint="default"/>
        <w:b/>
      </w:rPr>
    </w:lvl>
    <w:lvl w:ilvl="2" w:tentative="0">
      <w:start w:val="1"/>
      <w:numFmt w:val="lowerLetter"/>
      <w:lvlText w:val="%3)"/>
      <w:lvlJc w:val="left"/>
      <w:pPr>
        <w:tabs>
          <w:tab w:val="left" w:pos="993"/>
        </w:tabs>
        <w:ind w:left="1353" w:hanging="360"/>
      </w:pPr>
      <w:rPr>
        <w:rFonts w:hint="default"/>
        <w:b/>
      </w:r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2160" w:hanging="360"/>
      </w:pPr>
      <w:rPr>
        <w:rFonts w:hint="default"/>
      </w:r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520" w:hanging="360"/>
      </w:pPr>
      <w:rPr>
        <w:rFonts w:hint="default"/>
      </w:r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880" w:hanging="36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3240" w:hanging="360"/>
      </w:pPr>
      <w:rPr>
        <w:rFonts w:hint="default"/>
      </w:r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600" w:hanging="360"/>
      </w:pPr>
      <w:rPr>
        <w:rFonts w:hint="default"/>
      </w:r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960" w:hanging="360"/>
      </w:pPr>
      <w:rPr>
        <w:rFonts w:hint="default"/>
      </w:rPr>
    </w:lvl>
  </w:abstractNum>
  <w:abstractNum w:abstractNumId="2">
    <w:nsid w:val="3046251A"/>
    <w:multiLevelType w:val="multilevel"/>
    <w:tmpl w:val="3046251A"/>
    <w:lvl w:ilvl="0" w:tentative="0">
      <w:start w:val="4"/>
      <w:numFmt w:val="decimal"/>
      <w:lvlText w:val="%1.1"/>
      <w:lvlJc w:val="left"/>
      <w:pPr>
        <w:ind w:left="58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093" w:hanging="360"/>
      </w:pPr>
    </w:lvl>
    <w:lvl w:ilvl="2" w:tentative="0">
      <w:start w:val="1"/>
      <w:numFmt w:val="lowerRoman"/>
      <w:lvlText w:val="%3."/>
      <w:lvlJc w:val="right"/>
      <w:pPr>
        <w:ind w:left="1813" w:hanging="180"/>
      </w:pPr>
    </w:lvl>
    <w:lvl w:ilvl="3" w:tentative="0">
      <w:start w:val="1"/>
      <w:numFmt w:val="decimal"/>
      <w:lvlText w:val="%4."/>
      <w:lvlJc w:val="left"/>
      <w:pPr>
        <w:ind w:left="2533" w:hanging="360"/>
      </w:pPr>
    </w:lvl>
    <w:lvl w:ilvl="4" w:tentative="0">
      <w:start w:val="1"/>
      <w:numFmt w:val="lowerLetter"/>
      <w:lvlText w:val="%5."/>
      <w:lvlJc w:val="left"/>
      <w:pPr>
        <w:ind w:left="3253" w:hanging="360"/>
      </w:pPr>
    </w:lvl>
    <w:lvl w:ilvl="5" w:tentative="0">
      <w:start w:val="1"/>
      <w:numFmt w:val="lowerRoman"/>
      <w:lvlText w:val="%6."/>
      <w:lvlJc w:val="right"/>
      <w:pPr>
        <w:ind w:left="3973" w:hanging="180"/>
      </w:pPr>
    </w:lvl>
    <w:lvl w:ilvl="6" w:tentative="0">
      <w:start w:val="1"/>
      <w:numFmt w:val="decimal"/>
      <w:lvlText w:val="%7."/>
      <w:lvlJc w:val="left"/>
      <w:pPr>
        <w:ind w:left="4693" w:hanging="360"/>
      </w:pPr>
    </w:lvl>
    <w:lvl w:ilvl="7" w:tentative="0">
      <w:start w:val="1"/>
      <w:numFmt w:val="lowerLetter"/>
      <w:lvlText w:val="%8."/>
      <w:lvlJc w:val="left"/>
      <w:pPr>
        <w:ind w:left="5413" w:hanging="360"/>
      </w:pPr>
    </w:lvl>
    <w:lvl w:ilvl="8" w:tentative="0">
      <w:start w:val="1"/>
      <w:numFmt w:val="lowerRoman"/>
      <w:lvlText w:val="%9."/>
      <w:lvlJc w:val="right"/>
      <w:pPr>
        <w:ind w:left="6133" w:hanging="180"/>
      </w:pPr>
    </w:lvl>
  </w:abstractNum>
  <w:abstractNum w:abstractNumId="3">
    <w:nsid w:val="36842D5E"/>
    <w:multiLevelType w:val="multilevel"/>
    <w:tmpl w:val="36842D5E"/>
    <w:lvl w:ilvl="0" w:tentative="0">
      <w:start w:val="1"/>
      <w:numFmt w:val="lowerLetter"/>
      <w:pStyle w:val="26"/>
      <w:lvlText w:val="%1)"/>
      <w:lvlJc w:val="left"/>
      <w:pPr>
        <w:ind w:left="135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73" w:hanging="360"/>
      </w:pPr>
    </w:lvl>
    <w:lvl w:ilvl="2" w:tentative="0">
      <w:start w:val="1"/>
      <w:numFmt w:val="lowerRoman"/>
      <w:lvlText w:val="%3."/>
      <w:lvlJc w:val="right"/>
      <w:pPr>
        <w:ind w:left="2793" w:hanging="180"/>
      </w:pPr>
    </w:lvl>
    <w:lvl w:ilvl="3" w:tentative="0">
      <w:start w:val="1"/>
      <w:numFmt w:val="decimal"/>
      <w:lvlText w:val="%4."/>
      <w:lvlJc w:val="left"/>
      <w:pPr>
        <w:ind w:left="3513" w:hanging="360"/>
      </w:pPr>
    </w:lvl>
    <w:lvl w:ilvl="4" w:tentative="0">
      <w:start w:val="1"/>
      <w:numFmt w:val="lowerLetter"/>
      <w:lvlText w:val="%5."/>
      <w:lvlJc w:val="left"/>
      <w:pPr>
        <w:ind w:left="4233" w:hanging="360"/>
      </w:pPr>
    </w:lvl>
    <w:lvl w:ilvl="5" w:tentative="0">
      <w:start w:val="1"/>
      <w:numFmt w:val="lowerRoman"/>
      <w:lvlText w:val="%6."/>
      <w:lvlJc w:val="right"/>
      <w:pPr>
        <w:ind w:left="4953" w:hanging="180"/>
      </w:pPr>
    </w:lvl>
    <w:lvl w:ilvl="6" w:tentative="0">
      <w:start w:val="1"/>
      <w:numFmt w:val="decimal"/>
      <w:lvlText w:val="%7."/>
      <w:lvlJc w:val="left"/>
      <w:pPr>
        <w:ind w:left="5673" w:hanging="360"/>
      </w:pPr>
    </w:lvl>
    <w:lvl w:ilvl="7" w:tentative="0">
      <w:start w:val="1"/>
      <w:numFmt w:val="lowerLetter"/>
      <w:lvlText w:val="%8."/>
      <w:lvlJc w:val="left"/>
      <w:pPr>
        <w:ind w:left="6393" w:hanging="360"/>
      </w:pPr>
    </w:lvl>
    <w:lvl w:ilvl="8" w:tentative="0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4569D338"/>
    <w:multiLevelType w:val="singleLevel"/>
    <w:tmpl w:val="4569D338"/>
    <w:lvl w:ilvl="0" w:tentative="0">
      <w:start w:val="1"/>
      <w:numFmt w:val="lowerLetter"/>
      <w:suff w:val="space"/>
      <w:lvlText w:val="%1)"/>
      <w:lvlJc w:val="left"/>
      <w:pPr>
        <w:ind w:left="660"/>
      </w:pPr>
      <w:rPr>
        <w:rFonts w:hint="default"/>
        <w:b/>
        <w:bCs/>
        <w:sz w:val="22"/>
        <w:szCs w:val="22"/>
      </w:rPr>
    </w:lvl>
  </w:abstractNum>
  <w:abstractNum w:abstractNumId="5">
    <w:nsid w:val="61DD361E"/>
    <w:multiLevelType w:val="multilevel"/>
    <w:tmpl w:val="61DD361E"/>
    <w:lvl w:ilvl="0" w:tentative="0">
      <w:start w:val="1"/>
      <w:numFmt w:val="decimal"/>
      <w:pStyle w:val="28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entative="0">
      <w:start w:val="1"/>
      <w:numFmt w:val="decimal"/>
      <w:suff w:val="space"/>
      <w:lvlText w:val="%1.%2."/>
      <w:lvlJc w:val="left"/>
      <w:pPr>
        <w:ind w:left="4679" w:firstLine="0"/>
      </w:pPr>
      <w:rPr>
        <w:rFonts w:hint="default"/>
        <w:b w:val="0"/>
        <w:i w:val="0"/>
        <w:color w:val="000000" w:themeColor="text1"/>
        <w14:textFill>
          <w14:solidFill>
            <w14:schemeClr w14:val="tx1"/>
          </w14:solidFill>
        </w14:textFill>
      </w:rPr>
    </w:lvl>
    <w:lvl w:ilvl="2" w:tentative="0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</w:rPr>
    </w:lvl>
    <w:lvl w:ilvl="3" w:tentative="0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 w:tentative="0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 w:tentative="0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  <w:rPr>
        <w:rFonts w:hint="default"/>
      </w:rPr>
    </w:lvl>
  </w:abstractNum>
  <w:abstractNum w:abstractNumId="6">
    <w:nsid w:val="6262148F"/>
    <w:multiLevelType w:val="multilevel"/>
    <w:tmpl w:val="6262148F"/>
    <w:lvl w:ilvl="0" w:tentative="0">
      <w:start w:val="6"/>
      <w:numFmt w:val="decimal"/>
      <w:lvlText w:val="%1."/>
      <w:lvlJc w:val="left"/>
      <w:pPr>
        <w:tabs>
          <w:tab w:val="left" w:pos="0"/>
        </w:tabs>
        <w:ind w:left="58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1134"/>
        </w:tabs>
        <w:ind w:left="1445" w:hanging="360"/>
      </w:pPr>
      <w:rPr>
        <w:rFonts w:hint="default"/>
        <w:b/>
      </w:rPr>
    </w:lvl>
    <w:lvl w:ilvl="2" w:tentative="0">
      <w:start w:val="1"/>
      <w:numFmt w:val="lowerLetter"/>
      <w:lvlText w:val="%3)"/>
      <w:lvlJc w:val="left"/>
      <w:pPr>
        <w:tabs>
          <w:tab w:val="left" w:pos="993"/>
        </w:tabs>
        <w:ind w:left="1133" w:hanging="360"/>
      </w:pPr>
      <w:rPr>
        <w:rFonts w:hint="default"/>
        <w:b/>
      </w:r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940" w:hanging="360"/>
      </w:pPr>
      <w:rPr>
        <w:rFonts w:hint="default"/>
      </w:r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300" w:hanging="360"/>
      </w:pPr>
      <w:rPr>
        <w:rFonts w:hint="default"/>
      </w:r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660" w:hanging="36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3020" w:hanging="360"/>
      </w:pPr>
      <w:rPr>
        <w:rFonts w:hint="default"/>
      </w:r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380" w:hanging="360"/>
      </w:pPr>
      <w:rPr>
        <w:rFonts w:hint="default"/>
      </w:r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740" w:hanging="360"/>
      </w:pPr>
      <w:rPr>
        <w:rFonts w:hint="default"/>
      </w:rPr>
    </w:lvl>
  </w:abstractNum>
  <w:abstractNum w:abstractNumId="7">
    <w:nsid w:val="7D4BD62D"/>
    <w:multiLevelType w:val="singleLevel"/>
    <w:tmpl w:val="7D4BD62D"/>
    <w:lvl w:ilvl="0" w:tentative="0">
      <w:start w:val="1"/>
      <w:numFmt w:val="lowerLetter"/>
      <w:suff w:val="space"/>
      <w:lvlText w:val="%1)"/>
      <w:lvlJc w:val="left"/>
      <w:pPr>
        <w:ind w:left="660"/>
      </w:pPr>
      <w:rPr>
        <w:rFonts w:hint="default"/>
        <w:b/>
        <w:bCs/>
        <w:sz w:val="22"/>
        <w:szCs w:val="22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FB5"/>
    <w:rsid w:val="000214AE"/>
    <w:rsid w:val="0002542C"/>
    <w:rsid w:val="00031D47"/>
    <w:rsid w:val="00033795"/>
    <w:rsid w:val="00056800"/>
    <w:rsid w:val="00057010"/>
    <w:rsid w:val="00060923"/>
    <w:rsid w:val="00073A10"/>
    <w:rsid w:val="0007511B"/>
    <w:rsid w:val="00083B7C"/>
    <w:rsid w:val="00096DC0"/>
    <w:rsid w:val="000A5FB0"/>
    <w:rsid w:val="000A7FF8"/>
    <w:rsid w:val="000D3DAB"/>
    <w:rsid w:val="000E6C8F"/>
    <w:rsid w:val="000F4CBC"/>
    <w:rsid w:val="00110CE1"/>
    <w:rsid w:val="00117A09"/>
    <w:rsid w:val="001414E8"/>
    <w:rsid w:val="00146B58"/>
    <w:rsid w:val="0017232E"/>
    <w:rsid w:val="001A6F06"/>
    <w:rsid w:val="001E7C0F"/>
    <w:rsid w:val="002025B9"/>
    <w:rsid w:val="00265E21"/>
    <w:rsid w:val="00280AA1"/>
    <w:rsid w:val="00296A14"/>
    <w:rsid w:val="002A01B6"/>
    <w:rsid w:val="002A76CE"/>
    <w:rsid w:val="002A7701"/>
    <w:rsid w:val="002B7E46"/>
    <w:rsid w:val="002D3839"/>
    <w:rsid w:val="002D7D67"/>
    <w:rsid w:val="002E0DCE"/>
    <w:rsid w:val="002E7900"/>
    <w:rsid w:val="003017F6"/>
    <w:rsid w:val="00311FCE"/>
    <w:rsid w:val="0031322D"/>
    <w:rsid w:val="00345E3A"/>
    <w:rsid w:val="00350697"/>
    <w:rsid w:val="00351B39"/>
    <w:rsid w:val="003620E0"/>
    <w:rsid w:val="00366EDB"/>
    <w:rsid w:val="003972B7"/>
    <w:rsid w:val="003A09EE"/>
    <w:rsid w:val="003A48D9"/>
    <w:rsid w:val="003B6B26"/>
    <w:rsid w:val="003C1A24"/>
    <w:rsid w:val="003E6F90"/>
    <w:rsid w:val="003E730C"/>
    <w:rsid w:val="003F6A65"/>
    <w:rsid w:val="00401B50"/>
    <w:rsid w:val="00430869"/>
    <w:rsid w:val="00451720"/>
    <w:rsid w:val="00452107"/>
    <w:rsid w:val="004604B3"/>
    <w:rsid w:val="004657BE"/>
    <w:rsid w:val="00467BCA"/>
    <w:rsid w:val="00470D34"/>
    <w:rsid w:val="004718CE"/>
    <w:rsid w:val="00471D32"/>
    <w:rsid w:val="00472A0B"/>
    <w:rsid w:val="00491EF5"/>
    <w:rsid w:val="00494E9B"/>
    <w:rsid w:val="004A7F01"/>
    <w:rsid w:val="004B4F68"/>
    <w:rsid w:val="004B5761"/>
    <w:rsid w:val="004D0B40"/>
    <w:rsid w:val="004D2401"/>
    <w:rsid w:val="004F293B"/>
    <w:rsid w:val="004F5387"/>
    <w:rsid w:val="00510DF7"/>
    <w:rsid w:val="005152F2"/>
    <w:rsid w:val="0052739B"/>
    <w:rsid w:val="005924B7"/>
    <w:rsid w:val="00593716"/>
    <w:rsid w:val="005B3E68"/>
    <w:rsid w:val="005D0879"/>
    <w:rsid w:val="005D5FE9"/>
    <w:rsid w:val="005D7034"/>
    <w:rsid w:val="00600344"/>
    <w:rsid w:val="006036AA"/>
    <w:rsid w:val="006209A9"/>
    <w:rsid w:val="00652784"/>
    <w:rsid w:val="0065307A"/>
    <w:rsid w:val="00667089"/>
    <w:rsid w:val="00682B04"/>
    <w:rsid w:val="006848D1"/>
    <w:rsid w:val="006960D5"/>
    <w:rsid w:val="006B74C2"/>
    <w:rsid w:val="006D1C10"/>
    <w:rsid w:val="00726889"/>
    <w:rsid w:val="00726FF0"/>
    <w:rsid w:val="007350D5"/>
    <w:rsid w:val="00742C01"/>
    <w:rsid w:val="00763C25"/>
    <w:rsid w:val="00780800"/>
    <w:rsid w:val="007869AC"/>
    <w:rsid w:val="007C699B"/>
    <w:rsid w:val="007E2713"/>
    <w:rsid w:val="007F36B3"/>
    <w:rsid w:val="00800D01"/>
    <w:rsid w:val="008020AC"/>
    <w:rsid w:val="0081143D"/>
    <w:rsid w:val="00852EED"/>
    <w:rsid w:val="00864FF8"/>
    <w:rsid w:val="008721CB"/>
    <w:rsid w:val="00873FD8"/>
    <w:rsid w:val="00880292"/>
    <w:rsid w:val="008960F7"/>
    <w:rsid w:val="00896F2C"/>
    <w:rsid w:val="008D602A"/>
    <w:rsid w:val="008F6CDD"/>
    <w:rsid w:val="009219DB"/>
    <w:rsid w:val="00930754"/>
    <w:rsid w:val="009307CC"/>
    <w:rsid w:val="00931C5E"/>
    <w:rsid w:val="009421E3"/>
    <w:rsid w:val="00950C5B"/>
    <w:rsid w:val="009542F1"/>
    <w:rsid w:val="00960AFF"/>
    <w:rsid w:val="00972445"/>
    <w:rsid w:val="00984769"/>
    <w:rsid w:val="00997E2A"/>
    <w:rsid w:val="009F0458"/>
    <w:rsid w:val="009F41B5"/>
    <w:rsid w:val="009F53C8"/>
    <w:rsid w:val="00A13CAD"/>
    <w:rsid w:val="00A14ED4"/>
    <w:rsid w:val="00A21503"/>
    <w:rsid w:val="00A225AB"/>
    <w:rsid w:val="00A376F7"/>
    <w:rsid w:val="00A42A62"/>
    <w:rsid w:val="00A46C92"/>
    <w:rsid w:val="00A871D8"/>
    <w:rsid w:val="00AC448E"/>
    <w:rsid w:val="00AC7142"/>
    <w:rsid w:val="00AD4457"/>
    <w:rsid w:val="00AF48AA"/>
    <w:rsid w:val="00B106DA"/>
    <w:rsid w:val="00B13031"/>
    <w:rsid w:val="00B413EE"/>
    <w:rsid w:val="00B61536"/>
    <w:rsid w:val="00B66EC0"/>
    <w:rsid w:val="00B77FD6"/>
    <w:rsid w:val="00BA061D"/>
    <w:rsid w:val="00BA3685"/>
    <w:rsid w:val="00BB0C28"/>
    <w:rsid w:val="00BB5710"/>
    <w:rsid w:val="00BC7CBC"/>
    <w:rsid w:val="00BD2E66"/>
    <w:rsid w:val="00BE5557"/>
    <w:rsid w:val="00BE7342"/>
    <w:rsid w:val="00BF0B76"/>
    <w:rsid w:val="00C01B1B"/>
    <w:rsid w:val="00C024D3"/>
    <w:rsid w:val="00C07748"/>
    <w:rsid w:val="00C13E4F"/>
    <w:rsid w:val="00C34FB5"/>
    <w:rsid w:val="00C52A67"/>
    <w:rsid w:val="00C66D20"/>
    <w:rsid w:val="00C66F75"/>
    <w:rsid w:val="00C7247C"/>
    <w:rsid w:val="00C772AD"/>
    <w:rsid w:val="00C860EE"/>
    <w:rsid w:val="00C904C6"/>
    <w:rsid w:val="00CA47A6"/>
    <w:rsid w:val="00CB46B7"/>
    <w:rsid w:val="00CB5199"/>
    <w:rsid w:val="00CC6324"/>
    <w:rsid w:val="00CD0C35"/>
    <w:rsid w:val="00CD1DE1"/>
    <w:rsid w:val="00CD6B86"/>
    <w:rsid w:val="00CE67D6"/>
    <w:rsid w:val="00CF201B"/>
    <w:rsid w:val="00CF36CE"/>
    <w:rsid w:val="00CF38EB"/>
    <w:rsid w:val="00D12B26"/>
    <w:rsid w:val="00D27DDB"/>
    <w:rsid w:val="00D328A8"/>
    <w:rsid w:val="00D34722"/>
    <w:rsid w:val="00D43FCA"/>
    <w:rsid w:val="00D4779F"/>
    <w:rsid w:val="00D52D9B"/>
    <w:rsid w:val="00D6590B"/>
    <w:rsid w:val="00D67957"/>
    <w:rsid w:val="00D821BF"/>
    <w:rsid w:val="00DD68D7"/>
    <w:rsid w:val="00DE5457"/>
    <w:rsid w:val="00DE570F"/>
    <w:rsid w:val="00E00766"/>
    <w:rsid w:val="00E20E3F"/>
    <w:rsid w:val="00E4347A"/>
    <w:rsid w:val="00E46C11"/>
    <w:rsid w:val="00E51F74"/>
    <w:rsid w:val="00E56069"/>
    <w:rsid w:val="00E806DE"/>
    <w:rsid w:val="00E905C1"/>
    <w:rsid w:val="00EA1140"/>
    <w:rsid w:val="00EA1B32"/>
    <w:rsid w:val="00EB2A2F"/>
    <w:rsid w:val="00EB7DE7"/>
    <w:rsid w:val="00EE577D"/>
    <w:rsid w:val="00F07DA0"/>
    <w:rsid w:val="00F116B1"/>
    <w:rsid w:val="00F1542C"/>
    <w:rsid w:val="00F35562"/>
    <w:rsid w:val="00F469AB"/>
    <w:rsid w:val="00F53001"/>
    <w:rsid w:val="00F579D6"/>
    <w:rsid w:val="00F74B49"/>
    <w:rsid w:val="00FA43F3"/>
    <w:rsid w:val="00FA728F"/>
    <w:rsid w:val="00FC4FB5"/>
    <w:rsid w:val="00FF3B9F"/>
    <w:rsid w:val="00FF40ED"/>
    <w:rsid w:val="0A9F05A8"/>
    <w:rsid w:val="0BCD7A5B"/>
    <w:rsid w:val="0F4C3EDB"/>
    <w:rsid w:val="1A6E2794"/>
    <w:rsid w:val="227F554E"/>
    <w:rsid w:val="2C21277F"/>
    <w:rsid w:val="2FC00E0B"/>
    <w:rsid w:val="363A4CF1"/>
    <w:rsid w:val="3792237E"/>
    <w:rsid w:val="3D5E7CCE"/>
    <w:rsid w:val="3DE800E0"/>
    <w:rsid w:val="3F920AB5"/>
    <w:rsid w:val="407C6471"/>
    <w:rsid w:val="4A3473CF"/>
    <w:rsid w:val="4D324A48"/>
    <w:rsid w:val="4DC30A6A"/>
    <w:rsid w:val="5211452B"/>
    <w:rsid w:val="54093824"/>
    <w:rsid w:val="57364ABD"/>
    <w:rsid w:val="579E15E0"/>
    <w:rsid w:val="58A546F5"/>
    <w:rsid w:val="58DE0080"/>
    <w:rsid w:val="5E593923"/>
    <w:rsid w:val="5FB77E64"/>
    <w:rsid w:val="61475009"/>
    <w:rsid w:val="659A0000"/>
    <w:rsid w:val="6723420D"/>
    <w:rsid w:val="68FF71A3"/>
    <w:rsid w:val="6E5A23C2"/>
    <w:rsid w:val="71850EAF"/>
    <w:rsid w:val="76E0021A"/>
    <w:rsid w:val="794B1B31"/>
    <w:rsid w:val="7EB5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spacing w:before="360" w:after="240" w:line="240" w:lineRule="auto"/>
      <w:ind w:left="1134"/>
      <w:outlineLvl w:val="0"/>
    </w:pPr>
    <w:rPr>
      <w:rFonts w:ascii="Arial" w:hAnsi="Arial" w:eastAsia="Times New Roman" w:cs="Times New Roman"/>
      <w:b/>
      <w:snapToGrid w:val="0"/>
      <w:kern w:val="28"/>
      <w:sz w:val="20"/>
      <w:szCs w:val="20"/>
      <w:lang w:eastAsia="pt-BR"/>
    </w:rPr>
  </w:style>
  <w:style w:type="paragraph" w:styleId="3">
    <w:name w:val="heading 4"/>
    <w:basedOn w:val="1"/>
    <w:next w:val="1"/>
    <w:link w:val="19"/>
    <w:qFormat/>
    <w:uiPriority w:val="9"/>
    <w:pPr>
      <w:keepNext/>
      <w:spacing w:before="240" w:after="60" w:line="276" w:lineRule="auto"/>
      <w:outlineLvl w:val="3"/>
    </w:pPr>
    <w:rPr>
      <w:rFonts w:ascii="Calibri" w:hAnsi="Calibri" w:eastAsia="Times New Roman" w:cs="Times New Roman"/>
      <w:b/>
      <w:bCs/>
      <w:sz w:val="28"/>
      <w:szCs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22"/>
    <w:rPr>
      <w:b/>
      <w:bCs/>
    </w:rPr>
  </w:style>
  <w:style w:type="character" w:styleId="7">
    <w:name w:val="Hyperlink"/>
    <w:qFormat/>
    <w:uiPriority w:val="99"/>
    <w:rPr>
      <w:color w:val="0000FF"/>
      <w:u w:val="single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">
    <w:name w:val="header"/>
    <w:basedOn w:val="1"/>
    <w:link w:val="16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footer"/>
    <w:basedOn w:val="1"/>
    <w:link w:val="1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Body Text Indent 3"/>
    <w:basedOn w:val="1"/>
    <w:link w:val="23"/>
    <w:qFormat/>
    <w:uiPriority w:val="0"/>
    <w:pPr>
      <w:spacing w:after="120" w:line="240" w:lineRule="auto"/>
      <w:ind w:left="283"/>
    </w:pPr>
    <w:rPr>
      <w:rFonts w:ascii="Times New Roman" w:hAnsi="Times New Roman" w:eastAsia="Times New Roman"/>
      <w:sz w:val="16"/>
      <w:szCs w:val="16"/>
    </w:rPr>
  </w:style>
  <w:style w:type="paragraph" w:styleId="12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13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4">
    <w:name w:val="List Paragraph"/>
    <w:basedOn w:val="1"/>
    <w:qFormat/>
    <w:uiPriority w:val="0"/>
    <w:pPr>
      <w:ind w:left="720"/>
      <w:contextualSpacing/>
    </w:pPr>
  </w:style>
  <w:style w:type="character" w:customStyle="1" w:styleId="15">
    <w:name w:val="Texto de balão Char"/>
    <w:basedOn w:val="4"/>
    <w:link w:val="12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6">
    <w:name w:val="Cabeçalho Char"/>
    <w:basedOn w:val="4"/>
    <w:link w:val="9"/>
    <w:qFormat/>
    <w:uiPriority w:val="0"/>
  </w:style>
  <w:style w:type="character" w:customStyle="1" w:styleId="17">
    <w:name w:val="Rodapé Char"/>
    <w:basedOn w:val="4"/>
    <w:link w:val="10"/>
    <w:qFormat/>
    <w:uiPriority w:val="99"/>
  </w:style>
  <w:style w:type="character" w:customStyle="1" w:styleId="18">
    <w:name w:val="Título 1 Char"/>
    <w:basedOn w:val="4"/>
    <w:link w:val="2"/>
    <w:qFormat/>
    <w:uiPriority w:val="0"/>
    <w:rPr>
      <w:rFonts w:ascii="Arial" w:hAnsi="Arial" w:eastAsia="Times New Roman" w:cs="Times New Roman"/>
      <w:b/>
      <w:snapToGrid w:val="0"/>
      <w:kern w:val="28"/>
      <w:sz w:val="20"/>
      <w:szCs w:val="20"/>
      <w:lang w:eastAsia="pt-BR"/>
    </w:rPr>
  </w:style>
  <w:style w:type="character" w:customStyle="1" w:styleId="19">
    <w:name w:val="Título 4 Char"/>
    <w:basedOn w:val="4"/>
    <w:link w:val="3"/>
    <w:qFormat/>
    <w:uiPriority w:val="9"/>
    <w:rPr>
      <w:rFonts w:ascii="Calibri" w:hAnsi="Calibri" w:eastAsia="Times New Roman" w:cs="Times New Roman"/>
      <w:b/>
      <w:bCs/>
      <w:sz w:val="28"/>
      <w:szCs w:val="28"/>
    </w:rPr>
  </w:style>
  <w:style w:type="character" w:customStyle="1" w:styleId="20">
    <w:name w:val="Recuo de corpo de texto 3 Char"/>
    <w:basedOn w:val="4"/>
    <w:link w:val="11"/>
    <w:qFormat/>
    <w:uiPriority w:val="0"/>
    <w:rPr>
      <w:rFonts w:ascii="Times New Roman" w:hAnsi="Times New Roman" w:eastAsia="Times New Roman"/>
      <w:sz w:val="16"/>
      <w:szCs w:val="16"/>
    </w:rPr>
  </w:style>
  <w:style w:type="character" w:customStyle="1" w:styleId="21">
    <w:name w:val="object"/>
    <w:basedOn w:val="4"/>
    <w:qFormat/>
    <w:uiPriority w:val="0"/>
  </w:style>
  <w:style w:type="character" w:customStyle="1" w:styleId="22">
    <w:name w:val="apple-converted-space"/>
    <w:basedOn w:val="4"/>
    <w:qFormat/>
    <w:uiPriority w:val="0"/>
  </w:style>
  <w:style w:type="character" w:customStyle="1" w:styleId="23">
    <w:name w:val="Recuo de corpo de texto 3 Char1"/>
    <w:basedOn w:val="4"/>
    <w:link w:val="11"/>
    <w:semiHidden/>
    <w:qFormat/>
    <w:uiPriority w:val="99"/>
    <w:rPr>
      <w:sz w:val="16"/>
      <w:szCs w:val="16"/>
    </w:rPr>
  </w:style>
  <w:style w:type="paragraph" w:customStyle="1" w:styleId="24">
    <w:name w:val="Default"/>
    <w:basedOn w:val="1"/>
    <w:qFormat/>
    <w:uiPriority w:val="0"/>
    <w:pPr>
      <w:autoSpaceDE w:val="0"/>
      <w:autoSpaceDN w:val="0"/>
      <w:spacing w:after="0" w:line="240" w:lineRule="auto"/>
    </w:pPr>
    <w:rPr>
      <w:rFonts w:ascii="Times New Roman" w:hAnsi="Times New Roman" w:eastAsia="SimSun" w:cs="Times New Roman"/>
      <w:color w:val="000000"/>
      <w:sz w:val="24"/>
      <w:szCs w:val="24"/>
      <w:lang w:eastAsia="pt-BR"/>
    </w:rPr>
  </w:style>
  <w:style w:type="paragraph" w:customStyle="1" w:styleId="25">
    <w:name w:val="Conteúdo da tabela"/>
    <w:basedOn w:val="1"/>
    <w:qFormat/>
    <w:uiPriority w:val="0"/>
    <w:pPr>
      <w:widowControl w:val="0"/>
      <w:suppressLineNumbers/>
      <w:suppressAutoHyphens/>
      <w:spacing w:after="0" w:line="240" w:lineRule="auto"/>
    </w:pPr>
    <w:rPr>
      <w:rFonts w:ascii="Times New Roman" w:hAnsi="Times New Roman" w:eastAsia="Lucida Sans Unicode" w:cs="Tahoma"/>
      <w:color w:val="000000"/>
      <w:sz w:val="24"/>
      <w:szCs w:val="24"/>
      <w:lang w:val="en-US" w:bidi="en-US"/>
    </w:rPr>
  </w:style>
  <w:style w:type="paragraph" w:customStyle="1" w:styleId="26">
    <w:name w:val="LIC-numerada-subnível"/>
    <w:basedOn w:val="1"/>
    <w:qFormat/>
    <w:uiPriority w:val="0"/>
    <w:pPr>
      <w:keepLines/>
      <w:numPr>
        <w:ilvl w:val="0"/>
        <w:numId w:val="1"/>
      </w:numPr>
      <w:spacing w:after="240" w:line="240" w:lineRule="auto"/>
      <w:jc w:val="both"/>
    </w:pPr>
    <w:rPr>
      <w:rFonts w:ascii="Arial" w:hAnsi="Arial" w:eastAsia="Times New Roman" w:cs="Times New Roman"/>
      <w:kern w:val="1"/>
      <w:sz w:val="24"/>
      <w:szCs w:val="20"/>
    </w:rPr>
  </w:style>
  <w:style w:type="paragraph" w:customStyle="1" w:styleId="27">
    <w:name w:val="Nome"/>
    <w:basedOn w:val="1"/>
    <w:qFormat/>
    <w:uiPriority w:val="0"/>
    <w:pPr>
      <w:tabs>
        <w:tab w:val="center" w:pos="6096"/>
      </w:tabs>
      <w:spacing w:after="0" w:line="240" w:lineRule="auto"/>
      <w:jc w:val="both"/>
    </w:pPr>
    <w:rPr>
      <w:rFonts w:ascii="Arial" w:hAnsi="Arial" w:eastAsia="Times New Roman" w:cs="Times New Roman"/>
      <w:sz w:val="24"/>
      <w:szCs w:val="20"/>
      <w:lang w:eastAsia="pt-BR"/>
    </w:rPr>
  </w:style>
  <w:style w:type="paragraph" w:customStyle="1" w:styleId="28">
    <w:name w:val="Nivel_01_Titulo"/>
    <w:basedOn w:val="2"/>
    <w:next w:val="1"/>
    <w:qFormat/>
    <w:uiPriority w:val="0"/>
    <w:pPr>
      <w:keepLines/>
      <w:numPr>
        <w:ilvl w:val="0"/>
        <w:numId w:val="2"/>
      </w:numPr>
      <w:tabs>
        <w:tab w:val="left" w:pos="567"/>
      </w:tabs>
      <w:spacing w:before="240" w:after="0"/>
      <w:jc w:val="both"/>
    </w:pPr>
    <w:rPr>
      <w:rFonts w:eastAsiaTheme="majorEastAsia"/>
      <w:bCs/>
      <w:snapToGrid/>
      <w:kern w:val="0"/>
    </w:rPr>
  </w:style>
  <w:style w:type="paragraph" w:customStyle="1" w:styleId="29">
    <w:name w:val="Recuo de corpo de texto 21"/>
    <w:basedOn w:val="1"/>
    <w:qFormat/>
    <w:uiPriority w:val="0"/>
    <w:pPr>
      <w:suppressAutoHyphens/>
      <w:spacing w:after="0" w:line="100" w:lineRule="atLeast"/>
    </w:pPr>
    <w:rPr>
      <w:rFonts w:ascii="Times New Roman" w:hAnsi="Times New Roman" w:eastAsia="Times New Roman" w:cs="Times New Roman"/>
      <w:kern w:val="1"/>
      <w:sz w:val="20"/>
      <w:szCs w:val="20"/>
      <w:lang w:eastAsia="zh-CN"/>
    </w:rPr>
  </w:style>
  <w:style w:type="paragraph" w:customStyle="1" w:styleId="30">
    <w:name w:val="Parágrafo da Lista1"/>
    <w:basedOn w:val="1"/>
    <w:qFormat/>
    <w:uiPriority w:val="0"/>
    <w:pPr>
      <w:suppressAutoHyphens/>
      <w:spacing w:after="0" w:line="100" w:lineRule="atLeast"/>
      <w:ind w:left="720"/>
    </w:pPr>
    <w:rPr>
      <w:rFonts w:ascii="Times New Roman" w:hAnsi="Times New Roman" w:eastAsia="Times New Roman" w:cs="Times New Roman"/>
      <w:kern w:val="1"/>
      <w:sz w:val="20"/>
      <w:szCs w:val="20"/>
      <w:lang w:eastAsia="zh-CN"/>
    </w:rPr>
  </w:style>
  <w:style w:type="paragraph" w:customStyle="1" w:styleId="31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before="0" w:after="0" w:line="240" w:lineRule="auto"/>
    </w:pPr>
  </w:style>
  <w:style w:type="paragraph" w:customStyle="1" w:styleId="32">
    <w:name w:val="Footer"/>
    <w:basedOn w:val="1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33">
    <w:name w:val="Link da Internet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25C59D-80A1-42CC-92DE-9513EE6D2C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Conselho Regional de Corretores de Imóveis 3ª Região| Rua Guilherme Alves|n  1.010|Bairro Partenon| Porto Alegre-RS| CEP 90680-000| Departamento de Compras e Licitações| deptocompras@creci-rs.gov.br| Fone 55 51 3315 3055 | www.creci-rs.gov.br</Company>
  <Pages>4</Pages>
  <Words>787</Words>
  <Characters>4253</Characters>
  <Lines>35</Lines>
  <Paragraphs>10</Paragraphs>
  <TotalTime>1</TotalTime>
  <ScaleCrop>false</ScaleCrop>
  <LinksUpToDate>false</LinksUpToDate>
  <CharactersWithSpaces>5030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2018-02-21T18:47:00Z</dcterms:created>
  <dc:creator>Agnese Giuseppina Schifino</dc:creator>
  <cp:lastModifiedBy>CRECI-RS</cp:lastModifiedBy>
  <cp:lastPrinted>2022-03-03T14:20:15Z</cp:lastPrinted>
  <dcterms:modified xsi:type="dcterms:W3CDTF">2022-03-03T14:20:48Z</dcterms:modified>
  <cp:revision>106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7C537942027D42BE975FF2331A5B0C4C</vt:lpwstr>
  </property>
</Properties>
</file>