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Arial" w:asciiTheme="minorHAnsi" w:cstheme="minorBidi" w:hAnsiTheme="minorHAnsi"/>
          <w:b/>
          <w:bCs/>
          <w:sz w:val="24"/>
          <w:szCs w:val="24"/>
        </w:rPr>
      </w:pPr>
      <w:r>
        <w:rPr>
          <w:rFonts w:cs="Arial" w:cstheme="minorBidi" w:ascii="Calibri" w:hAnsi="Calibri"/>
          <w:b/>
          <w:bCs/>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drawing>
          <wp:anchor behindDoc="0" distT="0" distB="0" distL="114300" distR="114300" simplePos="0" locked="0" layoutInCell="0" allowOverlap="1" relativeHeight="44">
            <wp:simplePos x="0" y="0"/>
            <wp:positionH relativeFrom="page">
              <wp:posOffset>5405120</wp:posOffset>
            </wp:positionH>
            <wp:positionV relativeFrom="paragraph">
              <wp:posOffset>229235</wp:posOffset>
            </wp:positionV>
            <wp:extent cx="2054225" cy="510540"/>
            <wp:effectExtent l="0" t="0" r="0" b="0"/>
            <wp:wrapTight wrapText="bothSides">
              <wp:wrapPolygon edited="0">
                <wp:start x="1999" y="0"/>
                <wp:lineTo x="1799" y="3212"/>
                <wp:lineTo x="1599" y="19336"/>
                <wp:lineTo x="2199" y="20949"/>
                <wp:lineTo x="5003" y="20949"/>
                <wp:lineTo x="6007" y="20949"/>
                <wp:lineTo x="19427" y="20949"/>
                <wp:lineTo x="19826" y="14499"/>
                <wp:lineTo x="14018" y="12887"/>
                <wp:lineTo x="14018" y="0"/>
                <wp:lineTo x="1999" y="0"/>
              </wp:wrapPolygon>
            </wp:wrapTight>
            <wp:docPr id="1"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noChangeArrowheads="1"/>
                    </pic:cNvPicPr>
                  </pic:nvPicPr>
                  <pic:blipFill>
                    <a:blip r:embed="rId2"/>
                    <a:stretch>
                      <a:fillRect/>
                    </a:stretch>
                  </pic:blipFill>
                  <pic:spPr bwMode="auto">
                    <a:xfrm>
                      <a:off x="0" y="0"/>
                      <a:ext cx="2054225" cy="510540"/>
                    </a:xfrm>
                    <a:prstGeom prst="rect">
                      <a:avLst/>
                    </a:prstGeom>
                  </pic:spPr>
                </pic:pic>
              </a:graphicData>
            </a:graphic>
          </wp:anchor>
        </w:drawing>
      </w:r>
      <w:bookmarkStart w:id="0" w:name="bookmark=id.4d34og8"/>
      <w:bookmarkStart w:id="1" w:name="bookmark=id.1t3h5sf"/>
      <w:bookmarkStart w:id="2" w:name="art165§5"/>
      <w:bookmarkStart w:id="3" w:name="art165§4"/>
      <w:bookmarkStart w:id="4" w:name="art165§3"/>
      <w:bookmarkStart w:id="5" w:name="art165§2"/>
      <w:bookmarkStart w:id="6" w:name="art165§1ii"/>
      <w:bookmarkStart w:id="7" w:name="art165§1i"/>
      <w:bookmarkStart w:id="8" w:name="art165§1"/>
      <w:bookmarkStart w:id="9" w:name="art165ii"/>
      <w:bookmarkStart w:id="10" w:name="art165ie"/>
      <w:bookmarkStart w:id="11" w:name="art165id"/>
      <w:bookmarkStart w:id="12" w:name="art165ic"/>
      <w:bookmarkStart w:id="13" w:name="art165ib"/>
      <w:bookmarkStart w:id="14" w:name="art165ia"/>
      <w:bookmarkStart w:id="15" w:name="art165i"/>
      <w:bookmarkStart w:id="16" w:name="_heading=h.2et92p0"/>
      <w:bookmarkStart w:id="17" w:name="_Hlk5203772621"/>
      <w:bookmarkStart w:id="18" w:name="_Hlk520377262"/>
      <w:bookmarkStart w:id="19" w:name="bookmark=id.4d34og8"/>
      <w:bookmarkStart w:id="20" w:name="bookmark=id.1t3h5sf"/>
      <w:bookmarkStart w:id="21" w:name="art165§5"/>
      <w:bookmarkStart w:id="22" w:name="art165§4"/>
      <w:bookmarkStart w:id="23" w:name="art165§3"/>
      <w:bookmarkStart w:id="24" w:name="art165§2"/>
      <w:bookmarkStart w:id="25" w:name="art165§1ii"/>
      <w:bookmarkStart w:id="26" w:name="art165§1i"/>
      <w:bookmarkStart w:id="27" w:name="art165§1"/>
      <w:bookmarkStart w:id="28" w:name="art165ii"/>
      <w:bookmarkStart w:id="29" w:name="art165ie"/>
      <w:bookmarkStart w:id="30" w:name="art165id"/>
      <w:bookmarkStart w:id="31" w:name="art165ic"/>
      <w:bookmarkStart w:id="32" w:name="art165ib"/>
      <w:bookmarkStart w:id="33" w:name="art165ia"/>
      <w:bookmarkStart w:id="34" w:name="art165i"/>
      <w:bookmarkStart w:id="35" w:name="_heading=h.2et92p0"/>
      <w:bookmarkStart w:id="36" w:name="_Hlk5203772621"/>
      <w:bookmarkStart w:id="37" w:name="_Hlk520377262"/>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pPr>
        <w:pStyle w:val="Normal"/>
        <w:jc w:val="left"/>
        <w:rPr>
          <w:rFonts w:ascii="Arial Nova" w:hAnsi="Arial Nova" w:eastAsia="Calibri" w:cs="Calibri" w:cstheme="minorHAnsi"/>
          <w:b/>
          <w:color w:val="066301"/>
          <w:sz w:val="52"/>
          <w:szCs w:val="52"/>
        </w:rPr>
      </w:pPr>
      <w:r>
        <w:rPr>
          <w:rFonts w:eastAsia="Calibri" w:cs="Calibri" w:ascii="Arial Nova" w:hAnsi="Arial Nova" w:cstheme="minorHAnsi"/>
          <w:b/>
          <w:color w:val="066301"/>
          <w:sz w:val="52"/>
          <w:szCs w:val="52"/>
        </w:rPr>
        <w:t>DISPENSA DE LICITAÇÃO</w:t>
      </w:r>
    </w:p>
    <w:p>
      <w:pPr>
        <w:pStyle w:val="Normal"/>
        <w:jc w:val="left"/>
        <w:rPr>
          <w:rFonts w:ascii="Arial Nova" w:hAnsi="Arial Nova" w:eastAsia="Calibri" w:cs="Calibri" w:cstheme="minorHAnsi"/>
          <w:b/>
          <w:color w:val="066301"/>
          <w:sz w:val="52"/>
          <w:szCs w:val="52"/>
        </w:rPr>
      </w:pPr>
      <w:r>
        <w:rPr>
          <w:rFonts w:eastAsia="Calibri" w:cs="Calibri" w:ascii="Arial Nova" w:hAnsi="Arial Nova" w:cstheme="minorHAnsi"/>
          <w:b/>
          <w:color w:val="066301"/>
          <w:sz w:val="52"/>
          <w:szCs w:val="52"/>
        </w:rPr>
        <w:t>SERVIÇO NÃO CONTINUADO</w:t>
      </w:r>
    </w:p>
    <w:p>
      <w:pPr>
        <w:pStyle w:val="Normal"/>
        <w:jc w:val="left"/>
        <w:rPr>
          <w:rFonts w:ascii="Arial Nova" w:hAnsi="Arial Nova" w:cs="Arial" w:cstheme="minorBidi"/>
          <w:b/>
          <w:bCs/>
          <w:color w:themeColor="background1" w:themeShade="80" w:val="808080"/>
          <w:sz w:val="18"/>
          <w:szCs w:val="18"/>
        </w:rPr>
      </w:pPr>
      <w:r>
        <w:rPr>
          <w:rFonts w:cs="Arial" w:ascii="Arial Nova" w:hAnsi="Arial Nova" w:cstheme="minorBidi"/>
          <w:b/>
          <w:bCs/>
          <w:color w:themeColor="background1" w:themeShade="80" w:val="808080"/>
          <w:sz w:val="44"/>
          <w:szCs w:val="44"/>
        </w:rPr>
        <w:t>9001/2025</w:t>
      </w:r>
    </w:p>
    <w:sdt>
      <w:sdtPr>
        <w:docPartObj>
          <w:docPartGallery w:val="Watermarks"/>
        </w:docPartObj>
      </w:sdtPr>
      <w:sdtContent>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OBJETO</w:t>
          </w:r>
        </w:p>
        <w:p>
          <w:pPr>
            <w:pStyle w:val="Normal"/>
            <w:rPr>
              <w:rFonts w:ascii="Arial" w:hAnsi="Arial" w:cs="Arial"/>
              <w:color w:val="5B5B5F"/>
              <w:sz w:val="28"/>
              <w:szCs w:val="28"/>
            </w:rPr>
          </w:pPr>
          <w:r>
            <w:rPr>
              <w:rFonts w:cs="Arial" w:ascii="Arial" w:hAnsi="Arial"/>
              <w:b/>
              <w:bCs/>
              <w:color w:val="5B5B5F"/>
              <w:sz w:val="28"/>
              <w:szCs w:val="28"/>
            </w:rPr>
            <w:t>Contratação de serviço de reforma e reparo do prédio onde estava lotado o Escritório de Defesa Animal (EDA) de Butiá, com mão de obra e materiais necessários inclusos, conforme Anexo V – Termo de Referência.</w:t>
          </w:r>
          <w:r>
            <w:rPr>
              <w:rFonts w:cs="Arial" w:ascii="Arial" w:hAnsi="Arial"/>
              <w:color w:val="5B5B5F"/>
              <w:sz w:val="28"/>
              <w:szCs w:val="28"/>
            </w:rPr>
            <w:t xml:space="preserve"> </w:t>
          </w:r>
        </w:p>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jc w:val="left"/>
            <w:rPr>
              <w:rFonts w:ascii="Arial Nova" w:hAnsi="Arial Nova" w:cs="Arial" w:cstheme="minorBidi"/>
              <w:b/>
              <w:bCs/>
              <w:color w:val="008A3E"/>
              <w:sz w:val="36"/>
              <w:szCs w:val="36"/>
            </w:rPr>
          </w:pPr>
          <w:r>
            <w:rPr>
              <w:rFonts w:cs="Arial" w:ascii="Arial Nova" w:hAnsi="Arial Nova" w:cstheme="minorBidi"/>
              <w:b/>
              <w:bCs/>
              <w:color w:val="auto"/>
              <w:sz w:val="32"/>
              <w:szCs w:val="32"/>
            </w:rPr>
            <w:t>R$</w:t>
          </w:r>
          <w:r>
            <w:rPr>
              <w:rFonts w:cs="Arial" w:ascii="Arial Nova" w:hAnsi="Arial Nova" w:cstheme="minorBidi"/>
              <w:b/>
              <w:bCs/>
              <w:color w:val="008A3E"/>
              <w:sz w:val="36"/>
              <w:szCs w:val="36"/>
            </w:rPr>
            <w:t xml:space="preserve"> </w:t>
          </w:r>
          <w:r>
            <w:rPr>
              <w:rFonts w:cs="Arial" w:ascii="Arial Nova" w:hAnsi="Arial Nova" w:cstheme="minorBidi"/>
              <w:b/>
              <w:bCs/>
              <w:color w:themeColor="text1" w:val="000000"/>
              <w:sz w:val="36"/>
              <w:szCs w:val="36"/>
            </w:rPr>
            <w:t>16.665,00</w:t>
          </w:r>
        </w:p>
        <w:p>
          <w:pPr>
            <w:pStyle w:val="Normal"/>
            <w:jc w:val="left"/>
            <w:rPr>
              <w:rFonts w:ascii="Arial Nova" w:hAnsi="Arial Nova" w:cs="Calibri" w:cstheme="minorHAnsi"/>
              <w:b/>
              <w:color w:val="066301"/>
              <w:sz w:val="36"/>
              <w:szCs w:val="36"/>
            </w:rPr>
          </w:pPr>
          <w:r>
            <w:rPr>
              <w:rFonts w:cs="Arial" w:ascii="Arial Nova" w:hAnsi="Arial Nova" w:cstheme="minorBidi"/>
              <w:b/>
              <w:bCs/>
              <w:color w:val="066301"/>
              <w:sz w:val="36"/>
              <w:szCs w:val="36"/>
            </w:rPr>
            <w:t>DATA DA ABERTURA</w:t>
          </w:r>
        </w:p>
        <w:p>
          <w:pPr>
            <w:pStyle w:val="Normal"/>
            <w:jc w:val="left"/>
            <w:rPr>
              <w:rFonts w:cstheme="minorBidi"/>
              <w:highlight w:val="none"/>
              <w:shd w:fill="auto" w:val="clear"/>
            </w:rPr>
          </w:pPr>
          <w:r>
            <w:rPr>
              <w:rFonts w:cs="Arial" w:cstheme="minorBidi" w:ascii="Arial Nova" w:hAnsi="Arial Nova"/>
              <w:b/>
              <w:bCs/>
              <w:color w:val="000000"/>
              <w:sz w:val="32"/>
              <w:szCs w:val="32"/>
              <w:shd w:fill="auto" w:val="clear"/>
            </w:rPr>
            <w:t>10/02/2025 09:10</w:t>
          </w:r>
        </w:p>
        <w:p>
          <w:pPr>
            <w:pStyle w:val="Normal"/>
            <w:jc w:val="left"/>
            <w:rPr>
              <w:rFonts w:ascii="Arial Nova" w:hAnsi="Arial Nova" w:cs="Calibri" w:cstheme="minorHAnsi"/>
              <w:b/>
              <w:color w:val="066301"/>
              <w:sz w:val="40"/>
              <w:szCs w:val="40"/>
            </w:rPr>
          </w:pPr>
          <w:r>
            <w:rPr>
              <w:rFonts w:cs="Calibri" w:ascii="Arial Nova" w:hAnsi="Arial Nova" w:cstheme="minorHAnsi"/>
              <w:b/>
              <w:color w:val="066301"/>
              <w:sz w:val="36"/>
              <w:szCs w:val="36"/>
            </w:rPr>
            <w:t>CRITÉRIO DE JULGAMENTO</w:t>
          </w:r>
          <w:r>
            <w:rPr/>
            <w:t xml:space="preserve"> </w:t>
          </w:r>
        </w:p>
        <w:p>
          <w:pPr>
            <w:pStyle w:val="Normal"/>
            <w:tabs>
              <w:tab w:val="clear" w:pos="720"/>
              <w:tab w:val="left" w:pos="6061" w:leader="none"/>
            </w:tabs>
            <w:jc w:val="left"/>
            <w:rPr>
              <w:rFonts w:ascii="Arial Nova" w:hAnsi="Arial Nova" w:cs="Calibri" w:cstheme="minorHAnsi"/>
              <w:b/>
              <w:color w:val="auto"/>
              <w:sz w:val="32"/>
              <w:szCs w:val="32"/>
            </w:rPr>
          </w:pPr>
          <w:r>
            <w:rPr>
              <w:rFonts w:cs="Calibri" w:ascii="Arial Nova" w:hAnsi="Arial Nova" w:cstheme="minorHAnsi"/>
              <w:b/>
              <w:color w:val="auto"/>
              <w:sz w:val="32"/>
              <w:szCs w:val="32"/>
            </w:rPr>
            <w:t>MENOR PREÇO</w:t>
          </w:r>
        </w:p>
        <w:p>
          <w:pPr>
            <w:pStyle w:val="Normal"/>
            <w:jc w:val="left"/>
            <w:rPr>
              <w:rFonts w:ascii="Arial Nova" w:hAnsi="Arial Nova" w:cs="Calibri" w:cstheme="minorHAnsi"/>
              <w:b/>
              <w:color w:val="066301"/>
              <w:sz w:val="40"/>
              <w:szCs w:val="40"/>
            </w:rPr>
          </w:pPr>
          <w:r>
            <w:rPr>
              <w:rFonts w:cs="Calibri" w:ascii="Arial Nova" w:hAnsi="Arial Nova" w:cstheme="minorHAnsi"/>
              <w:b/>
              <w:color w:val="066301"/>
              <w:sz w:val="36"/>
              <w:szCs w:val="36"/>
            </w:rPr>
            <w:t>FUNDAMENTO LEGAL</w:t>
          </w:r>
        </w:p>
        <w:p>
          <w:pPr>
            <w:pStyle w:val="Normal"/>
            <w:tabs>
              <w:tab w:val="clear" w:pos="720"/>
              <w:tab w:val="left" w:pos="6061" w:leader="none"/>
            </w:tabs>
            <w:jc w:val="left"/>
            <w:rPr>
              <w:rFonts w:ascii="Arial Nova" w:hAnsi="Arial Nova" w:cs="Calibri" w:cstheme="minorHAnsi"/>
              <w:b/>
              <w:color w:val="auto"/>
              <w:sz w:val="32"/>
              <w:szCs w:val="32"/>
            </w:rPr>
          </w:pPr>
          <w:r>
            <w:rPr>
              <w:rFonts w:cs="Calibri" w:ascii="Arial Nova" w:hAnsi="Arial Nova" w:cstheme="minorHAnsi"/>
              <w:b/>
              <w:color w:val="auto"/>
              <w:sz w:val="32"/>
              <w:szCs w:val="32"/>
            </w:rPr>
            <w:t xml:space="preserve">Artigo 75, inciso II, da Lei Federal nº 14.133/21. </w:t>
          </w:r>
        </w:p>
        <w:p>
          <w:pPr>
            <w:pStyle w:val="Normal"/>
            <w:tabs>
              <w:tab w:val="clear" w:pos="720"/>
              <w:tab w:val="left" w:pos="6061" w:leader="none"/>
            </w:tabs>
            <w:jc w:val="left"/>
            <w:rPr>
              <w:rFonts w:ascii="Arial Nova" w:hAnsi="Arial Nova" w:cs="Calibri" w:cstheme="minorHAnsi"/>
              <w:b/>
              <w:color w:val="auto"/>
              <w:sz w:val="32"/>
              <w:szCs w:val="32"/>
            </w:rPr>
          </w:pPr>
          <w:r>
            <w:rPr>
              <w:rFonts w:cs="Calibri" w:cstheme="minorHAnsi" w:ascii="Arial Nova" w:hAnsi="Arial Nova"/>
              <w:b/>
              <w:color w:val="auto"/>
              <w:sz w:val="32"/>
              <w:szCs w:val="32"/>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color w:val="auto"/>
              <w:sz w:val="24"/>
              <w:szCs w:val="24"/>
            </w:rPr>
          </w:pPr>
          <w:r>
            <w:rPr>
              <w:b/>
              <w:bCs/>
              <w:color w:val="auto"/>
              <w:sz w:val="24"/>
              <w:szCs w:val="24"/>
            </w:rPr>
            <w:t>DISPENSA DE LICITAÇÃO – SERVIÇOS NÃO CONTINUADOS</w:t>
          </w:r>
        </w:p>
        <w:p>
          <w:pPr>
            <w:pStyle w:val="Normal"/>
            <w:spacing w:lineRule="auto" w:line="240" w:before="120" w:after="0"/>
            <w:jc w:val="center"/>
            <w:rPr>
              <w:b/>
              <w:bCs/>
              <w:color w:val="auto"/>
              <w:sz w:val="24"/>
              <w:szCs w:val="24"/>
            </w:rPr>
          </w:pPr>
          <w:r>
            <w:rPr>
              <w:b/>
              <w:bCs/>
              <w:color w:val="auto"/>
              <w:sz w:val="24"/>
              <w:szCs w:val="24"/>
            </w:rPr>
            <w:t>TERMO DE DISPENSA DE LICITAÇÃO Nº 9001/2025</w:t>
          </w:r>
        </w:p>
        <w:p>
          <w:pPr>
            <w:pStyle w:val="Normal"/>
            <w:spacing w:lineRule="auto" w:line="240" w:before="120" w:after="0"/>
            <w:jc w:val="center"/>
            <w:rPr>
              <w:b/>
              <w:bCs/>
              <w:color w:val="auto"/>
              <w:sz w:val="24"/>
              <w:szCs w:val="24"/>
            </w:rPr>
          </w:pPr>
          <w:r>
            <w:rPr>
              <w:b/>
              <w:bCs/>
              <w:color w:val="auto"/>
              <w:sz w:val="24"/>
              <w:szCs w:val="24"/>
            </w:rPr>
            <w:t>PROCESSO ADMINISTRATIVO Nº 24/1500-0033363-1</w:t>
          </w:r>
        </w:p>
        <w:p>
          <w:pPr>
            <w:pStyle w:val="Normal"/>
            <w:spacing w:lineRule="auto" w:line="240" w:before="120" w:after="0"/>
            <w:jc w:val="center"/>
            <w:rPr>
              <w:b/>
              <w:bCs/>
              <w:color w:val="auto"/>
              <w:sz w:val="24"/>
              <w:szCs w:val="24"/>
            </w:rPr>
          </w:pPr>
          <w:r>
            <w:rPr>
              <w:b/>
              <w:bCs/>
              <w:color w:val="auto"/>
              <w:sz w:val="24"/>
              <w:szCs w:val="24"/>
            </w:rPr>
          </w:r>
        </w:p>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bCs/>
              <w:color w:val="auto"/>
              <w:sz w:val="24"/>
              <w:szCs w:val="24"/>
            </w:rPr>
          </w:pPr>
          <w:r>
            <w:rPr>
              <w:b/>
              <w:bCs/>
              <w:color w:val="auto"/>
              <w:sz w:val="24"/>
              <w:szCs w:val="24"/>
            </w:rPr>
            <w:t>CONDIÇÕES GERAIS DE DISPENSA DE LICITAÇÃO - ÍNDICE</w:t>
          </w:r>
        </w:p>
        <w:p>
          <w:pPr>
            <w:pStyle w:val="Normal"/>
            <w:widowControl w:val="false"/>
            <w:pBdr/>
            <w:spacing w:lineRule="auto" w:line="240" w:before="120" w:after="0"/>
            <w:rPr>
              <w:b/>
              <w:bCs/>
              <w:color w:val="auto"/>
              <w:sz w:val="24"/>
              <w:szCs w:val="24"/>
            </w:rPr>
          </w:pPr>
          <w:r>
            <w:rPr>
              <w:b/>
              <w:bCs/>
              <w:color w:val="auto"/>
              <w:sz w:val="24"/>
              <w:szCs w:val="24"/>
            </w:rPr>
          </w:r>
        </w:p>
        <w:p>
          <w:pPr>
            <w:pStyle w:val="Normal"/>
            <w:widowControl w:val="false"/>
            <w:pBdr/>
            <w:spacing w:lineRule="auto" w:line="240" w:before="120" w:after="0"/>
            <w:rPr>
              <w:b/>
              <w:bCs/>
              <w:color w:val="auto"/>
              <w:sz w:val="24"/>
              <w:szCs w:val="24"/>
            </w:rPr>
          </w:pPr>
          <w:r>
            <w:rPr>
              <w:b/>
              <w:bCs/>
              <w:color w:val="auto"/>
              <w:sz w:val="24"/>
              <w:szCs w:val="24"/>
            </w:rPr>
            <w:t xml:space="preserve">1. DO OBJETO </w:t>
          </w:r>
        </w:p>
        <w:p>
          <w:pPr>
            <w:pStyle w:val="Normal"/>
            <w:widowControl w:val="false"/>
            <w:pBdr/>
            <w:spacing w:lineRule="auto" w:line="240" w:before="120" w:after="0"/>
            <w:rPr>
              <w:b/>
              <w:bCs/>
              <w:color w:val="auto"/>
              <w:sz w:val="24"/>
              <w:szCs w:val="24"/>
            </w:rPr>
          </w:pPr>
          <w:r>
            <w:rPr>
              <w:b/>
              <w:bCs/>
              <w:color w:val="auto"/>
              <w:sz w:val="24"/>
              <w:szCs w:val="24"/>
            </w:rPr>
            <w:t>2. DA DISPONIBILIZAÇÃO DO TERMO DE DISPENSA DE LICITAÇÃO</w:t>
          </w:r>
        </w:p>
        <w:p>
          <w:pPr>
            <w:pStyle w:val="Normal"/>
            <w:widowControl w:val="false"/>
            <w:pBdr/>
            <w:spacing w:lineRule="auto" w:line="240" w:before="120" w:after="0"/>
            <w:rPr>
              <w:b/>
              <w:bCs/>
              <w:color w:val="auto"/>
              <w:sz w:val="24"/>
              <w:szCs w:val="24"/>
            </w:rPr>
          </w:pPr>
          <w:r>
            <w:rPr>
              <w:b/>
              <w:bCs/>
              <w:color w:val="auto"/>
              <w:sz w:val="24"/>
              <w:szCs w:val="24"/>
            </w:rPr>
            <w:t>3. DA DATA E DO HORÁRIO DA DISPENSA DE LICITAÇÃO</w:t>
          </w:r>
        </w:p>
        <w:p>
          <w:pPr>
            <w:pStyle w:val="Normal"/>
            <w:widowControl w:val="false"/>
            <w:pBdr/>
            <w:spacing w:lineRule="auto" w:line="240" w:before="120" w:after="0"/>
            <w:rPr>
              <w:b/>
              <w:bCs/>
              <w:color w:val="auto"/>
              <w:sz w:val="24"/>
              <w:szCs w:val="24"/>
            </w:rPr>
          </w:pPr>
          <w:r>
            <w:rPr>
              <w:b/>
              <w:bCs/>
              <w:color w:val="auto"/>
              <w:sz w:val="24"/>
              <w:szCs w:val="24"/>
            </w:rPr>
            <w:t>4. DA PARTICIPAÇÃO</w:t>
          </w:r>
        </w:p>
        <w:p>
          <w:pPr>
            <w:pStyle w:val="Normal"/>
            <w:widowControl w:val="false"/>
            <w:pBdr/>
            <w:spacing w:lineRule="auto" w:line="240" w:before="120" w:after="0"/>
            <w:rPr>
              <w:b/>
              <w:bCs/>
              <w:color w:val="auto"/>
              <w:sz w:val="24"/>
              <w:szCs w:val="24"/>
            </w:rPr>
          </w:pPr>
          <w:r>
            <w:rPr>
              <w:b/>
              <w:bCs/>
              <w:color w:val="auto"/>
              <w:sz w:val="24"/>
              <w:szCs w:val="24"/>
            </w:rPr>
            <w:t>5. DA PARTICIPAÇÃO DE MICROEMPRESAS E DE EMPRESAS DE PEQUENO PORTE</w:t>
          </w:r>
        </w:p>
        <w:p>
          <w:pPr>
            <w:pStyle w:val="Normal"/>
            <w:widowControl w:val="false"/>
            <w:pBdr/>
            <w:spacing w:lineRule="auto" w:line="240" w:before="120" w:after="0"/>
            <w:rPr>
              <w:b/>
              <w:bCs/>
              <w:color w:val="auto"/>
              <w:sz w:val="24"/>
              <w:szCs w:val="24"/>
            </w:rPr>
          </w:pPr>
          <w:r>
            <w:rPr>
              <w:b/>
              <w:bCs/>
              <w:color w:val="auto"/>
              <w:sz w:val="24"/>
              <w:szCs w:val="24"/>
            </w:rPr>
            <w:t>6. DO CREDENCIAMENTO</w:t>
          </w:r>
        </w:p>
        <w:p>
          <w:pPr>
            <w:pStyle w:val="Normal"/>
            <w:widowControl w:val="false"/>
            <w:pBdr/>
            <w:spacing w:lineRule="auto" w:line="240" w:before="120" w:after="0"/>
            <w:rPr>
              <w:b/>
              <w:bCs/>
              <w:color w:val="auto"/>
              <w:sz w:val="24"/>
              <w:szCs w:val="24"/>
            </w:rPr>
          </w:pPr>
          <w:r>
            <w:rPr>
              <w:b/>
              <w:bCs/>
              <w:color w:val="auto"/>
              <w:sz w:val="24"/>
              <w:szCs w:val="24"/>
            </w:rPr>
            <w:t>7. DA PROPOSTA DE PREÇOS</w:t>
          </w:r>
        </w:p>
        <w:p>
          <w:pPr>
            <w:pStyle w:val="Normal"/>
            <w:widowControl w:val="false"/>
            <w:pBdr/>
            <w:spacing w:lineRule="auto" w:line="240" w:before="120" w:after="0"/>
            <w:rPr>
              <w:b/>
              <w:bCs/>
              <w:color w:val="auto"/>
              <w:sz w:val="24"/>
              <w:szCs w:val="24"/>
            </w:rPr>
          </w:pPr>
          <w:r>
            <w:rPr>
              <w:b/>
              <w:bCs/>
              <w:color w:val="auto"/>
              <w:sz w:val="24"/>
              <w:szCs w:val="24"/>
            </w:rPr>
            <w:t>8. DA SESSÃO PÚBLICA DE DISPENSA DE LICITAÇÃO</w:t>
          </w:r>
        </w:p>
        <w:p>
          <w:pPr>
            <w:pStyle w:val="Normal"/>
            <w:widowControl w:val="false"/>
            <w:pBdr/>
            <w:spacing w:lineRule="auto" w:line="240" w:before="120" w:after="0"/>
            <w:rPr>
              <w:b/>
              <w:bCs/>
              <w:color w:val="auto"/>
              <w:sz w:val="24"/>
              <w:szCs w:val="24"/>
            </w:rPr>
          </w:pPr>
          <w:r>
            <w:rPr>
              <w:b/>
              <w:bCs/>
              <w:color w:val="auto"/>
              <w:sz w:val="24"/>
              <w:szCs w:val="24"/>
            </w:rPr>
            <w:t xml:space="preserve">9. DA REFERÊNCIA DE TEMPO </w:t>
          </w:r>
        </w:p>
        <w:p>
          <w:pPr>
            <w:pStyle w:val="Normal"/>
            <w:widowControl w:val="false"/>
            <w:pBdr/>
            <w:spacing w:lineRule="auto" w:line="240" w:before="120" w:after="0"/>
            <w:rPr>
              <w:b/>
              <w:bCs/>
              <w:color w:val="auto"/>
              <w:sz w:val="24"/>
              <w:szCs w:val="24"/>
            </w:rPr>
          </w:pPr>
          <w:r>
            <w:rPr>
              <w:b/>
              <w:bCs/>
              <w:color w:val="auto"/>
              <w:sz w:val="24"/>
              <w:szCs w:val="24"/>
            </w:rPr>
            <w:t xml:space="preserve">10. DA ABERTURA DA PROPOSTA E DA ETAPA COMPETITIVA </w:t>
          </w:r>
        </w:p>
        <w:p>
          <w:pPr>
            <w:pStyle w:val="Normal"/>
            <w:widowControl w:val="false"/>
            <w:pBdr/>
            <w:spacing w:lineRule="auto" w:line="240" w:before="120" w:after="0"/>
            <w:rPr>
              <w:b/>
              <w:bCs/>
              <w:color w:val="auto"/>
              <w:sz w:val="24"/>
              <w:szCs w:val="24"/>
            </w:rPr>
          </w:pPr>
          <w:r>
            <w:rPr>
              <w:b/>
              <w:bCs/>
              <w:color w:val="auto"/>
              <w:sz w:val="24"/>
              <w:szCs w:val="24"/>
            </w:rPr>
            <w:t xml:space="preserve">11. DA NEGOCIAÇÃO </w:t>
          </w:r>
        </w:p>
        <w:p>
          <w:pPr>
            <w:pStyle w:val="Normal"/>
            <w:widowControl w:val="false"/>
            <w:pBdr/>
            <w:spacing w:lineRule="auto" w:line="240" w:before="120" w:after="0"/>
            <w:rPr>
              <w:b/>
              <w:bCs/>
              <w:color w:val="auto"/>
              <w:sz w:val="24"/>
              <w:szCs w:val="24"/>
            </w:rPr>
          </w:pPr>
          <w:r>
            <w:rPr>
              <w:b/>
              <w:bCs/>
              <w:color w:val="auto"/>
              <w:sz w:val="24"/>
              <w:szCs w:val="24"/>
            </w:rPr>
            <w:t xml:space="preserve">12. DA ACEITABILIDADE E DO JULGAMENTO DAS PROPOSTAS </w:t>
          </w:r>
        </w:p>
        <w:p>
          <w:pPr>
            <w:pStyle w:val="Normal"/>
            <w:widowControl w:val="false"/>
            <w:pBdr/>
            <w:spacing w:lineRule="auto" w:line="240" w:before="120" w:after="0"/>
            <w:rPr>
              <w:b/>
              <w:bCs/>
              <w:color w:val="auto"/>
              <w:sz w:val="24"/>
              <w:szCs w:val="24"/>
            </w:rPr>
          </w:pPr>
          <w:r>
            <w:rPr>
              <w:b/>
              <w:bCs/>
              <w:color w:val="auto"/>
              <w:sz w:val="24"/>
              <w:szCs w:val="24"/>
            </w:rPr>
            <w:t>13. DA HABILITAÇÃO</w:t>
          </w:r>
        </w:p>
        <w:p>
          <w:pPr>
            <w:pStyle w:val="Normal"/>
            <w:widowControl w:val="false"/>
            <w:pBdr/>
            <w:spacing w:lineRule="auto" w:line="240" w:before="120" w:after="0"/>
            <w:rPr>
              <w:b/>
              <w:bCs/>
              <w:color w:val="auto"/>
              <w:sz w:val="24"/>
              <w:szCs w:val="24"/>
            </w:rPr>
          </w:pPr>
          <w:r>
            <w:rPr>
              <w:b/>
              <w:bCs/>
              <w:color w:val="auto"/>
              <w:sz w:val="24"/>
              <w:szCs w:val="24"/>
            </w:rPr>
            <w:t>14. DA ADJUDICAÇÃO</w:t>
          </w:r>
        </w:p>
        <w:p>
          <w:pPr>
            <w:pStyle w:val="Normal"/>
            <w:widowControl w:val="false"/>
            <w:pBdr/>
            <w:spacing w:lineRule="auto" w:line="240" w:before="120" w:after="0"/>
            <w:rPr>
              <w:b/>
              <w:bCs/>
              <w:color w:val="auto"/>
              <w:sz w:val="24"/>
              <w:szCs w:val="24"/>
            </w:rPr>
          </w:pPr>
          <w:r>
            <w:rPr>
              <w:b/>
              <w:bCs/>
              <w:color w:val="auto"/>
              <w:sz w:val="24"/>
              <w:szCs w:val="24"/>
            </w:rPr>
            <w:t>15. DA HOMOLOGAÇÃO</w:t>
          </w:r>
        </w:p>
        <w:p>
          <w:pPr>
            <w:pStyle w:val="Normal"/>
            <w:spacing w:lineRule="auto" w:line="240" w:before="120" w:after="0"/>
            <w:rPr>
              <w:b/>
              <w:bCs/>
              <w:color w:val="auto"/>
              <w:sz w:val="24"/>
              <w:szCs w:val="24"/>
            </w:rPr>
          </w:pPr>
          <w:r>
            <w:rPr>
              <w:b/>
              <w:bCs/>
              <w:color w:val="auto"/>
              <w:sz w:val="24"/>
              <w:szCs w:val="24"/>
            </w:rPr>
            <w:t xml:space="preserve">16. DO TERMO DE CONTRATO </w:t>
          </w:r>
        </w:p>
        <w:p>
          <w:pPr>
            <w:pStyle w:val="Normal"/>
            <w:spacing w:lineRule="auto" w:line="240" w:before="120" w:after="0"/>
            <w:rPr>
              <w:b/>
              <w:bCs/>
              <w:color w:val="auto"/>
              <w:sz w:val="24"/>
              <w:szCs w:val="24"/>
            </w:rPr>
          </w:pPr>
          <w:r>
            <w:rPr>
              <w:b/>
              <w:bCs/>
              <w:color w:val="auto"/>
              <w:sz w:val="24"/>
              <w:szCs w:val="24"/>
            </w:rPr>
            <w:t>17. DO ACORDO DE NÍVEL DE SERVIÇO</w:t>
          </w:r>
        </w:p>
        <w:p>
          <w:pPr>
            <w:pStyle w:val="Normal"/>
            <w:spacing w:lineRule="auto" w:line="240" w:before="120" w:after="0"/>
            <w:rPr>
              <w:b/>
              <w:bCs/>
              <w:color w:val="auto"/>
              <w:sz w:val="24"/>
              <w:szCs w:val="24"/>
            </w:rPr>
          </w:pPr>
          <w:r>
            <w:rPr>
              <w:b/>
              <w:bCs/>
              <w:color w:val="auto"/>
              <w:sz w:val="24"/>
              <w:szCs w:val="24"/>
            </w:rPr>
            <w:t>18. DO PAGAMENTO</w:t>
          </w:r>
        </w:p>
        <w:p>
          <w:pPr>
            <w:pStyle w:val="Normal"/>
            <w:spacing w:lineRule="auto" w:line="240" w:before="120" w:after="0"/>
            <w:rPr>
              <w:b/>
              <w:bCs/>
              <w:color w:val="auto"/>
              <w:sz w:val="24"/>
              <w:szCs w:val="24"/>
            </w:rPr>
          </w:pPr>
          <w:r>
            <w:rPr>
              <w:b/>
              <w:bCs/>
              <w:color w:val="auto"/>
              <w:sz w:val="24"/>
              <w:szCs w:val="24"/>
            </w:rPr>
            <w:t>19. DO REAJUSTE</w:t>
          </w:r>
        </w:p>
        <w:p>
          <w:pPr>
            <w:pStyle w:val="Normal"/>
            <w:spacing w:lineRule="auto" w:line="240" w:before="120" w:after="0"/>
            <w:rPr>
              <w:b/>
              <w:bCs/>
              <w:color w:val="auto"/>
              <w:sz w:val="24"/>
              <w:szCs w:val="24"/>
            </w:rPr>
          </w:pPr>
          <w:r>
            <w:rPr>
              <w:b/>
              <w:bCs/>
              <w:color w:val="auto"/>
              <w:sz w:val="24"/>
              <w:szCs w:val="24"/>
            </w:rPr>
            <w:t xml:space="preserve">20. DA FONTE DE RECURSOS </w:t>
          </w:r>
        </w:p>
        <w:p>
          <w:pPr>
            <w:pStyle w:val="Normal"/>
            <w:spacing w:lineRule="auto" w:line="240" w:before="120" w:after="0"/>
            <w:rPr>
              <w:b/>
              <w:bCs/>
              <w:color w:val="auto"/>
              <w:sz w:val="24"/>
              <w:szCs w:val="24"/>
            </w:rPr>
          </w:pPr>
          <w:r>
            <w:rPr>
              <w:b/>
              <w:bCs/>
              <w:color w:val="auto"/>
              <w:sz w:val="24"/>
              <w:szCs w:val="24"/>
            </w:rPr>
            <w:t>21. DAS OBRIGAÇÕES DO ADJUDICATÁRIO</w:t>
          </w:r>
        </w:p>
        <w:p>
          <w:pPr>
            <w:pStyle w:val="Normal"/>
            <w:spacing w:lineRule="auto" w:line="240" w:before="120" w:after="0"/>
            <w:rPr>
              <w:b/>
              <w:bCs/>
              <w:color w:val="auto"/>
              <w:sz w:val="24"/>
              <w:szCs w:val="24"/>
            </w:rPr>
          </w:pPr>
          <w:r>
            <w:rPr>
              <w:b/>
              <w:bCs/>
              <w:color w:val="auto"/>
              <w:sz w:val="24"/>
              <w:szCs w:val="24"/>
            </w:rPr>
            <w:t>22. DA GARANTIA DE EXECUÇÃO</w:t>
          </w:r>
        </w:p>
        <w:p>
          <w:pPr>
            <w:pStyle w:val="Normal"/>
            <w:spacing w:lineRule="auto" w:line="240" w:before="120" w:after="0"/>
            <w:rPr>
              <w:b/>
              <w:bCs/>
              <w:color w:val="auto"/>
              <w:sz w:val="24"/>
              <w:szCs w:val="24"/>
            </w:rPr>
          </w:pPr>
          <w:r>
            <w:rPr>
              <w:b/>
              <w:bCs/>
              <w:color w:val="auto"/>
              <w:sz w:val="24"/>
              <w:szCs w:val="24"/>
            </w:rPr>
            <w:t>23. DAS INFRAÇÕES E SANÇÕES ADMINISTRATIVAS</w:t>
          </w:r>
        </w:p>
        <w:p>
          <w:pPr>
            <w:pStyle w:val="Normal"/>
            <w:spacing w:lineRule="auto" w:line="240" w:before="120" w:after="0"/>
            <w:rPr>
              <w:b/>
              <w:bCs/>
              <w:color w:val="auto"/>
              <w:sz w:val="24"/>
              <w:szCs w:val="24"/>
            </w:rPr>
          </w:pPr>
          <w:r>
            <w:rPr>
              <w:b/>
              <w:bCs/>
              <w:color w:val="auto"/>
              <w:sz w:val="24"/>
              <w:szCs w:val="24"/>
            </w:rPr>
            <w:t>24. DAS DISPOSIÇÕES FINAIS</w:t>
          </w:r>
        </w:p>
        <w:p>
          <w:pPr>
            <w:pStyle w:val="Normal"/>
            <w:widowControl w:val="false"/>
            <w:pBdr/>
            <w:spacing w:lineRule="auto" w:line="240" w:before="120" w:after="0"/>
            <w:rPr>
              <w:b/>
              <w:color w:val="auto"/>
              <w:sz w:val="24"/>
              <w:szCs w:val="24"/>
            </w:rPr>
          </w:pPr>
          <w:r>
            <w:rPr>
              <w:b/>
              <w:color w:val="auto"/>
              <w:sz w:val="24"/>
              <w:szCs w:val="24"/>
            </w:rPr>
          </w:r>
        </w:p>
        <w:p>
          <w:pPr>
            <w:pStyle w:val="Normal"/>
            <w:rPr>
              <w:b/>
              <w:color w:val="auto"/>
              <w:sz w:val="24"/>
              <w:szCs w:val="24"/>
            </w:rPr>
          </w:pPr>
          <w:r>
            <w:rPr>
              <w:b/>
              <w:color w:val="auto"/>
              <w:sz w:val="24"/>
              <w:szCs w:val="24"/>
            </w:rPr>
          </w:r>
          <w:r>
            <w:br w:type="page"/>
          </w:r>
        </w:p>
        <w:p>
          <w:pPr>
            <w:pStyle w:val="Normal"/>
            <w:widowControl w:val="false"/>
            <w:pBdr/>
            <w:spacing w:lineRule="auto" w:line="240" w:before="0" w:after="0"/>
            <w:rPr>
              <w:b/>
              <w:color w:val="auto"/>
              <w:sz w:val="24"/>
              <w:szCs w:val="24"/>
            </w:rPr>
          </w:pPr>
          <w:r>
            <w:rPr>
              <w:b/>
              <w:color w:val="auto"/>
              <w:sz w:val="24"/>
              <w:szCs w:val="24"/>
            </w:rPr>
            <w:t xml:space="preserve">ANEXOS </w:t>
          </w:r>
        </w:p>
        <w:p>
          <w:pPr>
            <w:pStyle w:val="Normal"/>
            <w:widowControl w:val="false"/>
            <w:pBdr/>
            <w:spacing w:lineRule="auto" w:line="240" w:before="120" w:after="0"/>
            <w:rPr>
              <w:b/>
              <w:color w:val="auto"/>
              <w:sz w:val="24"/>
              <w:szCs w:val="24"/>
            </w:rPr>
          </w:pPr>
          <w:r>
            <w:rPr>
              <w:b/>
              <w:color w:val="auto"/>
              <w:sz w:val="24"/>
              <w:szCs w:val="24"/>
            </w:rPr>
          </w:r>
        </w:p>
        <w:p>
          <w:pPr>
            <w:pStyle w:val="Normal"/>
            <w:widowControl w:val="false"/>
            <w:pBdr/>
            <w:spacing w:lineRule="auto" w:line="240" w:before="120" w:after="0"/>
            <w:rPr>
              <w:b/>
              <w:bCs/>
              <w:color w:val="auto"/>
              <w:sz w:val="24"/>
              <w:szCs w:val="24"/>
            </w:rPr>
          </w:pPr>
          <w:r>
            <w:rPr>
              <w:b/>
              <w:bCs/>
              <w:color w:val="auto"/>
              <w:sz w:val="24"/>
              <w:szCs w:val="24"/>
            </w:rPr>
            <w:t>ANEXO I – MINUTA DE CONTRATO</w:t>
          </w:r>
        </w:p>
        <w:p>
          <w:pPr>
            <w:pStyle w:val="Normal"/>
            <w:widowControl w:val="false"/>
            <w:pBdr/>
            <w:spacing w:lineRule="auto" w:line="240" w:before="120" w:after="0"/>
            <w:rPr>
              <w:b/>
              <w:bCs/>
              <w:color w:val="auto"/>
              <w:sz w:val="24"/>
              <w:szCs w:val="24"/>
            </w:rPr>
          </w:pPr>
          <w:r>
            <w:rPr>
              <w:b/>
              <w:bCs/>
              <w:color w:val="auto"/>
              <w:sz w:val="24"/>
              <w:szCs w:val="24"/>
            </w:rPr>
            <w:t>ANEXO II – PLANILHA DE CUSTOS E FORMAÇÃO DE PREÇOS (a ser preenchida pelo vencedor)</w:t>
          </w:r>
        </w:p>
        <w:p>
          <w:pPr>
            <w:pStyle w:val="Normal"/>
            <w:widowControl w:val="false"/>
            <w:pBdr/>
            <w:spacing w:lineRule="auto" w:line="240" w:before="120" w:after="0"/>
            <w:rPr>
              <w:b/>
              <w:bCs/>
              <w:color w:val="auto"/>
              <w:sz w:val="24"/>
              <w:szCs w:val="24"/>
            </w:rPr>
          </w:pPr>
          <w:r>
            <w:rPr>
              <w:b/>
              <w:bCs/>
              <w:color w:val="auto"/>
              <w:sz w:val="24"/>
              <w:szCs w:val="24"/>
            </w:rPr>
            <w:t>ANEXO III – CARTA DE FIANÇA BANCÁRIA PARA GARANTIA DE EXECUÇÃO CONTRATUAL (se for o caso)</w:t>
          </w:r>
        </w:p>
        <w:p>
          <w:pPr>
            <w:pStyle w:val="Normal"/>
            <w:widowControl w:val="false"/>
            <w:pBdr/>
            <w:spacing w:lineRule="auto" w:line="240" w:before="120" w:after="0"/>
            <w:rPr>
              <w:b/>
              <w:bCs/>
              <w:color w:val="auto"/>
              <w:sz w:val="24"/>
              <w:szCs w:val="24"/>
            </w:rPr>
          </w:pPr>
          <w:r>
            <w:rPr>
              <w:b/>
              <w:bCs/>
              <w:color w:val="auto"/>
              <w:sz w:val="24"/>
              <w:szCs w:val="24"/>
            </w:rPr>
            <w:t>ANEXO IV – FOLHA DE DADOS</w:t>
          </w:r>
        </w:p>
        <w:p>
          <w:pPr>
            <w:pStyle w:val="Normal"/>
            <w:widowControl w:val="false"/>
            <w:pBdr/>
            <w:spacing w:lineRule="auto" w:line="240" w:before="120" w:after="0"/>
            <w:rPr>
              <w:b/>
              <w:bCs/>
              <w:color w:val="auto"/>
              <w:sz w:val="24"/>
              <w:szCs w:val="24"/>
            </w:rPr>
          </w:pPr>
          <w:r>
            <w:rPr>
              <w:b/>
              <w:bCs/>
              <w:color w:val="auto"/>
              <w:sz w:val="24"/>
              <w:szCs w:val="24"/>
            </w:rPr>
            <w:t>ANEXO V – TERMO DE REFERÊNCIA</w:t>
          </w:r>
        </w:p>
        <w:p>
          <w:pPr>
            <w:pStyle w:val="Heading1"/>
            <w:spacing w:lineRule="auto" w:line="240" w:before="120" w:after="0"/>
            <w:contextualSpacing/>
            <w:rPr>
              <w:color w:val="auto"/>
              <w:sz w:val="24"/>
              <w:szCs w:val="24"/>
            </w:rPr>
          </w:pPr>
          <w:r>
            <w:rPr>
              <w:color w:val="auto"/>
              <w:sz w:val="24"/>
              <w:szCs w:val="24"/>
            </w:rPr>
          </w:r>
          <w:r>
            <w:br w:type="page"/>
          </w:r>
        </w:p>
        <w:p>
          <w:pPr>
            <w:pStyle w:val="Heading1"/>
            <w:spacing w:lineRule="auto" w:line="240" w:before="0" w:after="0"/>
            <w:contextualSpacing/>
            <w:rPr>
              <w:color w:val="auto"/>
              <w:sz w:val="24"/>
              <w:szCs w:val="24"/>
            </w:rPr>
          </w:pPr>
          <w:r>
            <w:rPr>
              <w:rFonts w:eastAsia="Times New Roman"/>
              <w:color w:val="auto"/>
              <w:sz w:val="24"/>
              <w:szCs w:val="24"/>
            </w:rPr>
            <w:t>CONDIÇÕES GERAIS DE DISPENSA DE LICITAÇÃO – CGDL</w:t>
          </w:r>
        </w:p>
        <w:p>
          <w:pPr>
            <w:pStyle w:val="Heading1"/>
            <w:spacing w:lineRule="auto" w:line="240" w:before="120" w:after="0"/>
            <w:contextualSpacing/>
            <w:rPr>
              <w:color w:val="auto"/>
              <w:sz w:val="24"/>
              <w:szCs w:val="24"/>
            </w:rPr>
          </w:pPr>
          <w:r>
            <w:rPr>
              <w:color w:val="auto"/>
              <w:sz w:val="24"/>
              <w:szCs w:val="24"/>
            </w:rPr>
            <w:t xml:space="preserve">SERVIÇOS NÃO CONTINUADOS </w:t>
          </w:r>
        </w:p>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rPr>
              <w:rStyle w:val="normaltextrun"/>
              <w:color w:val="auto"/>
              <w:sz w:val="24"/>
              <w:szCs w:val="24"/>
              <w:shd w:fill="FFFFFF" w:val="clear"/>
            </w:rPr>
          </w:pPr>
          <w:r>
            <w:rPr>
              <w:color w:val="auto"/>
              <w:sz w:val="24"/>
              <w:szCs w:val="24"/>
            </w:rPr>
            <w:t xml:space="preserve">A Secretaria Estadual da Agricultura, Pecuária, Produção Sustentável e Irrigação torna público que realizará </w:t>
          </w:r>
          <w:r>
            <w:rPr>
              <w:b/>
              <w:bCs/>
              <w:color w:val="auto"/>
              <w:sz w:val="24"/>
              <w:szCs w:val="24"/>
            </w:rPr>
            <w:t xml:space="preserve">DISPENSA DE LICITAÇÃO, </w:t>
          </w:r>
          <w:r>
            <w:rPr>
              <w:color w:val="auto"/>
              <w:sz w:val="24"/>
              <w:szCs w:val="24"/>
            </w:rPr>
            <w:t xml:space="preserve">por meio da internet. A presente dispensa de licitação reger-se-á pela </w:t>
          </w:r>
          <w:r>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Pr>
              <w:color w:val="auto"/>
              <w:sz w:val="24"/>
              <w:szCs w:val="24"/>
            </w:rPr>
            <w:t>Decreto nº 52.768, de 15 de dezembro de 2015;</w:t>
          </w:r>
          <w:r>
            <w:rPr>
              <w:rFonts w:eastAsia="Calibri"/>
              <w:color w:val="auto"/>
              <w:sz w:val="24"/>
              <w:szCs w:val="24"/>
            </w:rPr>
            <w:t xml:space="preserve"> Decreto Estadual nº 48.160, de 14 de julho de 2011; Decreto Estadual nº 42.250, de 19 de maio de 2003, Decreto Estadual nº 57.154 de 22 de agosto de 2023, </w:t>
          </w:r>
          <w:r>
            <w:rPr>
              <w:rFonts w:eastAsia="Arial"/>
              <w:color w:themeColor="text1" w:val="000000"/>
              <w:sz w:val="24"/>
              <w:szCs w:val="24"/>
            </w:rPr>
            <w:t>Decreto Estadual 57.034, de 23 de maio de 2023,</w:t>
          </w:r>
          <w:r>
            <w:rPr>
              <w:rFonts w:eastAsia="Calibri"/>
              <w:color w:val="auto"/>
              <w:sz w:val="24"/>
              <w:szCs w:val="24"/>
            </w:rPr>
            <w:t xml:space="preserve"> </w:t>
          </w:r>
          <w:r>
            <w:rPr>
              <w:rStyle w:val="normaltextrun"/>
              <w:color w:val="000000"/>
              <w:sz w:val="24"/>
              <w:szCs w:val="24"/>
              <w:shd w:fill="FFFFFF" w:val="clear"/>
            </w:rPr>
            <w:t xml:space="preserve"> e pelas condições previstas neste Termo de Dispensa de Licitação e seus Anexos.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 xml:space="preserve">1. DO OBJETO </w:t>
          </w:r>
        </w:p>
        <w:p>
          <w:pPr>
            <w:pStyle w:val="Normal"/>
            <w:spacing w:lineRule="auto" w:line="240" w:before="120" w:after="0"/>
            <w:rPr>
              <w:color w:val="auto"/>
              <w:sz w:val="24"/>
              <w:szCs w:val="24"/>
            </w:rPr>
          </w:pPr>
          <w:r>
            <w:rPr>
              <w:color w:val="auto"/>
              <w:sz w:val="24"/>
              <w:szCs w:val="24"/>
            </w:rPr>
            <w:t xml:space="preserve">1.1. O objeto da presente dispensa de licitação visa à contratação de prestação de serviços </w:t>
          </w:r>
          <w:r>
            <w:rPr>
              <w:b/>
              <w:bCs/>
              <w:color w:val="auto"/>
              <w:sz w:val="24"/>
              <w:szCs w:val="24"/>
            </w:rPr>
            <w:t>não contínuos sem dedicação exclusiva de mão de obra</w:t>
          </w:r>
          <w:r>
            <w:rPr>
              <w:color w:val="auto"/>
              <w:sz w:val="24"/>
              <w:szCs w:val="24"/>
            </w:rPr>
            <w:t xml:space="preserve">, conforme descrição e condições especificadas no </w:t>
          </w:r>
          <w:r>
            <w:rPr>
              <w:b/>
              <w:bCs/>
              <w:color w:val="auto"/>
              <w:sz w:val="24"/>
              <w:szCs w:val="24"/>
            </w:rPr>
            <w:t>ANEXO IV – FOLHA DE DADOS (CGDL 1.1)</w:t>
          </w:r>
          <w:r>
            <w:rPr>
              <w:color w:val="auto"/>
              <w:sz w:val="24"/>
              <w:szCs w:val="24"/>
            </w:rPr>
            <w:t xml:space="preserve"> e de acordo com as condições contidas no </w:t>
          </w:r>
          <w:r>
            <w:rPr>
              <w:b/>
              <w:bCs/>
              <w:color w:val="auto"/>
              <w:sz w:val="24"/>
              <w:szCs w:val="24"/>
            </w:rPr>
            <w:t>Termo de Referência - Anexo V</w:t>
          </w:r>
          <w:r>
            <w:rPr>
              <w:color w:val="auto"/>
              <w:sz w:val="24"/>
              <w:szCs w:val="24"/>
            </w:rPr>
            <w:t>, que fará parte do Contrato como anexo.</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 DA DISPONIBILIZAÇÃO DO TERMO DE DISPENSA DE LICITAÇÃO</w:t>
          </w:r>
        </w:p>
        <w:p>
          <w:pPr>
            <w:pStyle w:val="Normal"/>
            <w:spacing w:lineRule="auto" w:line="240" w:before="120" w:after="0"/>
            <w:rPr>
              <w:color w:val="auto"/>
              <w:sz w:val="24"/>
              <w:szCs w:val="24"/>
              <w:highlight w:val="yellow"/>
            </w:rPr>
          </w:pPr>
          <w:r>
            <w:rPr>
              <w:color w:val="auto"/>
              <w:sz w:val="24"/>
              <w:szCs w:val="24"/>
            </w:rPr>
            <w:t xml:space="preserve">2.1. O Termo de Dispensa de Licitação poderá ser obtido no </w:t>
          </w:r>
          <w:r>
            <w:rPr>
              <w:i/>
              <w:iCs/>
              <w:color w:val="auto"/>
              <w:sz w:val="24"/>
              <w:szCs w:val="24"/>
            </w:rPr>
            <w:t>site</w:t>
          </w:r>
          <w:r>
            <w:rPr>
              <w:color w:val="auto"/>
              <w:sz w:val="24"/>
              <w:szCs w:val="24"/>
            </w:rPr>
            <w:t xml:space="preserve"> referido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w:t>
          </w:r>
        </w:p>
        <w:p>
          <w:pPr>
            <w:pStyle w:val="Normal"/>
            <w:spacing w:lineRule="auto" w:line="240" w:before="120" w:after="0"/>
            <w:rPr>
              <w:color w:val="auto"/>
              <w:sz w:val="24"/>
              <w:szCs w:val="24"/>
            </w:rPr>
          </w:pPr>
          <w:r>
            <w:rPr>
              <w:color w:val="auto"/>
              <w:sz w:val="24"/>
              <w:szCs w:val="24"/>
            </w:rPr>
            <w:t xml:space="preserve">2.2. A dispensa de licitação será realizada na forma eletrônica, por meio do endereço indicado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 mediante condições de segurança, criptografia e autenticação dos interessados previamente credenciados conforme cláusula 6.</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3. DA DATA E DO HORÁRIO DA DISPENSA DE LICITAÇÃO</w:t>
          </w:r>
        </w:p>
        <w:p>
          <w:pPr>
            <w:pStyle w:val="Normal"/>
            <w:spacing w:lineRule="auto" w:line="240" w:before="120" w:after="0"/>
            <w:rPr>
              <w:color w:val="auto"/>
              <w:sz w:val="24"/>
              <w:szCs w:val="24"/>
            </w:rPr>
          </w:pPr>
          <w:r>
            <w:rPr>
              <w:color w:val="auto"/>
              <w:sz w:val="24"/>
              <w:szCs w:val="24"/>
            </w:rPr>
            <w:t xml:space="preserve">3.1. Na data e horário designados no </w:t>
          </w:r>
          <w:r>
            <w:rPr>
              <w:b/>
              <w:bCs/>
              <w:color w:val="auto"/>
              <w:sz w:val="24"/>
              <w:szCs w:val="24"/>
            </w:rPr>
            <w:t>ANEXO IV – FOLHA DE DADOS (CGDL</w:t>
          </w:r>
          <w:r>
            <w:rPr>
              <w:color w:val="auto"/>
              <w:sz w:val="24"/>
              <w:szCs w:val="24"/>
            </w:rPr>
            <w:t xml:space="preserve"> </w:t>
          </w:r>
          <w:r>
            <w:rPr>
              <w:b/>
              <w:bCs/>
              <w:color w:val="auto"/>
              <w:sz w:val="24"/>
              <w:szCs w:val="24"/>
            </w:rPr>
            <w:t>3.1)</w:t>
          </w:r>
          <w:r>
            <w:rPr>
              <w:color w:val="auto"/>
              <w:sz w:val="24"/>
              <w:szCs w:val="24"/>
            </w:rPr>
            <w:t xml:space="preserve"> será aberta sessão pública pelo agente de contratação. </w:t>
          </w:r>
        </w:p>
        <w:p>
          <w:pPr>
            <w:pStyle w:val="Normal"/>
            <w:spacing w:lineRule="auto" w:line="240" w:before="120" w:after="0"/>
            <w:rPr>
              <w:color w:val="auto"/>
              <w:sz w:val="24"/>
              <w:szCs w:val="24"/>
            </w:rPr>
          </w:pPr>
          <w:r>
            <w:rPr>
              <w:color w:val="auto"/>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4. DA PARTICIPAÇÃO</w:t>
          </w:r>
        </w:p>
        <w:p>
          <w:pPr>
            <w:pStyle w:val="Normal"/>
            <w:spacing w:lineRule="auto" w:line="240" w:before="120" w:after="0"/>
            <w:rPr>
              <w:color w:val="auto"/>
              <w:sz w:val="24"/>
              <w:szCs w:val="24"/>
            </w:rPr>
          </w:pPr>
          <w:r>
            <w:rPr>
              <w:color w:val="auto"/>
              <w:sz w:val="24"/>
              <w:szCs w:val="24"/>
            </w:rPr>
            <w:t>4.1. Respeitadas as condições normativas próprias e as constantes deste Termo, poderá participar desta dispensa de licitação:</w:t>
          </w:r>
        </w:p>
        <w:p>
          <w:pPr>
            <w:pStyle w:val="Normal"/>
            <w:spacing w:lineRule="auto" w:line="240" w:before="120" w:after="0"/>
            <w:rPr>
              <w:color w:val="auto"/>
              <w:sz w:val="24"/>
              <w:szCs w:val="24"/>
            </w:rPr>
          </w:pPr>
          <w:r>
            <w:rPr>
              <w:color w:val="auto"/>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Licitação e seus Anexos, observado o disposto no </w:t>
          </w:r>
          <w:r>
            <w:rPr>
              <w:b/>
              <w:bCs/>
              <w:color w:val="auto"/>
              <w:sz w:val="24"/>
              <w:szCs w:val="24"/>
            </w:rPr>
            <w:t>ANEXO IV – FOLHA DE DADOS (CGDL 4.1.1)</w:t>
          </w:r>
          <w:r>
            <w:rPr>
              <w:color w:val="auto"/>
              <w:sz w:val="24"/>
              <w:szCs w:val="24"/>
            </w:rPr>
            <w:t>;</w:t>
          </w:r>
        </w:p>
        <w:p>
          <w:pPr>
            <w:pStyle w:val="Normal"/>
            <w:spacing w:lineRule="auto" w:line="240" w:before="120" w:after="0"/>
            <w:rPr>
              <w:color w:val="auto"/>
              <w:sz w:val="24"/>
              <w:szCs w:val="24"/>
            </w:rPr>
          </w:pPr>
          <w:r>
            <w:rPr>
              <w:color w:val="auto"/>
              <w:sz w:val="24"/>
              <w:szCs w:val="24"/>
            </w:rPr>
            <w:t xml:space="preserve">4.1.2. pessoa física que esteja devidamente credenciada nos termos do item 6 deste Termo. </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IV – FOLHA DE DADOS (CGDL 4.1.3)</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4.1.4. cooperativas de trabalho, nas condições previstas no </w:t>
          </w:r>
          <w:r>
            <w:rPr>
              <w:b/>
              <w:bCs/>
              <w:color w:val="auto"/>
              <w:sz w:val="24"/>
              <w:szCs w:val="24"/>
            </w:rPr>
            <w:t>ANEXO IV - FOLHA DE DADOS (CGDL 4.1.4)</w:t>
          </w:r>
          <w:r>
            <w:rPr>
              <w:color w:val="auto"/>
              <w:sz w:val="24"/>
              <w:szCs w:val="24"/>
            </w:rPr>
            <w:t>. </w:t>
          </w:r>
        </w:p>
        <w:p>
          <w:pPr>
            <w:pStyle w:val="Normal"/>
            <w:spacing w:lineRule="auto" w:line="240" w:before="120" w:after="0"/>
            <w:rPr>
              <w:color w:val="auto"/>
              <w:sz w:val="24"/>
              <w:szCs w:val="24"/>
            </w:rPr>
          </w:pPr>
          <w:r>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color w:val="auto"/>
              <w:sz w:val="24"/>
              <w:szCs w:val="24"/>
            </w:rPr>
          </w:pPr>
          <w:r>
            <w:rPr>
              <w:color w:val="auto"/>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a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color w:val="auto"/>
              <w:sz w:val="24"/>
              <w:szCs w:val="24"/>
            </w:rPr>
          </w:pPr>
          <w:r>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Normal"/>
            <w:spacing w:lineRule="auto" w:line="240" w:before="120" w:after="0"/>
            <w:rPr>
              <w:color w:val="auto"/>
              <w:sz w:val="24"/>
              <w:szCs w:val="24"/>
            </w:rPr>
          </w:pPr>
          <w:r>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pPr>
            <w:pStyle w:val="Normal"/>
            <w:spacing w:lineRule="auto" w:line="240" w:before="120" w:after="0"/>
            <w:rPr>
              <w:color w:val="auto"/>
              <w:sz w:val="24"/>
              <w:szCs w:val="24"/>
            </w:rPr>
          </w:pPr>
          <w:r>
            <w:rPr>
              <w:color w:val="auto"/>
              <w:sz w:val="24"/>
              <w:szCs w:val="24"/>
            </w:rPr>
            <w:t xml:space="preserve">4.5. Não poderá haver 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5. DA PARTICIPAÇÃO DE MICROEMPRESAS E DE EMPRESAS DE PEQUENO PORTE</w:t>
          </w:r>
        </w:p>
        <w:p>
          <w:pPr>
            <w:pStyle w:val="Normal"/>
            <w:spacing w:lineRule="auto" w:line="240" w:before="120" w:after="0"/>
            <w:rPr>
              <w:color w:val="auto"/>
              <w:sz w:val="24"/>
              <w:szCs w:val="24"/>
            </w:rPr>
          </w:pPr>
          <w:r>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w:pPr>
            <w:pStyle w:val="Normal"/>
            <w:spacing w:lineRule="auto" w:line="240" w:before="120" w:after="0"/>
            <w:rPr>
              <w:color w:val="auto"/>
              <w:sz w:val="24"/>
              <w:szCs w:val="24"/>
            </w:rPr>
          </w:pPr>
          <w:bookmarkStart w:id="38" w:name="_heading=h.gjdgxs"/>
          <w:bookmarkEnd w:id="38"/>
          <w:r>
            <w:rPr>
              <w:color w:val="auto"/>
              <w:sz w:val="24"/>
              <w:szCs w:val="24"/>
            </w:rPr>
            <w:t>5.1.1. que possui enquadramento empresarial como Microempresa ou Empresa de Pequeno Porte;</w:t>
          </w:r>
        </w:p>
        <w:p>
          <w:pPr>
            <w:pStyle w:val="Normal"/>
            <w:spacing w:lineRule="auto" w:line="240" w:before="120" w:after="0"/>
            <w:rPr>
              <w:color w:val="auto"/>
              <w:sz w:val="24"/>
              <w:szCs w:val="24"/>
            </w:rPr>
          </w:pPr>
          <w:r>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color w:val="auto"/>
              <w:sz w:val="24"/>
              <w:szCs w:val="24"/>
            </w:rPr>
          </w:pPr>
          <w:r>
            <w:rPr>
              <w:color w:val="auto"/>
              <w:sz w:val="24"/>
              <w:szCs w:val="24"/>
            </w:rPr>
            <w:t>5.2. A ausência dessas declarações, no momento do envio da proposta, significará a renúncia da Microempresa ou da Empresa de Pequeno Porte de utilizar-se das prerrogativas a ela concedida pela Lei Complementar Federal nº 123/2006, conforme previsto nesta CGDL.</w:t>
          </w:r>
        </w:p>
        <w:p>
          <w:pPr>
            <w:pStyle w:val="Normal"/>
            <w:spacing w:lineRule="auto" w:line="240" w:before="120" w:after="0"/>
            <w:rPr>
              <w:color w:val="auto"/>
              <w:sz w:val="24"/>
              <w:szCs w:val="24"/>
            </w:rPr>
          </w:pPr>
          <w:r>
            <w:rPr>
              <w:color w:val="auto"/>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Normal"/>
            <w:spacing w:lineRule="auto" w:line="240" w:before="120" w:after="0"/>
            <w:rPr>
              <w:color w:val="auto"/>
              <w:sz w:val="24"/>
              <w:szCs w:val="24"/>
            </w:rPr>
          </w:pPr>
          <w:r>
            <w:rPr>
              <w:color w:val="auto"/>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color w:val="auto"/>
              <w:sz w:val="24"/>
              <w:szCs w:val="24"/>
            </w:rPr>
          </w:pPr>
          <w:r>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color w:val="auto"/>
              <w:sz w:val="24"/>
              <w:szCs w:val="24"/>
            </w:rPr>
          </w:pPr>
          <w:r>
            <w:rPr>
              <w:color w:val="auto"/>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color w:val="auto"/>
              <w:sz w:val="24"/>
              <w:szCs w:val="24"/>
            </w:rPr>
          </w:pPr>
          <w:r>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color w:val="auto"/>
              <w:sz w:val="24"/>
              <w:szCs w:val="24"/>
            </w:rPr>
          </w:pPr>
          <w:r>
            <w:rPr>
              <w:color w:val="auto"/>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color w:val="auto"/>
              <w:sz w:val="24"/>
              <w:szCs w:val="24"/>
            </w:rPr>
          </w:pPr>
          <w:r>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Normal"/>
            <w:spacing w:lineRule="auto" w:line="240" w:before="120" w:after="0"/>
            <w:rPr>
              <w:color w:val="auto"/>
              <w:sz w:val="24"/>
              <w:szCs w:val="24"/>
            </w:rPr>
          </w:pPr>
          <w:r>
            <w:rPr>
              <w:color w:val="auto"/>
              <w:sz w:val="24"/>
              <w:szCs w:val="24"/>
            </w:rPr>
            <w:t>5.9.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val="auto"/>
              <w:sz w:val="24"/>
              <w:szCs w:val="24"/>
            </w:rPr>
          </w:pPr>
          <w:r>
            <w:rPr>
              <w:color w:val="auto"/>
              <w:sz w:val="24"/>
              <w:szCs w:val="24"/>
            </w:rPr>
            <w:t xml:space="preserve">5.10. Observar o disposto no </w:t>
          </w:r>
          <w:r>
            <w:rPr>
              <w:b/>
              <w:bCs/>
              <w:color w:val="auto"/>
              <w:sz w:val="24"/>
              <w:szCs w:val="24"/>
            </w:rPr>
            <w:t xml:space="preserve">Anexo IV - FOLHA DE DADOS (CGDL 4.1.1) </w:t>
          </w:r>
          <w:r>
            <w:rPr>
              <w:color w:val="auto"/>
              <w:sz w:val="24"/>
              <w:szCs w:val="24"/>
            </w:rPr>
            <w:t>quanto ao</w:t>
          </w:r>
          <w:r>
            <w:rPr>
              <w:b/>
              <w:bCs/>
              <w:color w:val="auto"/>
              <w:sz w:val="24"/>
              <w:szCs w:val="24"/>
            </w:rPr>
            <w:t xml:space="preserve"> </w:t>
          </w:r>
          <w:r>
            <w:rPr>
              <w:color w:val="auto"/>
              <w:sz w:val="24"/>
              <w:szCs w:val="24"/>
            </w:rPr>
            <w:t>tratamento preferencial para Microempresas e Empresas de Pequeno Porte na hipótese do art. 4º, § 1º, I da Lei nº 14.133/2021.</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6. DO CREDENCIAMENTO</w:t>
          </w:r>
        </w:p>
        <w:p>
          <w:pPr>
            <w:pStyle w:val="Normal"/>
            <w:spacing w:lineRule="auto" w:line="240" w:before="120" w:after="0"/>
            <w:rPr>
              <w:color w:val="auto"/>
              <w:sz w:val="24"/>
              <w:szCs w:val="24"/>
            </w:rPr>
          </w:pPr>
          <w:r>
            <w:rPr>
              <w:color w:val="auto"/>
              <w:sz w:val="24"/>
              <w:szCs w:val="24"/>
            </w:rPr>
            <w:t>6.1. Os interessados em participar da presente dispensa de licitação deverão estar regularmente credenciados no Portal do Fornecedor RS</w:t>
          </w:r>
        </w:p>
        <w:p>
          <w:pPr>
            <w:pStyle w:val="Normal"/>
            <w:spacing w:lineRule="auto" w:line="240" w:before="120" w:after="0"/>
            <w:rPr>
              <w:color w:val="auto"/>
              <w:sz w:val="24"/>
              <w:szCs w:val="24"/>
            </w:rPr>
          </w:pPr>
          <w:r>
            <w:rPr>
              <w:color w:val="auto"/>
              <w:sz w:val="24"/>
              <w:szCs w:val="24"/>
            </w:rPr>
            <w:t>6.2. O credenciamento deverá ser solicitado por meio do Portal do Fornecedor RS (</w:t>
          </w:r>
          <w:hyperlink r:id="rId3">
            <w:r>
              <w:rPr>
                <w:rStyle w:val="Hyperlink"/>
                <w:color w:val="auto"/>
                <w:sz w:val="24"/>
                <w:szCs w:val="24"/>
              </w:rPr>
              <w:t>www.portaldofornecedor.rs.gov.br</w:t>
            </w:r>
          </w:hyperlink>
          <w:r>
            <w:rPr>
              <w:color w:val="auto"/>
              <w:sz w:val="24"/>
              <w:szCs w:val="24"/>
            </w:rPr>
            <w:t>).</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7. DA PROPOSTA DE PREÇOS</w:t>
          </w:r>
        </w:p>
        <w:p>
          <w:pPr>
            <w:pStyle w:val="Normal"/>
            <w:spacing w:lineRule="auto" w:line="240" w:before="120" w:after="0"/>
            <w:rPr>
              <w:color w:val="auto"/>
              <w:sz w:val="24"/>
              <w:szCs w:val="24"/>
            </w:rPr>
          </w:pPr>
          <w:r>
            <w:rPr>
              <w:color w:val="auto"/>
              <w:sz w:val="24"/>
              <w:szCs w:val="24"/>
            </w:rPr>
            <w:t xml:space="preserve">7.1. Os participantes deverão encaminhar proposta inicial até a data e hora marcadas para a abertura da sessão conforme </w:t>
          </w:r>
          <w:r>
            <w:rPr>
              <w:b/>
              <w:bCs/>
              <w:color w:val="auto"/>
              <w:sz w:val="24"/>
              <w:szCs w:val="24"/>
            </w:rPr>
            <w:t>ANEXO IV – FOLHA DE DADOS</w:t>
          </w:r>
          <w:r>
            <w:rPr>
              <w:color w:val="auto"/>
              <w:sz w:val="24"/>
              <w:szCs w:val="24"/>
            </w:rPr>
            <w:t xml:space="preserve"> </w:t>
          </w:r>
          <w:r>
            <w:rPr>
              <w:b/>
              <w:bCs/>
              <w:color w:val="auto"/>
              <w:sz w:val="24"/>
              <w:szCs w:val="24"/>
            </w:rPr>
            <w:t>(CGDL 3.1)</w:t>
          </w:r>
          <w:r>
            <w:rPr>
              <w:color w:val="auto"/>
              <w:sz w:val="24"/>
              <w:szCs w:val="24"/>
            </w:rPr>
            <w:t xml:space="preserve">, exclusivamente no sistema eletrônico referido no </w:t>
          </w:r>
          <w:r>
            <w:rPr>
              <w:b/>
              <w:bCs/>
              <w:color w:val="auto"/>
              <w:sz w:val="24"/>
              <w:szCs w:val="24"/>
            </w:rPr>
            <w:t>ANEXO IV – FOLHA DE DADOS (CGDL 2.1)</w:t>
          </w:r>
          <w:r>
            <w:rPr>
              <w:color w:val="auto"/>
              <w:sz w:val="24"/>
              <w:szCs w:val="24"/>
            </w:rPr>
            <w:t xml:space="preserve">, quando se encerrará a fase de recebimento de propostas.  </w:t>
          </w:r>
        </w:p>
        <w:p>
          <w:pPr>
            <w:pStyle w:val="Normal"/>
            <w:spacing w:lineRule="auto" w:line="240" w:before="120" w:after="0"/>
            <w:rPr>
              <w:color w:val="auto"/>
              <w:sz w:val="24"/>
              <w:szCs w:val="24"/>
            </w:rPr>
          </w:pPr>
          <w:r>
            <w:rPr>
              <w:color w:val="auto"/>
              <w:sz w:val="24"/>
              <w:szCs w:val="24"/>
            </w:rPr>
            <w:t xml:space="preserve">7.2. As propostas deverão ter prazo de validade não inferior ao disposto no </w:t>
          </w:r>
          <w:r>
            <w:rPr>
              <w:b/>
              <w:bCs/>
              <w:color w:val="auto"/>
              <w:sz w:val="24"/>
              <w:szCs w:val="24"/>
            </w:rPr>
            <w:t>Anexo IV – FOLHA DE DADOS (CGDL 7.2)</w:t>
          </w:r>
          <w:r>
            <w:rPr>
              <w:color w:val="auto"/>
              <w:sz w:val="24"/>
              <w:szCs w:val="24"/>
            </w:rPr>
            <w:t>, a contar da data da abertura da dispensa de licitação.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7.2.1. Se não constar o prazo de validade, entende-se o do </w:t>
          </w:r>
          <w:r>
            <w:rPr>
              <w:b/>
              <w:bCs/>
              <w:color w:val="auto"/>
              <w:sz w:val="24"/>
              <w:szCs w:val="24"/>
            </w:rPr>
            <w:t>Anexo IV – FOLHA DE DADOS (CGDL 7.2)</w:t>
          </w:r>
          <w:r>
            <w:rPr>
              <w:color w:val="auto"/>
              <w:sz w:val="24"/>
              <w:szCs w:val="24"/>
            </w:rPr>
            <w:t xml:space="preserve">. </w:t>
          </w:r>
        </w:p>
        <w:p>
          <w:pPr>
            <w:pStyle w:val="pf0"/>
            <w:spacing w:beforeAutospacing="0" w:before="120" w:afterAutospacing="0" w:after="0"/>
            <w:rPr>
              <w:spacing w:val="-6"/>
            </w:rPr>
          </w:pPr>
          <w:r>
            <w:rPr>
              <w:spacing w:val="-6"/>
            </w:rPr>
            <w:t>7.3. A proposta de preços inicial deverá conter as características técnicas do serviço ofertado, indicando obrigatória e expressamente, quando houver fornecimento de peça a sua marca e, se for o caso, o modelo.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 No momento do envio da proposta, o participante deverá prestar, por meio do sistema eletrônico, as seguintes declarações: </w:t>
          </w:r>
        </w:p>
        <w:p>
          <w:pPr>
            <w:pStyle w:val="Normal"/>
            <w:tabs>
              <w:tab w:val="clear" w:pos="720"/>
              <w:tab w:val="left" w:pos="6521" w:leader="none"/>
            </w:tabs>
            <w:spacing w:lineRule="auto" w:line="240" w:before="120" w:after="0"/>
            <w:rPr>
              <w:color w:val="auto"/>
              <w:sz w:val="24"/>
              <w:szCs w:val="24"/>
            </w:rPr>
          </w:pPr>
          <w:r>
            <w:rPr>
              <w:color w:val="auto"/>
              <w:sz w:val="24"/>
              <w:szCs w:val="24"/>
            </w:rPr>
            <w:t>7.5.1. que tem conhecimento e atende a todas as exigências de habilitação e especificações técnicas previstas no Termo de Dispensa de Licitação;</w:t>
          </w:r>
        </w:p>
        <w:p>
          <w:pPr>
            <w:pStyle w:val="Normal"/>
            <w:tabs>
              <w:tab w:val="clear" w:pos="720"/>
              <w:tab w:val="left" w:pos="6521" w:leader="none"/>
            </w:tabs>
            <w:spacing w:lineRule="auto" w:line="240" w:before="120" w:after="0"/>
            <w:rPr>
              <w:color w:val="auto"/>
              <w:sz w:val="24"/>
              <w:szCs w:val="24"/>
            </w:rPr>
          </w:pPr>
          <w:r>
            <w:rPr>
              <w:color w:val="auto"/>
              <w:sz w:val="24"/>
              <w:szCs w:val="24"/>
            </w:rPr>
            <w:t>7.5.2. que assume o compromisso de guardar todos os documentos originais/autenticados, anexados eletronicamente, pelo prazo de 10 (dez) anos, e apresentá-los quando requeridos pela Administração Pública;</w:t>
          </w:r>
        </w:p>
        <w:p>
          <w:pPr>
            <w:pStyle w:val="Normal"/>
            <w:tabs>
              <w:tab w:val="clear" w:pos="720"/>
              <w:tab w:val="left" w:pos="6521" w:leader="none"/>
            </w:tabs>
            <w:spacing w:lineRule="auto" w:line="240" w:before="120" w:after="0"/>
            <w:rPr>
              <w:color w:val="auto"/>
              <w:sz w:val="24"/>
              <w:szCs w:val="24"/>
            </w:rPr>
          </w:pPr>
          <w:r>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ＭＳ 明朝" w:eastAsiaTheme="minorEastAsia"/>
              <w:color w:val="auto"/>
              <w:sz w:val="24"/>
              <w:szCs w:val="24"/>
              <w:lang w:eastAsia="en-US"/>
            </w:rPr>
            <w:t>VI do art. 68 da Lei Federal nº 14.133/2021</w:t>
          </w:r>
          <w:r>
            <w:rPr>
              <w:color w:val="auto"/>
              <w:sz w:val="24"/>
              <w:szCs w:val="24"/>
            </w:rPr>
            <w:t xml:space="preserve"> (inciso XXXIII do art. 7º da Constituição Federal);</w:t>
          </w:r>
        </w:p>
        <w:p>
          <w:pPr>
            <w:pStyle w:val="Normal"/>
            <w:tabs>
              <w:tab w:val="clear" w:pos="720"/>
              <w:tab w:val="left" w:pos="6521" w:leader="none"/>
            </w:tabs>
            <w:spacing w:lineRule="auto" w:line="240" w:before="120" w:after="0"/>
            <w:rPr>
              <w:color w:val="auto"/>
              <w:sz w:val="24"/>
              <w:szCs w:val="24"/>
            </w:rPr>
          </w:pPr>
          <w:r>
            <w:rPr>
              <w:color w:val="auto"/>
              <w:sz w:val="24"/>
              <w:szCs w:val="24"/>
            </w:rPr>
            <w:t>7.5.5. que tem conhecimento das condutas passíveis de penalidades, elencadas no item 23 deste Termo de Dispensa de Licitação e aquelas previstas no art. 156 da Lei Federal nº 14.133/2021;</w:t>
          </w:r>
        </w:p>
        <w:p>
          <w:pPr>
            <w:pStyle w:val="Normal"/>
            <w:tabs>
              <w:tab w:val="clear" w:pos="720"/>
              <w:tab w:val="left" w:pos="6521" w:leader="none"/>
            </w:tabs>
            <w:spacing w:lineRule="auto" w:line="240" w:before="120" w:after="0"/>
            <w:rPr>
              <w:color w:val="auto"/>
              <w:sz w:val="24"/>
              <w:szCs w:val="24"/>
            </w:rPr>
          </w:pPr>
          <w:r>
            <w:rPr>
              <w:color w:val="auto"/>
              <w:sz w:val="24"/>
              <w:szCs w:val="24"/>
            </w:rPr>
            <w:t>7.5.6. que até a presente data inexistem fatos impeditivos à sua participação, conforme itens 4 e 5 deste Termo de Dispensa de Licitação, salvo disposição extraordinária prevista em lei específica;</w:t>
          </w:r>
        </w:p>
        <w:p>
          <w:pPr>
            <w:pStyle w:val="Normal"/>
            <w:tabs>
              <w:tab w:val="clear" w:pos="720"/>
              <w:tab w:val="left" w:pos="6521" w:leader="none"/>
            </w:tabs>
            <w:spacing w:lineRule="auto" w:line="240" w:before="120" w:after="0"/>
            <w:rPr>
              <w:color w:val="auto"/>
              <w:sz w:val="24"/>
              <w:szCs w:val="24"/>
            </w:rPr>
          </w:pPr>
          <w:r>
            <w:rPr>
              <w:color w:val="auto"/>
              <w:sz w:val="24"/>
              <w:szCs w:val="24"/>
            </w:rPr>
            <w:t>7.5.</w:t>
          </w:r>
          <w:r>
            <w:rPr>
              <w:rFonts w:eastAsia="Arial"/>
              <w:color w:val="auto"/>
              <w:sz w:val="24"/>
              <w:szCs w:val="24"/>
            </w:rPr>
            <w:t>7. que possui</w:t>
          </w:r>
          <w:r>
            <w:rPr>
              <w:color w:val="auto"/>
              <w:sz w:val="24"/>
              <w:szCs w:val="24"/>
            </w:rPr>
            <w:t xml:space="preserve"> ou </w:t>
          </w:r>
          <w:r>
            <w:rPr>
              <w:rFonts w:eastAsia="Arial"/>
              <w:color w:val="auto"/>
              <w:sz w:val="24"/>
              <w:szCs w:val="24"/>
            </w:rPr>
            <w:t xml:space="preserve">não enquadramento empresarial como Microempresa ou Empresa de Pequeno Porte </w:t>
          </w:r>
          <w:r>
            <w:rPr>
              <w:color w:val="auto"/>
              <w:sz w:val="24"/>
              <w:szCs w:val="24"/>
            </w:rPr>
            <w:t xml:space="preserve">para </w:t>
          </w:r>
          <w:r>
            <w:rPr>
              <w:rFonts w:eastAsia="Arial"/>
              <w:color w:val="auto"/>
              <w:sz w:val="24"/>
              <w:szCs w:val="24"/>
            </w:rPr>
            <w:t xml:space="preserve">fins de </w:t>
          </w:r>
          <w:r>
            <w:rPr>
              <w:color w:val="auto"/>
              <w:sz w:val="24"/>
              <w:szCs w:val="24"/>
            </w:rPr>
            <w:t>obtenção do tratamento diferenciado e favorecido nos termos da Lei Complementar Federal nº 123/2006, se for o caso;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7.5.8. </w:t>
          </w:r>
          <w:r>
            <w:rPr>
              <w:rFonts w:eastAsia="Arial"/>
              <w:color w:val="auto"/>
              <w:sz w:val="24"/>
              <w:szCs w:val="24"/>
            </w:rPr>
            <w:t>que, em sendo ME/EPP, possui ou não contratos celebrados com a</w:t>
          </w:r>
          <w:r>
            <w:rPr>
              <w:color w:val="auto"/>
              <w:sz w:val="24"/>
              <w:szCs w:val="24"/>
            </w:rPr>
            <w:t xml:space="preserve"> Administração Pública</w:t>
          </w:r>
          <w:r>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Pr>
              <w:color w:val="auto"/>
              <w:sz w:val="24"/>
              <w:szCs w:val="24"/>
            </w:rPr>
            <w:t>;</w:t>
          </w:r>
        </w:p>
        <w:p>
          <w:pPr>
            <w:pStyle w:val="Normal"/>
            <w:tabs>
              <w:tab w:val="clear" w:pos="720"/>
              <w:tab w:val="left" w:pos="6521" w:leader="none"/>
            </w:tabs>
            <w:spacing w:lineRule="auto" w:line="240" w:before="120" w:after="0"/>
            <w:rPr>
              <w:rFonts w:eastAsia="Arial"/>
              <w:color w:val="auto"/>
              <w:sz w:val="24"/>
              <w:szCs w:val="24"/>
            </w:rPr>
          </w:pPr>
          <w:r>
            <w:rPr>
              <w:rFonts w:eastAsia="Arial"/>
              <w:color w:val="auto"/>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tabs>
              <w:tab w:val="clear" w:pos="720"/>
              <w:tab w:val="left" w:pos="6521" w:leader="none"/>
            </w:tabs>
            <w:spacing w:lineRule="auto" w:line="240" w:before="120" w:after="0"/>
            <w:rPr>
              <w:rFonts w:eastAsia="Arial"/>
              <w:color w:val="auto"/>
              <w:sz w:val="24"/>
              <w:szCs w:val="24"/>
            </w:rPr>
          </w:pPr>
          <w:r>
            <w:rPr>
              <w:rFonts w:eastAsia="Arial"/>
              <w:color w:val="auto"/>
              <w:sz w:val="24"/>
              <w:szCs w:val="24"/>
            </w:rPr>
            <w:t>7.5.10. que cumpre as exigências de reserva de cargos para pessoa com deficiência e para reabilitado da Previdência Social, previstas em lei e em outras normas específicas.</w:t>
          </w:r>
        </w:p>
        <w:p>
          <w:pPr>
            <w:pStyle w:val="Normal"/>
            <w:tabs>
              <w:tab w:val="clear" w:pos="720"/>
              <w:tab w:val="left" w:pos="6521" w:leader="none"/>
            </w:tabs>
            <w:spacing w:lineRule="auto" w:line="240" w:before="120" w:after="0"/>
            <w:rPr>
              <w:color w:val="auto"/>
              <w:sz w:val="24"/>
              <w:szCs w:val="24"/>
            </w:rPr>
          </w:pPr>
          <w:r>
            <w:rPr>
              <w:color w:val="auto"/>
              <w:sz w:val="24"/>
              <w:szCs w:val="24"/>
            </w:rPr>
            <w:t>7.6. As declarações mencionadas nos subitens anteriores são condicionantes para a participação.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7.8. Até data e hora marcadas como fim do recebimento de propostas, o participante poderá retirar ou substituir a proposta anteriormente apresentada. </w:t>
          </w:r>
        </w:p>
        <w:p>
          <w:pPr>
            <w:pStyle w:val="Normal"/>
            <w:tabs>
              <w:tab w:val="clear" w:pos="720"/>
              <w:tab w:val="left" w:pos="6521" w:leader="none"/>
            </w:tabs>
            <w:spacing w:lineRule="auto" w:line="240" w:before="120" w:after="0"/>
            <w:rPr>
              <w:color w:val="auto"/>
              <w:sz w:val="24"/>
              <w:szCs w:val="24"/>
            </w:rPr>
          </w:pPr>
          <w:r>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tabs>
              <w:tab w:val="clear" w:pos="720"/>
              <w:tab w:val="left" w:pos="6521" w:leader="none"/>
            </w:tabs>
            <w:spacing w:lineRule="auto" w:line="240" w:before="120" w:after="0"/>
            <w:rPr>
              <w:color w:val="auto"/>
              <w:sz w:val="24"/>
              <w:szCs w:val="24"/>
            </w:rPr>
          </w:pPr>
          <w:r>
            <w:rPr>
              <w:color w:val="auto"/>
              <w:sz w:val="24"/>
              <w:szCs w:val="24"/>
            </w:rPr>
            <w:t>7.10. Serão desclassificadas as propostas que não atenderem às exigências do presente Termo, forem omissas ou apresentarem irregularidades.</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7.12. Poderá ser admitida ou exigida a subcontratação, desde que previsto no </w:t>
          </w:r>
          <w:r>
            <w:rPr>
              <w:b/>
              <w:bCs/>
              <w:color w:val="auto"/>
              <w:sz w:val="24"/>
              <w:szCs w:val="24"/>
            </w:rPr>
            <w:t>Anexo IV – FOLHA DE DADOS (CGDL 7.12)</w:t>
          </w:r>
          <w:r>
            <w:rPr>
              <w:color w:val="auto"/>
              <w:sz w:val="24"/>
              <w:szCs w:val="24"/>
            </w:rPr>
            <w:t>.</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7.13. Poderá ser exigida a subcontratação de Microempresas e Empresas de Pequeno Porte, conforme disposto no art. 48, inc. II, da Lei Complementar Federal n° 123/2006, desde que previsto </w:t>
          </w:r>
          <w:r>
            <w:rPr>
              <w:b/>
              <w:bCs/>
              <w:color w:val="auto"/>
              <w:sz w:val="24"/>
              <w:szCs w:val="24"/>
            </w:rPr>
            <w:t>no Anexo IV - FOLHA de Dados (CGDL 7.13)</w:t>
          </w:r>
          <w:r>
            <w:rPr>
              <w:color w:val="auto"/>
              <w:sz w:val="24"/>
              <w:szCs w:val="24"/>
            </w:rPr>
            <w:t xml:space="preserve">.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pPr>
            <w:pStyle w:val="Normal"/>
            <w:tabs>
              <w:tab w:val="clear" w:pos="720"/>
              <w:tab w:val="left" w:pos="6521" w:leader="none"/>
            </w:tabs>
            <w:spacing w:lineRule="auto" w:line="240" w:before="120" w:after="0"/>
            <w:rPr>
              <w:color w:val="auto"/>
              <w:sz w:val="24"/>
              <w:szCs w:val="24"/>
            </w:rPr>
          </w:pPr>
          <w:r>
            <w:rPr>
              <w:color w:val="auto"/>
              <w:sz w:val="24"/>
              <w:szCs w:val="24"/>
            </w:rPr>
            <w:t>7.15.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7.17. As propostas encaminhadas por Cooperativas de Trabalho não terão qualquer tipo de acréscimo para fins de julgamento. </w:t>
          </w:r>
        </w:p>
        <w:p>
          <w:pPr>
            <w:pStyle w:val="Normal"/>
            <w:spacing w:lineRule="auto" w:line="240" w:before="120" w:after="0"/>
            <w:rPr>
              <w:color w:val="auto"/>
              <w:sz w:val="24"/>
              <w:szCs w:val="24"/>
            </w:rPr>
          </w:pPr>
          <w:r>
            <w:rPr>
              <w:color w:val="auto"/>
              <w:sz w:val="24"/>
              <w:szCs w:val="24"/>
            </w:rPr>
            <w:t xml:space="preserve">7.18. As propostas ficarão disponíveis no sistema eletrônico informado no </w:t>
          </w:r>
          <w:r>
            <w:rPr>
              <w:b/>
              <w:bCs/>
              <w:color w:val="auto"/>
              <w:sz w:val="24"/>
              <w:szCs w:val="24"/>
            </w:rPr>
            <w:t>ANEXO IV – FOLHA DE DADOS (CGDL 2.1)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8. DA OPERACIONALIZAÇÃO DA SESSÃO ELETRÔNICA</w:t>
          </w:r>
        </w:p>
        <w:p>
          <w:pPr>
            <w:pStyle w:val="Normal"/>
            <w:spacing w:lineRule="auto" w:line="240" w:before="120" w:after="0"/>
            <w:rPr>
              <w:color w:val="auto"/>
              <w:sz w:val="24"/>
              <w:szCs w:val="24"/>
            </w:rPr>
          </w:pPr>
          <w:r>
            <w:rPr>
              <w:color w:val="auto"/>
              <w:sz w:val="24"/>
              <w:szCs w:val="24"/>
            </w:rPr>
            <w:t>8.1. Os trabalhos serão conduzidos pelo agente de contratação.</w:t>
          </w:r>
        </w:p>
        <w:p>
          <w:pPr>
            <w:pStyle w:val="Normal"/>
            <w:spacing w:lineRule="auto" w:line="240" w:before="120" w:after="0"/>
            <w:rPr>
              <w:color w:val="auto"/>
              <w:sz w:val="24"/>
              <w:szCs w:val="24"/>
            </w:rPr>
          </w:pPr>
          <w:r>
            <w:rPr>
              <w:color w:val="auto"/>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color w:val="auto"/>
              <w:sz w:val="24"/>
              <w:szCs w:val="24"/>
            </w:rPr>
          </w:pPr>
          <w:r>
            <w:rPr>
              <w:color w:val="auto"/>
              <w:sz w:val="24"/>
              <w:szCs w:val="24"/>
            </w:rPr>
            <w:t xml:space="preserve">8.3. O encaminhamento da proposta pressupõe o pleno conhecimento e atendimento das exigências de habilitação previstas. </w:t>
          </w:r>
        </w:p>
        <w:p>
          <w:pPr>
            <w:pStyle w:val="Normal"/>
            <w:spacing w:lineRule="auto" w:line="240" w:before="120" w:after="0"/>
            <w:rPr>
              <w:color w:val="auto"/>
              <w:sz w:val="24"/>
              <w:szCs w:val="24"/>
            </w:rPr>
          </w:pPr>
          <w:r>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pPr>
            <w:pStyle w:val="Normal"/>
            <w:spacing w:lineRule="auto" w:line="240" w:before="120" w:after="0"/>
            <w:rPr>
              <w:color w:val="auto"/>
              <w:sz w:val="24"/>
              <w:szCs w:val="24"/>
            </w:rPr>
          </w:pPr>
          <w:r>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w:pPr>
            <w:pStyle w:val="Normal"/>
            <w:spacing w:lineRule="auto" w:line="240" w:before="120" w:after="0"/>
            <w:rPr>
              <w:color w:val="auto"/>
              <w:sz w:val="24"/>
              <w:szCs w:val="24"/>
            </w:rPr>
          </w:pPr>
          <w:r>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Normal"/>
            <w:spacing w:lineRule="auto" w:line="240" w:before="120" w:after="0"/>
            <w:rPr>
              <w:color w:val="auto"/>
              <w:sz w:val="24"/>
              <w:szCs w:val="24"/>
            </w:rPr>
          </w:pPr>
          <w:r>
            <w:rPr>
              <w:color w:val="auto"/>
              <w:sz w:val="24"/>
              <w:szCs w:val="24"/>
            </w:rPr>
            <w:t>8.6. No caso de desconexão do participante, o mesmo deverá de imediato, sob sua inteira responsabilidade, providenciar sua conexão ao sistema.</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9. DA REFERÊNCIA DE TEMPO</w:t>
          </w:r>
        </w:p>
        <w:p>
          <w:pPr>
            <w:pStyle w:val="Normal"/>
            <w:spacing w:lineRule="auto" w:line="240" w:before="120" w:after="0"/>
            <w:rPr>
              <w:color w:val="auto"/>
              <w:sz w:val="24"/>
              <w:szCs w:val="24"/>
            </w:rPr>
          </w:pPr>
          <w:r>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10. DA ABERTURA DA PROPOSTA E DA ETAPA COMPETITIVA</w:t>
          </w:r>
        </w:p>
        <w:p>
          <w:pPr>
            <w:pStyle w:val="Normal"/>
            <w:spacing w:lineRule="auto" w:line="240" w:before="120" w:after="0"/>
            <w:rPr>
              <w:color w:val="auto"/>
              <w:sz w:val="24"/>
              <w:szCs w:val="24"/>
            </w:rPr>
          </w:pPr>
          <w:r>
            <w:rPr>
              <w:color w:val="auto"/>
              <w:sz w:val="24"/>
              <w:szCs w:val="24"/>
            </w:rPr>
            <w:t xml:space="preserve">10.1. A abertura da sessão pública ocorrerá na data e na hora indicadas no </w:t>
          </w:r>
          <w:r>
            <w:rPr>
              <w:b/>
              <w:bCs/>
              <w:color w:val="auto"/>
              <w:sz w:val="24"/>
              <w:szCs w:val="24"/>
            </w:rPr>
            <w:t>Anexo IV – FOLHA DE DADOS (CGDL 3.1)</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color w:val="auto"/>
              <w:sz w:val="24"/>
              <w:szCs w:val="24"/>
            </w:rPr>
          </w:pPr>
          <w:r>
            <w:rPr>
              <w:color w:val="auto"/>
              <w:sz w:val="24"/>
              <w:szCs w:val="24"/>
            </w:rPr>
            <w:t xml:space="preserve">10.2.1. Não será aceito nenhum outro tipo de contato, como meio telefônico ou </w:t>
          </w:r>
          <w:r>
            <w:rPr>
              <w:i/>
              <w:color w:val="auto"/>
              <w:sz w:val="24"/>
              <w:szCs w:val="24"/>
            </w:rPr>
            <w:t>e-mail</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10.3. O Critério de Julgamento será conforme o </w:t>
          </w:r>
          <w:r>
            <w:rPr>
              <w:b/>
              <w:bCs/>
              <w:color w:val="auto"/>
              <w:sz w:val="24"/>
              <w:szCs w:val="24"/>
            </w:rPr>
            <w:t>Anexo IV - FOLHA DE DADOS (CGDL 10.3)</w:t>
          </w:r>
          <w:r>
            <w:rPr>
              <w:color w:val="auto"/>
              <w:sz w:val="24"/>
              <w:szCs w:val="24"/>
            </w:rPr>
            <w:t>.</w:t>
          </w:r>
        </w:p>
        <w:p>
          <w:pPr>
            <w:pStyle w:val="Normal"/>
            <w:spacing w:lineRule="auto" w:line="240" w:before="120" w:after="0"/>
            <w:rPr>
              <w:color w:val="auto"/>
              <w:sz w:val="24"/>
              <w:szCs w:val="24"/>
            </w:rPr>
          </w:pPr>
          <w:r>
            <w:rPr>
              <w:color w:val="auto"/>
              <w:sz w:val="24"/>
              <w:szCs w:val="24"/>
            </w:rPr>
            <w:t xml:space="preserve">10.3.1 Considera-se melhor lance o menor valor ou a maior taxa de desconto. </w:t>
          </w:r>
        </w:p>
        <w:p>
          <w:pPr>
            <w:pStyle w:val="Normal"/>
            <w:spacing w:lineRule="auto" w:line="240" w:before="120" w:after="0"/>
            <w:rPr>
              <w:color w:val="auto"/>
              <w:sz w:val="24"/>
              <w:szCs w:val="24"/>
            </w:rPr>
          </w:pPr>
          <w:r>
            <w:rPr>
              <w:color w:val="auto"/>
              <w:sz w:val="24"/>
              <w:szCs w:val="24"/>
            </w:rPr>
            <w:t xml:space="preserve">10.4. A partir da abertura das propostas, os participantes terão conhecimento dos valores ofertados. </w:t>
          </w:r>
        </w:p>
        <w:p>
          <w:pPr>
            <w:pStyle w:val="Normal"/>
            <w:spacing w:lineRule="auto" w:line="240" w:before="120" w:after="0"/>
            <w:rPr>
              <w:color w:val="auto"/>
              <w:sz w:val="24"/>
              <w:szCs w:val="24"/>
            </w:rPr>
          </w:pPr>
          <w:r>
            <w:rPr>
              <w:color w:val="auto"/>
              <w:sz w:val="24"/>
              <w:szCs w:val="24"/>
            </w:rPr>
            <w:t>10.4.1. Durante o transcurso da sessão, os participantes terão informações, em tempo real, do valor do melhor lance registrado, mantendo-se em sigilo a identificação do ofertante.</w:t>
          </w:r>
          <w:r>
            <w:rPr>
              <w:b/>
              <w:bCs/>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10.5. A partir do momento de início da etapa de lances, os participantes poderão formular melhor lance, sendo informados sobre seu recebimento, com indicação de horário e valor. </w:t>
          </w:r>
        </w:p>
        <w:p>
          <w:pPr>
            <w:pStyle w:val="Normal"/>
            <w:spacing w:lineRule="auto" w:line="240" w:before="120" w:after="0"/>
            <w:rPr>
              <w:color w:val="auto"/>
              <w:sz w:val="24"/>
              <w:szCs w:val="24"/>
            </w:rPr>
          </w:pPr>
          <w:r>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color w:val="auto"/>
              <w:sz w:val="24"/>
              <w:szCs w:val="24"/>
            </w:rPr>
            <w:t>Anexo IV – FOLHA DE DADOS (CGDL 10.5.1)</w:t>
          </w:r>
          <w:r>
            <w:rPr>
              <w:color w:val="auto"/>
              <w:sz w:val="24"/>
              <w:szCs w:val="24"/>
            </w:rPr>
            <w:t>.</w:t>
          </w:r>
        </w:p>
        <w:p>
          <w:pPr>
            <w:pStyle w:val="Normal"/>
            <w:spacing w:lineRule="auto" w:line="240" w:before="120" w:after="0"/>
            <w:rPr>
              <w:i/>
              <w:i/>
              <w:color w:val="auto"/>
              <w:sz w:val="24"/>
              <w:szCs w:val="24"/>
            </w:rPr>
          </w:pPr>
          <w:r>
            <w:rPr>
              <w:color w:val="auto"/>
              <w:sz w:val="24"/>
              <w:szCs w:val="24"/>
            </w:rPr>
            <w:t>10.5.2. Não serão aceitos dois ou mais lances iguais, prevalecendo aquele que for recebido e registrado primeiro.</w:t>
          </w:r>
        </w:p>
        <w:p>
          <w:pPr>
            <w:pStyle w:val="Normal"/>
            <w:spacing w:lineRule="auto" w:line="240" w:before="120" w:after="0"/>
            <w:rPr>
              <w:color w:val="auto"/>
              <w:sz w:val="24"/>
              <w:szCs w:val="24"/>
            </w:rPr>
          </w:pPr>
          <w:r>
            <w:rPr>
              <w:color w:val="auto"/>
              <w:sz w:val="24"/>
              <w:szCs w:val="24"/>
            </w:rPr>
            <w:t xml:space="preserve">10.5.3. Será permitida a apresentação de lances intermediários. </w:t>
          </w:r>
        </w:p>
        <w:p>
          <w:pPr>
            <w:pStyle w:val="Normal"/>
            <w:spacing w:lineRule="auto" w:line="240" w:before="120" w:after="0"/>
            <w:rPr>
              <w:color w:val="auto"/>
              <w:sz w:val="24"/>
              <w:szCs w:val="24"/>
            </w:rPr>
          </w:pPr>
          <w:bookmarkStart w:id="39" w:name="_heading=h.30j0zll"/>
          <w:bookmarkEnd w:id="39"/>
          <w:r>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Normal"/>
            <w:spacing w:lineRule="auto" w:line="240" w:before="120" w:after="0"/>
            <w:rPr>
              <w:color w:val="auto"/>
              <w:sz w:val="24"/>
              <w:szCs w:val="24"/>
            </w:rPr>
          </w:pPr>
          <w:r>
            <w:rPr>
              <w:color w:val="auto"/>
              <w:sz w:val="24"/>
              <w:szCs w:val="24"/>
            </w:rPr>
            <w:t xml:space="preserve">10.7. Caso o participante não apresente lances, concorrerá com o valor de sua proposta. </w:t>
          </w:r>
        </w:p>
        <w:p>
          <w:pPr>
            <w:pStyle w:val="Normal"/>
            <w:spacing w:lineRule="auto" w:line="240" w:before="120" w:after="0"/>
            <w:rPr>
              <w:color w:val="auto"/>
              <w:sz w:val="24"/>
              <w:szCs w:val="24"/>
            </w:rPr>
          </w:pPr>
          <w:r>
            <w:rPr>
              <w:color w:val="auto"/>
              <w:sz w:val="24"/>
              <w:szCs w:val="24"/>
            </w:rPr>
            <w:t>10.8. Durante a fase de lances, o agente de contratação poderá excluir, justificadamente, lance cujo valor seja manifestamente inexequível.</w:t>
          </w:r>
        </w:p>
        <w:p>
          <w:pPr>
            <w:pStyle w:val="Normal"/>
            <w:spacing w:lineRule="auto" w:line="240" w:before="120" w:after="0"/>
            <w:rPr>
              <w:color w:val="auto"/>
              <w:sz w:val="24"/>
              <w:szCs w:val="24"/>
            </w:rPr>
          </w:pPr>
          <w:r>
            <w:rPr>
              <w:color w:val="auto"/>
              <w:sz w:val="24"/>
              <w:szCs w:val="24"/>
            </w:rPr>
            <w:t>10.9. A disputa ocorrerá pelo modo aberto.</w:t>
          </w:r>
        </w:p>
        <w:p>
          <w:pPr>
            <w:pStyle w:val="Normal"/>
            <w:spacing w:lineRule="auto" w:line="240" w:before="120" w:after="0"/>
            <w:rPr>
              <w:color w:val="auto"/>
              <w:sz w:val="24"/>
              <w:szCs w:val="24"/>
            </w:rPr>
          </w:pPr>
          <w:r>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color w:val="auto"/>
              <w:sz w:val="24"/>
              <w:szCs w:val="24"/>
            </w:rPr>
          </w:pPr>
          <w:r>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color w:val="auto"/>
              <w:sz w:val="24"/>
              <w:szCs w:val="24"/>
            </w:rPr>
          </w:pPr>
          <w:r>
            <w:rPr>
              <w:color w:val="auto"/>
              <w:sz w:val="24"/>
              <w:szCs w:val="24"/>
            </w:rPr>
            <w:t xml:space="preserve">10.10.2. Na hipótese de não haver novos lances, na forma estabelecida no </w:t>
          </w:r>
          <w:r>
            <w:rPr>
              <w:b/>
              <w:bCs/>
              <w:color w:val="auto"/>
              <w:sz w:val="24"/>
              <w:szCs w:val="24"/>
            </w:rPr>
            <w:t>subitem 10.10</w:t>
          </w:r>
          <w:r>
            <w:rPr>
              <w:color w:val="auto"/>
              <w:sz w:val="24"/>
              <w:szCs w:val="24"/>
            </w:rPr>
            <w:t xml:space="preserve"> deste Termo, a sessão pública será encerrada automaticamente.</w:t>
          </w:r>
        </w:p>
        <w:p>
          <w:pPr>
            <w:pStyle w:val="Normal"/>
            <w:spacing w:lineRule="auto" w:line="240" w:before="120" w:after="0"/>
            <w:rPr>
              <w:color w:val="auto"/>
              <w:sz w:val="24"/>
              <w:szCs w:val="24"/>
            </w:rPr>
          </w:pPr>
          <w:r>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color w:val="auto"/>
              <w:sz w:val="24"/>
              <w:szCs w:val="24"/>
            </w:rPr>
            <w:t>subitem 10.10</w:t>
          </w:r>
          <w:r>
            <w:rPr>
              <w:color w:val="auto"/>
              <w:sz w:val="24"/>
              <w:szCs w:val="24"/>
            </w:rPr>
            <w:t>, para a definição das demais colocações.</w:t>
          </w:r>
        </w:p>
        <w:p>
          <w:pPr>
            <w:pStyle w:val="Normal"/>
            <w:spacing w:lineRule="auto" w:line="240" w:before="120" w:after="0"/>
            <w:rPr>
              <w:color w:val="auto"/>
              <w:sz w:val="24"/>
              <w:szCs w:val="24"/>
            </w:rPr>
          </w:pPr>
          <w:r>
            <w:rPr>
              <w:color w:val="auto"/>
              <w:sz w:val="24"/>
              <w:szCs w:val="24"/>
            </w:rPr>
            <w:t xml:space="preserve">10.12. Definida a proposta vencedora, para fins de empate ficto, aplica-se o disposto no </w:t>
          </w:r>
          <w:r>
            <w:rPr>
              <w:b/>
              <w:bCs/>
              <w:color w:val="auto"/>
              <w:sz w:val="24"/>
              <w:szCs w:val="24"/>
            </w:rPr>
            <w:t>item 5</w:t>
          </w:r>
          <w:r>
            <w:rPr>
              <w:color w:val="auto"/>
              <w:sz w:val="24"/>
              <w:szCs w:val="24"/>
            </w:rPr>
            <w:t xml:space="preserve"> deste Termo, se for o caso.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11. DA NEGOCIAÇÃO </w:t>
          </w:r>
        </w:p>
        <w:p>
          <w:pPr>
            <w:pStyle w:val="Normal"/>
            <w:spacing w:lineRule="auto" w:line="240" w:before="120" w:after="0"/>
            <w:rPr>
              <w:color w:val="auto"/>
              <w:sz w:val="24"/>
              <w:szCs w:val="24"/>
            </w:rPr>
          </w:pPr>
          <w:r>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pPr>
            <w:pStyle w:val="Normal"/>
            <w:spacing w:lineRule="auto" w:line="240" w:before="120" w:after="0"/>
            <w:rPr>
              <w:color w:val="auto"/>
              <w:sz w:val="24"/>
              <w:szCs w:val="24"/>
            </w:rPr>
          </w:pPr>
          <w:r>
            <w:rPr>
              <w:color w:val="auto"/>
              <w:sz w:val="24"/>
              <w:szCs w:val="24"/>
            </w:rPr>
            <w:t>11.2. A negociação será realizada por meio do sistema, podendo ser acompanhada pelos demais participantes.</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 xml:space="preserve">12. DA ACEITABILIDADE E DO JULGAMENTO DAS PROPOSTAS </w:t>
          </w:r>
        </w:p>
        <w:p>
          <w:pPr>
            <w:pStyle w:val="Normal"/>
            <w:spacing w:lineRule="auto" w:line="240" w:before="120" w:after="0"/>
            <w:rPr>
              <w:color w:val="auto"/>
              <w:sz w:val="24"/>
              <w:szCs w:val="24"/>
            </w:rPr>
          </w:pPr>
          <w:r>
            <w:rPr>
              <w:color w:val="auto"/>
              <w:sz w:val="24"/>
              <w:szCs w:val="24"/>
            </w:rPr>
            <w:t xml:space="preserve">12.1. </w:t>
          </w:r>
          <w:r>
            <w:rPr>
              <w:rFonts w:eastAsia="ＭＳ 明朝" w:eastAsiaTheme="minorEastAsia"/>
              <w:color w:val="auto"/>
              <w:sz w:val="24"/>
              <w:szCs w:val="24"/>
              <w:lang w:eastAsia="en-US"/>
            </w:rPr>
            <w:t>O agente de contratação convocará o</w:t>
          </w:r>
          <w:r>
            <w:rPr>
              <w:color w:val="auto"/>
              <w:sz w:val="24"/>
              <w:szCs w:val="24"/>
            </w:rPr>
            <w:t xml:space="preserve"> participante classificado em primeiro lugar, </w:t>
          </w:r>
          <w:r>
            <w:rPr>
              <w:rFonts w:eastAsia="ＭＳ 明朝" w:eastAsiaTheme="minorEastAsia"/>
              <w:color w:val="auto"/>
              <w:sz w:val="24"/>
              <w:szCs w:val="24"/>
              <w:lang w:eastAsia="en-US"/>
            </w:rPr>
            <w:t>para, em</w:t>
          </w:r>
          <w:r>
            <w:rPr>
              <w:color w:val="auto"/>
              <w:sz w:val="24"/>
              <w:szCs w:val="24"/>
            </w:rPr>
            <w:t xml:space="preserve"> prazo </w:t>
          </w:r>
          <w:r>
            <w:rPr>
              <w:rFonts w:eastAsia="ＭＳ 明朝" w:eastAsiaTheme="minorEastAsia"/>
              <w:color w:val="auto"/>
              <w:sz w:val="24"/>
              <w:szCs w:val="24"/>
              <w:lang w:eastAsia="en-US"/>
            </w:rPr>
            <w:t>não inferior a 01 (uma) hora,</w:t>
          </w:r>
          <w:r>
            <w:rPr>
              <w:color w:val="auto"/>
              <w:sz w:val="24"/>
              <w:szCs w:val="24"/>
            </w:rPr>
            <w:t xml:space="preserve"> encaminhar </w:t>
          </w:r>
          <w:r>
            <w:rPr>
              <w:rFonts w:eastAsia="ＭＳ 明朝" w:eastAsiaTheme="minorEastAsia"/>
              <w:color w:val="auto"/>
              <w:sz w:val="24"/>
              <w:szCs w:val="24"/>
              <w:lang w:eastAsia="en-US"/>
            </w:rPr>
            <w:t xml:space="preserve">por meio eletrônico indicado no </w:t>
          </w:r>
          <w:r>
            <w:rPr>
              <w:rFonts w:eastAsia="ＭＳ 明朝" w:eastAsiaTheme="minorEastAsia"/>
              <w:b/>
              <w:bCs/>
              <w:color w:val="auto"/>
              <w:sz w:val="24"/>
              <w:szCs w:val="24"/>
            </w:rPr>
            <w:t>Anexo IV - FOLHA DE DADOS (</w:t>
          </w:r>
          <w:r>
            <w:rPr>
              <w:b/>
              <w:bCs/>
              <w:color w:val="auto"/>
              <w:sz w:val="24"/>
              <w:szCs w:val="24"/>
            </w:rPr>
            <w:t>CGDL</w:t>
          </w:r>
          <w:r>
            <w:rPr>
              <w:rFonts w:eastAsia="ＭＳ 明朝" w:eastAsiaTheme="minorEastAsia"/>
              <w:color w:val="auto"/>
              <w:sz w:val="24"/>
              <w:szCs w:val="24"/>
              <w:lang w:eastAsia="en-US"/>
            </w:rPr>
            <w:t xml:space="preserve"> </w:t>
          </w:r>
          <w:r>
            <w:rPr>
              <w:rFonts w:eastAsia="ＭＳ 明朝" w:eastAsiaTheme="minorEastAsia"/>
              <w:b/>
              <w:bCs/>
              <w:color w:val="auto"/>
              <w:sz w:val="24"/>
              <w:szCs w:val="24"/>
            </w:rPr>
            <w:t>2.2),</w:t>
          </w:r>
          <w:r>
            <w:rPr>
              <w:color w:val="auto"/>
              <w:sz w:val="24"/>
              <w:szCs w:val="24"/>
            </w:rPr>
            <w:t xml:space="preserve"> a proposta de preço acompanhada do Anexo II – Planilha de Custos e Formação de Preços devidamente preenchida.</w:t>
          </w:r>
        </w:p>
        <w:p>
          <w:pPr>
            <w:pStyle w:val="Normal"/>
            <w:spacing w:lineRule="auto" w:line="240" w:before="120" w:after="0"/>
            <w:rPr>
              <w:rFonts w:eastAsia="ＭＳ 明朝" w:eastAsiaTheme="minorEastAsia"/>
              <w:color w:val="auto"/>
              <w:sz w:val="24"/>
              <w:szCs w:val="24"/>
              <w:lang w:eastAsia="en-US"/>
            </w:rPr>
          </w:pPr>
          <w:r>
            <w:rPr>
              <w:color w:val="auto"/>
              <w:sz w:val="24"/>
              <w:szCs w:val="24"/>
            </w:rPr>
            <w:t xml:space="preserve">12.1.1. A proposta de preço </w:t>
          </w:r>
          <w:r>
            <w:rPr>
              <w:rFonts w:eastAsia="ＭＳ 明朝" w:eastAsiaTheme="minorEastAsia"/>
              <w:color w:val="auto"/>
              <w:sz w:val="24"/>
              <w:szCs w:val="24"/>
              <w:lang w:eastAsia="en-US"/>
            </w:rPr>
            <w:t>fará parte do contrato, como seu anexo.</w:t>
          </w:r>
        </w:p>
        <w:p>
          <w:pPr>
            <w:pStyle w:val="Normal"/>
            <w:spacing w:lineRule="auto" w:line="240" w:before="120" w:after="0"/>
            <w:rPr>
              <w:rFonts w:eastAsia="ＭＳ 明朝" w:eastAsiaTheme="minorEastAsia"/>
              <w:color w:val="auto"/>
              <w:sz w:val="24"/>
              <w:szCs w:val="24"/>
              <w:lang w:eastAsia="en-US"/>
            </w:rPr>
          </w:pPr>
          <w:r>
            <w:rPr>
              <w:rFonts w:eastAsia="ＭＳ 明朝"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pPr>
            <w:pStyle w:val="Normal"/>
            <w:spacing w:lineRule="auto" w:line="240" w:before="120" w:after="0"/>
            <w:rPr>
              <w:color w:val="auto"/>
              <w:sz w:val="24"/>
              <w:szCs w:val="24"/>
            </w:rPr>
          </w:pPr>
          <w:r>
            <w:rPr>
              <w:color w:val="auto"/>
              <w:sz w:val="24"/>
              <w:szCs w:val="24"/>
            </w:rPr>
            <w:t>12.2. O participante que abandonar o certame, deixando de enviar a documentação solicitada, será desclassificado e estará sujeito às sanções previstas neste Termo.</w:t>
          </w:r>
        </w:p>
        <w:p>
          <w:pPr>
            <w:pStyle w:val="Normal"/>
            <w:spacing w:lineRule="auto" w:line="240" w:before="120" w:after="0"/>
            <w:rPr>
              <w:color w:val="auto"/>
              <w:sz w:val="24"/>
              <w:szCs w:val="24"/>
            </w:rPr>
          </w:pPr>
          <w:r>
            <w:rPr>
              <w:color w:val="auto"/>
              <w:sz w:val="24"/>
              <w:szCs w:val="24"/>
            </w:rPr>
            <w:t>12.3. O agente de contratação poderá solicitar parecer de técnicos pertencentes ao quadro de pessoal do órgão ou entidade contratante ou de terceiros, para orientar sua decisão.</w:t>
          </w:r>
        </w:p>
        <w:p>
          <w:pPr>
            <w:pStyle w:val="Normal"/>
            <w:spacing w:lineRule="auto" w:line="240" w:before="120" w:after="0"/>
            <w:rPr>
              <w:color w:val="auto"/>
              <w:sz w:val="24"/>
              <w:szCs w:val="24"/>
            </w:rPr>
          </w:pPr>
          <w:r>
            <w:rPr>
              <w:color w:val="auto"/>
              <w:sz w:val="24"/>
              <w:szCs w:val="24"/>
            </w:rPr>
            <w:t>12.4. Não se considerará qualquer oferta de vantagem não prevista neste Termo, inclusive financiamentos subsidiados ou a fundo perdido.</w:t>
          </w:r>
        </w:p>
        <w:p>
          <w:pPr>
            <w:pStyle w:val="Normal"/>
            <w:spacing w:lineRule="auto" w:line="240" w:before="120" w:after="0"/>
            <w:rPr>
              <w:color w:val="auto"/>
              <w:sz w:val="24"/>
              <w:szCs w:val="24"/>
            </w:rPr>
          </w:pPr>
          <w:r>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color w:val="auto"/>
              <w:sz w:val="24"/>
              <w:szCs w:val="24"/>
            </w:rPr>
          </w:pPr>
          <w:r>
            <w:rPr>
              <w:color w:val="auto"/>
              <w:sz w:val="24"/>
              <w:szCs w:val="24"/>
            </w:rPr>
            <w:t>12.6. Na verificação da conformidade da melhor proposta apresentada com os requisitos deste Termo, será desclassificada aquela que</w:t>
          </w:r>
          <w:r>
            <w:rPr>
              <w:rFonts w:eastAsia="ＭＳ 明朝" w:eastAsiaTheme="minorEastAsia"/>
              <w:color w:val="auto"/>
              <w:sz w:val="24"/>
              <w:szCs w:val="24"/>
              <w:lang w:eastAsia="en-US"/>
            </w:rPr>
            <w:t xml:space="preserve"> </w:t>
          </w:r>
          <w:r>
            <w:rPr>
              <w:color w:val="auto"/>
              <w:sz w:val="24"/>
              <w:szCs w:val="24"/>
            </w:rPr>
            <w:t>se enquadrar nas hipóteses previstas nos incisos do art. 59 da Lei Federal nº 14.133/2021.</w:t>
          </w:r>
        </w:p>
        <w:p>
          <w:pPr>
            <w:pStyle w:val="Normal"/>
            <w:spacing w:lineRule="auto" w:line="240" w:before="120" w:after="0"/>
            <w:rPr>
              <w:rFonts w:eastAsia="ＭＳ 明朝" w:eastAsiaTheme="minorEastAsia"/>
              <w:b/>
              <w:bCs/>
              <w:color w:val="auto"/>
              <w:sz w:val="24"/>
              <w:szCs w:val="24"/>
              <w:lang w:eastAsia="en-US"/>
            </w:rPr>
          </w:pPr>
          <w:r>
            <w:rPr>
              <w:color w:val="auto"/>
              <w:sz w:val="24"/>
              <w:szCs w:val="24"/>
            </w:rPr>
            <w:t>12.6.1. O</w:t>
          </w:r>
          <w:r>
            <w:rPr>
              <w:rFonts w:eastAsia="ＭＳ 明朝" w:eastAsiaTheme="minorEastAsia"/>
              <w:color w:val="auto"/>
              <w:sz w:val="24"/>
              <w:szCs w:val="24"/>
              <w:lang w:eastAsia="en-US"/>
            </w:rPr>
            <w:t>s</w:t>
          </w:r>
          <w:r>
            <w:rPr>
              <w:color w:val="auto"/>
              <w:sz w:val="24"/>
              <w:szCs w:val="24"/>
            </w:rPr>
            <w:t xml:space="preserve"> preços </w:t>
          </w:r>
          <w:r>
            <w:rPr>
              <w:rFonts w:eastAsia="ＭＳ 明朝" w:eastAsiaTheme="minorEastAsia"/>
              <w:color w:val="auto"/>
              <w:sz w:val="24"/>
              <w:szCs w:val="24"/>
              <w:lang w:eastAsia="en-US"/>
            </w:rPr>
            <w:t>deverão estar de acordo</w:t>
          </w:r>
          <w:r>
            <w:rPr>
              <w:color w:val="auto"/>
              <w:sz w:val="24"/>
              <w:szCs w:val="24"/>
            </w:rPr>
            <w:t xml:space="preserve"> com os critérios de aceitabilidade estabelecidos no </w:t>
          </w:r>
          <w:r>
            <w:rPr>
              <w:b/>
              <w:bCs/>
              <w:color w:val="auto"/>
              <w:sz w:val="24"/>
              <w:szCs w:val="24"/>
            </w:rPr>
            <w:t>Anexo IV - FOLHA DE DADOS (CGDL 12.6.</w:t>
          </w:r>
          <w:r>
            <w:rPr>
              <w:rFonts w:eastAsia="ＭＳ 明朝" w:eastAsiaTheme="minorEastAsia"/>
              <w:b/>
              <w:bCs/>
              <w:color w:val="auto"/>
              <w:sz w:val="24"/>
              <w:szCs w:val="24"/>
              <w:lang w:eastAsia="en-US"/>
            </w:rPr>
            <w:t>1).</w:t>
          </w:r>
        </w:p>
        <w:p>
          <w:pPr>
            <w:pStyle w:val="Normal"/>
            <w:spacing w:lineRule="auto" w:line="240" w:before="120" w:after="0"/>
            <w:rPr>
              <w:color w:val="auto"/>
              <w:sz w:val="24"/>
              <w:szCs w:val="24"/>
            </w:rPr>
          </w:pPr>
          <w:r>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pPr>
            <w:pStyle w:val="Normal"/>
            <w:spacing w:lineRule="auto" w:line="240" w:before="120" w:after="0"/>
            <w:rPr>
              <w:color w:val="auto"/>
              <w:sz w:val="24"/>
              <w:szCs w:val="24"/>
            </w:rPr>
          </w:pPr>
          <w:r>
            <w:rPr>
              <w:color w:val="auto"/>
              <w:sz w:val="24"/>
              <w:szCs w:val="24"/>
            </w:rPr>
            <w:t>12.7. Em caso de divergência entre valores grafados em algarismos e por extenso, prevalecerá o valor por extenso</w:t>
          </w:r>
          <w:r>
            <w:rPr>
              <w:rFonts w:eastAsia="Calibri" w:eastAsiaTheme="minorHAnsi"/>
              <w:color w:val="auto"/>
              <w:sz w:val="24"/>
              <w:szCs w:val="24"/>
            </w:rPr>
            <w:t>.</w:t>
          </w:r>
        </w:p>
        <w:p>
          <w:pPr>
            <w:pStyle w:val="Normal"/>
            <w:spacing w:lineRule="auto" w:line="240" w:before="120" w:after="0"/>
            <w:rPr>
              <w:color w:val="auto"/>
              <w:sz w:val="24"/>
              <w:szCs w:val="24"/>
            </w:rPr>
          </w:pPr>
          <w:r>
            <w:rPr>
              <w:color w:val="auto"/>
              <w:sz w:val="24"/>
              <w:szCs w:val="24"/>
            </w:rPr>
            <w:t xml:space="preserve">12.8. </w:t>
          </w:r>
          <w:r>
            <w:rPr>
              <w:rFonts w:eastAsia="ＭＳ 明朝" w:eastAsiaTheme="minorEastAsia"/>
              <w:color w:val="auto"/>
              <w:sz w:val="24"/>
              <w:szCs w:val="24"/>
            </w:rPr>
            <w:t>Havendo indicação</w:t>
          </w:r>
          <w:r>
            <w:rPr>
              <w:color w:val="auto"/>
              <w:sz w:val="24"/>
              <w:szCs w:val="24"/>
            </w:rPr>
            <w:t xml:space="preserve"> de </w:t>
          </w:r>
          <w:r>
            <w:rPr>
              <w:rFonts w:eastAsia="ＭＳ 明朝" w:eastAsiaTheme="minorEastAsia"/>
              <w:color w:val="auto"/>
              <w:sz w:val="24"/>
              <w:szCs w:val="24"/>
            </w:rPr>
            <w:t>que a</w:t>
          </w:r>
          <w:r>
            <w:rPr>
              <w:color w:val="auto"/>
              <w:sz w:val="24"/>
              <w:szCs w:val="24"/>
            </w:rPr>
            <w:t xml:space="preserve"> proposta</w:t>
          </w:r>
          <w:r>
            <w:rPr>
              <w:rFonts w:eastAsia="ＭＳ 明朝" w:eastAsiaTheme="minorEastAsia"/>
              <w:color w:val="auto"/>
              <w:sz w:val="24"/>
              <w:szCs w:val="24"/>
            </w:rPr>
            <w:t xml:space="preserve"> apresentada seja inexequível, caberá ao </w:t>
          </w:r>
          <w:r>
            <w:rPr>
              <w:color w:val="auto"/>
              <w:sz w:val="24"/>
              <w:szCs w:val="24"/>
            </w:rPr>
            <w:t xml:space="preserve">agente de contratação realizar </w:t>
          </w:r>
          <w:r>
            <w:rPr>
              <w:rFonts w:eastAsia="ＭＳ 明朝" w:eastAsiaTheme="minorEastAsia"/>
              <w:color w:val="auto"/>
              <w:sz w:val="24"/>
              <w:szCs w:val="24"/>
            </w:rPr>
            <w:t xml:space="preserve">as </w:t>
          </w:r>
          <w:r>
            <w:rPr>
              <w:color w:val="auto"/>
              <w:sz w:val="24"/>
              <w:szCs w:val="24"/>
            </w:rPr>
            <w:t xml:space="preserve">diligências para aferir a </w:t>
          </w:r>
          <w:r>
            <w:rPr>
              <w:rFonts w:eastAsia="ＭＳ 明朝" w:eastAsiaTheme="minorEastAsia"/>
              <w:color w:val="auto"/>
              <w:sz w:val="24"/>
              <w:szCs w:val="24"/>
            </w:rPr>
            <w:t xml:space="preserve">demonstração da </w:t>
          </w:r>
          <w:r>
            <w:rPr>
              <w:color w:val="auto"/>
              <w:sz w:val="24"/>
              <w:szCs w:val="24"/>
            </w:rPr>
            <w:t>exequibilidade da proposta</w:t>
          </w:r>
          <w:r>
            <w:rPr>
              <w:rFonts w:eastAsia="ＭＳ 明朝" w:eastAsiaTheme="minorEastAsia"/>
              <w:color w:val="auto"/>
              <w:sz w:val="24"/>
              <w:szCs w:val="24"/>
            </w:rPr>
            <w:t>,</w:t>
          </w:r>
          <w:r>
            <w:rPr>
              <w:color w:val="auto"/>
              <w:sz w:val="24"/>
              <w:szCs w:val="24"/>
            </w:rPr>
            <w:t xml:space="preserve"> ou exigir do participante a demonstração.</w:t>
          </w:r>
        </w:p>
        <w:p>
          <w:pPr>
            <w:pStyle w:val="Normal"/>
            <w:spacing w:lineRule="auto" w:line="240" w:before="120" w:after="0"/>
            <w:rPr>
              <w:b/>
              <w:color w:val="auto"/>
              <w:sz w:val="24"/>
              <w:szCs w:val="24"/>
            </w:rPr>
          </w:pPr>
          <w:r>
            <w:rPr>
              <w:color w:val="auto"/>
              <w:sz w:val="24"/>
              <w:szCs w:val="24"/>
            </w:rPr>
            <w:t>12</w:t>
          </w:r>
          <w:r>
            <w:rPr>
              <w:rFonts w:eastAsia="Calibri" w:eastAsiaTheme="minorHAnsi"/>
              <w:color w:val="auto"/>
              <w:sz w:val="24"/>
              <w:szCs w:val="24"/>
            </w:rPr>
            <w:t xml:space="preserve">.8.1. </w:t>
          </w:r>
          <w:r>
            <w:rPr>
              <w:color w:val="auto"/>
              <w:sz w:val="24"/>
              <w:szCs w:val="24"/>
            </w:rPr>
            <w:t xml:space="preserve">Será considerada inexequível a proposta que não </w:t>
          </w:r>
          <w:r>
            <w:rPr>
              <w:rFonts w:eastAsia="Calibri" w:eastAsiaTheme="minorHAnsi"/>
              <w:color w:val="auto"/>
              <w:sz w:val="24"/>
              <w:szCs w:val="24"/>
            </w:rPr>
            <w:t>tenha</w:t>
          </w:r>
          <w:r>
            <w:rPr>
              <w:color w:val="auto"/>
              <w:sz w:val="24"/>
              <w:szCs w:val="24"/>
            </w:rPr>
            <w:t xml:space="preserve"> demonstrada sua viabilidade por meio de documentação que comprove que os custos envolvidos na contratação são coerentes com os de mercado</w:t>
          </w:r>
          <w:r>
            <w:rPr>
              <w:rFonts w:eastAsia="Calibri" w:eastAsiaTheme="minorHAnsi"/>
              <w:color w:val="auto"/>
              <w:sz w:val="24"/>
              <w:szCs w:val="24"/>
            </w:rPr>
            <w:t xml:space="preserve">.    </w:t>
          </w:r>
          <w:r>
            <w:rPr>
              <w:b/>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12.9. Será vencedor o participante que atender a íntegra do Termo e ofertar o menor preço, considerando </w:t>
          </w:r>
          <w:r>
            <w:rPr>
              <w:rFonts w:eastAsia="ＭＳ 明朝" w:eastAsiaTheme="minorEastAsia"/>
              <w:color w:val="auto"/>
              <w:sz w:val="24"/>
              <w:szCs w:val="24"/>
            </w:rPr>
            <w:t xml:space="preserve">o </w:t>
          </w:r>
          <w:r>
            <w:rPr>
              <w:color w:val="auto"/>
              <w:sz w:val="24"/>
              <w:szCs w:val="24"/>
            </w:rPr>
            <w:t xml:space="preserve">previsto no </w:t>
          </w:r>
          <w:r>
            <w:rPr>
              <w:b/>
              <w:bCs/>
              <w:color w:val="auto"/>
              <w:sz w:val="24"/>
              <w:szCs w:val="24"/>
            </w:rPr>
            <w:t>Anexo IV - FOLHA DE DADOS (CGDL 12.9)</w:t>
          </w:r>
          <w:r>
            <w:rPr>
              <w:color w:val="auto"/>
              <w:sz w:val="24"/>
              <w:szCs w:val="24"/>
            </w:rPr>
            <w:t>.</w:t>
          </w:r>
          <w:r>
            <w:rPr>
              <w:rFonts w:eastAsia="ＭＳ 明朝" w:eastAsiaTheme="minorEastAsia"/>
              <w:color w:val="auto"/>
              <w:sz w:val="24"/>
              <w:szCs w:val="24"/>
            </w:rPr>
            <w:t xml:space="preserve"> </w:t>
          </w:r>
          <w:r>
            <w:rPr>
              <w:color w:val="auto"/>
              <w:sz w:val="24"/>
              <w:szCs w:val="24"/>
            </w:rPr>
            <w:t xml:space="preserve"> </w:t>
          </w:r>
        </w:p>
        <w:p>
          <w:pPr>
            <w:pStyle w:val="Normal"/>
            <w:spacing w:lineRule="auto" w:line="240" w:before="120" w:after="0"/>
            <w:rPr>
              <w:color w:val="auto"/>
              <w:sz w:val="24"/>
              <w:szCs w:val="24"/>
            </w:rPr>
          </w:pPr>
          <w:r>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13. DA HABILITAÇÃO</w:t>
          </w:r>
        </w:p>
        <w:p>
          <w:pPr>
            <w:pStyle w:val="Normal"/>
            <w:spacing w:lineRule="auto" w:line="240" w:before="120" w:after="0"/>
            <w:rPr>
              <w:color w:val="auto"/>
              <w:sz w:val="24"/>
              <w:szCs w:val="24"/>
            </w:rPr>
          </w:pPr>
          <w:r>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lineRule="auto" w:line="240" w:before="120" w:after="0"/>
            <w:rPr>
              <w:color w:val="auto"/>
              <w:sz w:val="24"/>
              <w:szCs w:val="24"/>
            </w:rPr>
          </w:pPr>
          <w:r>
            <w:rPr>
              <w:color w:val="auto"/>
              <w:sz w:val="24"/>
              <w:szCs w:val="24"/>
            </w:rPr>
            <w:t xml:space="preserve">13.1.1. Os documentos devem ser apresentados através de upload em campo próprio do sistema eletrônico no qual o certame é realizado. </w:t>
          </w:r>
        </w:p>
        <w:p>
          <w:pPr>
            <w:pStyle w:val="Normal"/>
            <w:spacing w:lineRule="auto" w:line="240" w:before="120" w:after="0"/>
            <w:rPr>
              <w:color w:val="auto"/>
              <w:sz w:val="24"/>
              <w:szCs w:val="24"/>
            </w:rPr>
          </w:pPr>
          <w:r>
            <w:rPr>
              <w:color w:val="auto"/>
              <w:sz w:val="24"/>
              <w:szCs w:val="24"/>
            </w:rPr>
            <w:t>13.2. São exigidos os documentos de habilitação abaixo discriminados.</w:t>
          </w:r>
        </w:p>
        <w:p>
          <w:pPr>
            <w:pStyle w:val="Heading6"/>
            <w:spacing w:lineRule="auto" w:line="240" w:before="120" w:after="0"/>
            <w:rPr>
              <w:sz w:val="24"/>
              <w:szCs w:val="24"/>
            </w:rPr>
          </w:pPr>
          <w:r>
            <w:rPr>
              <w:sz w:val="24"/>
              <w:szCs w:val="24"/>
            </w:rPr>
            <w:t xml:space="preserve">13.3. Documentos Relativos à Habilitação Jurídica: </w:t>
          </w:r>
        </w:p>
        <w:p>
          <w:pPr>
            <w:pStyle w:val="Normal"/>
            <w:spacing w:lineRule="auto" w:line="240" w:before="120" w:after="0"/>
            <w:rPr>
              <w:color w:val="auto"/>
              <w:sz w:val="24"/>
              <w:szCs w:val="24"/>
            </w:rPr>
          </w:pPr>
          <w:r>
            <w:rPr>
              <w:color w:val="auto"/>
              <w:sz w:val="24"/>
              <w:szCs w:val="24"/>
            </w:rPr>
            <w:t>13.</w:t>
          </w:r>
          <w:r>
            <w:rPr>
              <w:rFonts w:eastAsia="ＭＳ 明朝" w:eastAsiaTheme="minorEastAsia"/>
              <w:color w:val="auto"/>
              <w:sz w:val="24"/>
              <w:szCs w:val="24"/>
              <w:lang w:eastAsia="en-US"/>
            </w:rPr>
            <w:t>3</w:t>
          </w:r>
          <w:r>
            <w:rPr>
              <w:color w:val="auto"/>
              <w:sz w:val="24"/>
              <w:szCs w:val="24"/>
            </w:rPr>
            <w:t xml:space="preserve">.1. </w:t>
          </w:r>
          <w:r>
            <w:rPr>
              <w:rFonts w:eastAsia="ＭＳ 明朝" w:eastAsiaTheme="minorEastAsia"/>
              <w:color w:val="auto"/>
              <w:sz w:val="24"/>
              <w:szCs w:val="24"/>
              <w:lang w:eastAsia="en-US"/>
            </w:rPr>
            <w:t>documento oficial</w:t>
          </w:r>
          <w:r>
            <w:rPr>
              <w:color w:val="auto"/>
              <w:sz w:val="24"/>
              <w:szCs w:val="24"/>
            </w:rPr>
            <w:t xml:space="preserve"> de </w:t>
          </w:r>
          <w:r>
            <w:rPr>
              <w:rFonts w:eastAsia="ＭＳ 明朝" w:eastAsiaTheme="minorEastAsia"/>
              <w:color w:val="auto"/>
              <w:sz w:val="24"/>
              <w:szCs w:val="24"/>
              <w:lang w:eastAsia="en-US"/>
            </w:rPr>
            <w:t>identificação com foto,</w:t>
          </w:r>
          <w:r>
            <w:rPr>
              <w:color w:val="auto"/>
              <w:sz w:val="24"/>
              <w:szCs w:val="24"/>
            </w:rPr>
            <w:t xml:space="preserve"> em se tratando de pessoa física;</w:t>
          </w:r>
        </w:p>
        <w:p>
          <w:pPr>
            <w:pStyle w:val="Normal"/>
            <w:spacing w:lineRule="auto" w:line="240" w:before="120" w:after="0"/>
            <w:rPr>
              <w:rFonts w:eastAsia="ＭＳ 明朝" w:eastAsiaTheme="minorEastAsia"/>
              <w:color w:val="auto"/>
              <w:sz w:val="24"/>
              <w:szCs w:val="24"/>
              <w:lang w:eastAsia="en-US"/>
            </w:rPr>
          </w:pPr>
          <w:r>
            <w:rPr>
              <w:rFonts w:eastAsia="ＭＳ 明朝" w:eastAsiaTheme="minorEastAsia"/>
              <w:color w:val="auto"/>
              <w:sz w:val="24"/>
              <w:szCs w:val="24"/>
              <w:lang w:eastAsia="en-US"/>
            </w:rPr>
            <w:t>13.3.2. Certificado da Condição de Microempreendedor Individual – CCMEI, em se tratando de Microempreendedor Individual – MEI;</w:t>
          </w:r>
        </w:p>
        <w:p>
          <w:pPr>
            <w:pStyle w:val="Normal"/>
            <w:spacing w:lineRule="auto" w:line="240" w:before="120" w:after="0"/>
            <w:rPr>
              <w:color w:val="auto"/>
              <w:sz w:val="24"/>
              <w:szCs w:val="24"/>
            </w:rPr>
          </w:pPr>
          <w:r>
            <w:rPr>
              <w:rFonts w:eastAsia="ＭＳ 明朝" w:eastAsiaTheme="minorEastAsia"/>
              <w:color w:val="auto"/>
              <w:sz w:val="24"/>
              <w:szCs w:val="24"/>
              <w:lang w:eastAsia="en-US"/>
            </w:rPr>
            <w:t>13.3.3.</w:t>
          </w:r>
          <w:r>
            <w:rPr>
              <w:color w:val="auto"/>
              <w:sz w:val="24"/>
              <w:szCs w:val="24"/>
            </w:rPr>
            <w:t xml:space="preserve"> registro comercial, no caso de empresa individual; </w:t>
          </w:r>
        </w:p>
        <w:p>
          <w:pPr>
            <w:pStyle w:val="Normal"/>
            <w:spacing w:lineRule="auto" w:line="240" w:before="120" w:after="0"/>
            <w:rPr>
              <w:color w:val="auto"/>
              <w:sz w:val="24"/>
              <w:szCs w:val="24"/>
            </w:rPr>
          </w:pPr>
          <w:r>
            <w:rPr>
              <w:color w:val="auto"/>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w:pPr>
            <w:pStyle w:val="Normal"/>
            <w:spacing w:lineRule="auto" w:line="240" w:before="120" w:after="0"/>
            <w:rPr>
              <w:color w:val="auto"/>
              <w:sz w:val="24"/>
              <w:szCs w:val="24"/>
            </w:rPr>
          </w:pPr>
          <w:r>
            <w:rPr>
              <w:color w:val="auto"/>
              <w:sz w:val="24"/>
              <w:szCs w:val="24"/>
            </w:rPr>
            <w:t xml:space="preserve">13.3.5. inscrição do ato constitutivo, no caso de sociedades civis, acompanhada de prova de diretoria em exercício; </w:t>
          </w:r>
        </w:p>
        <w:p>
          <w:pPr>
            <w:pStyle w:val="Normal"/>
            <w:spacing w:lineRule="auto" w:line="240" w:before="120" w:after="0"/>
            <w:rPr>
              <w:color w:val="auto"/>
              <w:sz w:val="24"/>
              <w:szCs w:val="24"/>
            </w:rPr>
          </w:pPr>
          <w:r>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pPr>
            <w:pStyle w:val="Normal"/>
            <w:spacing w:lineRule="auto" w:line="240" w:before="120" w:after="0"/>
            <w:rPr>
              <w:color w:val="auto"/>
              <w:sz w:val="24"/>
              <w:szCs w:val="24"/>
            </w:rPr>
          </w:pPr>
          <w:r>
            <w:rPr>
              <w:color w:val="auto"/>
              <w:sz w:val="24"/>
              <w:szCs w:val="24"/>
            </w:rPr>
            <w:t>13.3.7. enquadramento como empresa de pequeno porte ou microempresa</w:t>
          </w:r>
          <w:r>
            <w:rPr>
              <w:rFonts w:eastAsia="ＭＳ 明朝" w:eastAsiaTheme="minorEastAsia"/>
              <w:color w:val="auto"/>
              <w:sz w:val="24"/>
              <w:szCs w:val="24"/>
            </w:rPr>
            <w:t>,</w:t>
          </w:r>
          <w:r>
            <w:rPr>
              <w:color w:val="auto"/>
              <w:sz w:val="24"/>
              <w:szCs w:val="24"/>
            </w:rPr>
            <w:t xml:space="preserve"> emitido pela Junta Comercial, Industrial e Serviços do Rio Grande do Sul ou Órgão equivalente de outro Estado da Federação, ou, ainda, pela forma prevista no art. 39A da Lei </w:t>
          </w:r>
          <w:r>
            <w:rPr>
              <w:rFonts w:eastAsia="ＭＳ 明朝" w:eastAsiaTheme="minorEastAsia"/>
              <w:color w:val="auto"/>
              <w:sz w:val="24"/>
              <w:szCs w:val="24"/>
            </w:rPr>
            <w:t>Federal</w:t>
          </w:r>
          <w:r>
            <w:rPr>
              <w:color w:val="auto"/>
              <w:sz w:val="24"/>
              <w:szCs w:val="24"/>
            </w:rPr>
            <w:t xml:space="preserve"> nº 8.934, de 18 de novembro de 1994, acompanhada de declaração na forma eletrônica, quando for o caso. </w:t>
          </w:r>
        </w:p>
        <w:p>
          <w:pPr>
            <w:pStyle w:val="Heading6"/>
            <w:spacing w:lineRule="auto" w:line="240" w:before="120" w:after="0"/>
            <w:rPr>
              <w:sz w:val="24"/>
              <w:szCs w:val="24"/>
            </w:rPr>
          </w:pPr>
          <w:r>
            <w:rPr>
              <w:sz w:val="24"/>
              <w:szCs w:val="24"/>
            </w:rPr>
            <w:t>13.4. Documentos Relativos à Regularidade Fiscal, Social e Trabalhista:</w:t>
          </w:r>
        </w:p>
        <w:p>
          <w:pPr>
            <w:pStyle w:val="Normal"/>
            <w:spacing w:lineRule="auto" w:line="240" w:before="120" w:after="0"/>
            <w:rPr>
              <w:color w:val="auto"/>
              <w:sz w:val="24"/>
              <w:szCs w:val="24"/>
            </w:rPr>
          </w:pPr>
          <w:r>
            <w:rPr>
              <w:color w:val="auto"/>
              <w:sz w:val="24"/>
              <w:szCs w:val="24"/>
            </w:rPr>
            <w:t xml:space="preserve">13.4.1. documento oficial que comprove a inscrição no Cadastro de Pessoas Físicas (CPF), </w:t>
          </w:r>
          <w:r>
            <w:rPr>
              <w:rFonts w:eastAsia="ＭＳ 明朝" w:eastAsiaTheme="minorEastAsia"/>
              <w:color w:val="auto"/>
              <w:sz w:val="24"/>
              <w:szCs w:val="24"/>
              <w:lang w:eastAsia="en-US"/>
            </w:rPr>
            <w:t>em se tratando de pessoa física;</w:t>
          </w:r>
        </w:p>
        <w:p>
          <w:pPr>
            <w:pStyle w:val="Normal"/>
            <w:spacing w:lineRule="auto" w:line="240" w:before="120" w:after="0"/>
            <w:rPr>
              <w:color w:val="auto"/>
              <w:sz w:val="24"/>
              <w:szCs w:val="24"/>
            </w:rPr>
          </w:pPr>
          <w:r>
            <w:rPr>
              <w:color w:val="auto"/>
              <w:sz w:val="24"/>
              <w:szCs w:val="24"/>
            </w:rPr>
            <w:t xml:space="preserve">13.4.2. comprovante de inscrição no Cadastro Nacional de Pessoas Jurídicas (CNPJ), </w:t>
          </w:r>
          <w:r>
            <w:rPr>
              <w:rFonts w:eastAsia="ＭＳ 明朝" w:eastAsiaTheme="minorEastAsia"/>
              <w:color w:val="auto"/>
              <w:sz w:val="24"/>
              <w:szCs w:val="24"/>
              <w:lang w:eastAsia="en-US"/>
            </w:rPr>
            <w:t>em se tratando de pessoa jurídica</w:t>
          </w:r>
          <w:r>
            <w:rPr>
              <w:color w:val="auto"/>
              <w:sz w:val="24"/>
              <w:szCs w:val="24"/>
            </w:rPr>
            <w:t xml:space="preserve">; </w:t>
          </w:r>
        </w:p>
        <w:p>
          <w:pPr>
            <w:pStyle w:val="Normal"/>
            <w:spacing w:lineRule="auto" w:line="240" w:before="120" w:after="0"/>
            <w:rPr>
              <w:color w:val="auto"/>
              <w:sz w:val="24"/>
              <w:szCs w:val="24"/>
            </w:rPr>
          </w:pPr>
          <w:r>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color w:val="auto"/>
              <w:sz w:val="24"/>
              <w:szCs w:val="24"/>
            </w:rPr>
          </w:pPr>
          <w:r>
            <w:rPr>
              <w:color w:val="auto"/>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color w:val="auto"/>
              <w:sz w:val="24"/>
              <w:szCs w:val="24"/>
            </w:rPr>
          </w:pPr>
          <w:r>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Normal"/>
            <w:spacing w:lineRule="auto" w:line="240" w:before="120" w:after="0"/>
            <w:rPr>
              <w:color w:val="auto"/>
              <w:sz w:val="24"/>
              <w:szCs w:val="24"/>
            </w:rPr>
          </w:pPr>
          <w:r>
            <w:rPr>
              <w:color w:val="auto"/>
              <w:sz w:val="24"/>
              <w:szCs w:val="24"/>
            </w:rPr>
            <w:t>13.4.6. comprovante de inexistência de débitos inadimplidos perante a Justiça do Trabalho, mediante a apresentação de Certidão Negativa de Débitos Trabalhistas (CNDT).</w:t>
          </w:r>
        </w:p>
        <w:p>
          <w:pPr>
            <w:pStyle w:val="Normal"/>
            <w:spacing w:lineRule="auto" w:line="240" w:before="120" w:after="0"/>
            <w:rPr>
              <w:color w:val="auto"/>
              <w:sz w:val="24"/>
              <w:szCs w:val="24"/>
            </w:rPr>
          </w:pPr>
          <w:r>
            <w:rPr>
              <w:color w:val="auto"/>
              <w:sz w:val="24"/>
              <w:szCs w:val="24"/>
            </w:rPr>
          </w:r>
        </w:p>
        <w:p>
          <w:pPr>
            <w:pStyle w:val="Heading6"/>
            <w:spacing w:lineRule="auto" w:line="240" w:before="120" w:after="0"/>
            <w:rPr>
              <w:sz w:val="24"/>
              <w:szCs w:val="24"/>
            </w:rPr>
          </w:pPr>
          <w:r>
            <w:rPr>
              <w:sz w:val="24"/>
              <w:szCs w:val="24"/>
            </w:rPr>
            <w:t>13.5. Documentos Complementares para Habilitação:</w:t>
          </w:r>
        </w:p>
        <w:p>
          <w:pPr>
            <w:pStyle w:val="Normal"/>
            <w:spacing w:lineRule="auto" w:line="240" w:before="120" w:after="0"/>
            <w:rPr>
              <w:color w:val="auto"/>
              <w:sz w:val="24"/>
              <w:szCs w:val="24"/>
            </w:rPr>
          </w:pPr>
          <w:r>
            <w:rPr>
              <w:color w:val="auto"/>
              <w:sz w:val="24"/>
              <w:szCs w:val="24"/>
            </w:rPr>
            <w:t xml:space="preserve">13.5.1. Além dos documentos relacionados nos </w:t>
          </w:r>
          <w:r>
            <w:rPr>
              <w:b/>
              <w:bCs/>
              <w:color w:val="auto"/>
              <w:sz w:val="24"/>
              <w:szCs w:val="24"/>
            </w:rPr>
            <w:t xml:space="preserve">subitens 13.3 e 13.4 </w:t>
          </w:r>
          <w:r>
            <w:rPr>
              <w:color w:val="auto"/>
              <w:sz w:val="24"/>
              <w:szCs w:val="24"/>
            </w:rPr>
            <w:t>deste Termo, serão exigidos os seguintes documentos de habilitação:</w:t>
          </w:r>
        </w:p>
        <w:p>
          <w:pPr>
            <w:pStyle w:val="Normal"/>
            <w:spacing w:lineRule="auto" w:line="240" w:before="120" w:after="0"/>
            <w:rPr>
              <w:color w:val="auto"/>
              <w:sz w:val="24"/>
              <w:szCs w:val="24"/>
            </w:rPr>
          </w:pPr>
          <w:r>
            <w:rPr>
              <w:color w:val="auto"/>
              <w:sz w:val="24"/>
              <w:szCs w:val="24"/>
            </w:rPr>
            <w:t>13.5.1.1. previstos no Termo de Referência;</w:t>
          </w:r>
        </w:p>
        <w:p>
          <w:pPr>
            <w:pStyle w:val="Normal"/>
            <w:spacing w:lineRule="auto" w:line="240" w:before="120" w:after="0"/>
            <w:rPr>
              <w:color w:val="auto"/>
              <w:sz w:val="24"/>
              <w:szCs w:val="24"/>
            </w:rPr>
          </w:pPr>
          <w:r>
            <w:rPr>
              <w:color w:val="auto"/>
              <w:sz w:val="24"/>
              <w:szCs w:val="24"/>
            </w:rPr>
            <w:t xml:space="preserve">13.5.1.2. relacionados no </w:t>
          </w:r>
          <w:r>
            <w:rPr>
              <w:b/>
              <w:bCs/>
              <w:color w:val="auto"/>
              <w:sz w:val="24"/>
              <w:szCs w:val="24"/>
            </w:rPr>
            <w:t>Anexo IV – FOLHA DE DADOS 13.5.1.2</w:t>
          </w:r>
          <w:r>
            <w:rPr>
              <w:color w:val="auto"/>
              <w:sz w:val="24"/>
              <w:szCs w:val="24"/>
            </w:rPr>
            <w:t>;</w:t>
          </w:r>
        </w:p>
        <w:p>
          <w:pPr>
            <w:pStyle w:val="Normal"/>
            <w:spacing w:lineRule="auto" w:line="240" w:before="120" w:after="0"/>
            <w:rPr>
              <w:color w:val="auto"/>
              <w:sz w:val="24"/>
              <w:szCs w:val="24"/>
            </w:rPr>
          </w:pPr>
          <w:r>
            <w:rPr>
              <w:color w:val="auto"/>
              <w:sz w:val="24"/>
              <w:szCs w:val="24"/>
            </w:rPr>
            <w:t xml:space="preserve">13.5.1.3. relacionados no </w:t>
          </w:r>
          <w:r>
            <w:rPr>
              <w:b/>
              <w:bCs/>
              <w:color w:val="auto"/>
              <w:sz w:val="24"/>
              <w:szCs w:val="24"/>
            </w:rPr>
            <w:t>Anexo IV – FOLHA DE DADOS CGDL 4.1.3</w:t>
          </w:r>
          <w:r>
            <w:rPr>
              <w:color w:val="auto"/>
              <w:sz w:val="24"/>
              <w:szCs w:val="24"/>
            </w:rPr>
            <w:t>, no caso de Consórcio e.</w:t>
          </w:r>
        </w:p>
        <w:p>
          <w:pPr>
            <w:pStyle w:val="Normal"/>
            <w:spacing w:lineRule="auto" w:line="240" w:before="120" w:after="0"/>
            <w:rPr>
              <w:color w:val="auto"/>
              <w:sz w:val="24"/>
              <w:szCs w:val="24"/>
            </w:rPr>
          </w:pPr>
          <w:r>
            <w:rPr>
              <w:color w:val="auto"/>
              <w:sz w:val="24"/>
              <w:szCs w:val="24"/>
            </w:rPr>
            <w:t xml:space="preserve">13.5.1.4. relacionados no </w:t>
          </w:r>
          <w:r>
            <w:rPr>
              <w:b/>
              <w:bCs/>
              <w:color w:val="auto"/>
              <w:sz w:val="24"/>
              <w:szCs w:val="24"/>
            </w:rPr>
            <w:t xml:space="preserve">Anexo IV – FOLHA DE DADOS CGDL 4.1.4 </w:t>
          </w:r>
          <w:r>
            <w:rPr>
              <w:color w:val="auto"/>
              <w:sz w:val="24"/>
              <w:szCs w:val="24"/>
            </w:rPr>
            <w:t>no caso de Cooperativa de Trabalho.</w:t>
          </w:r>
        </w:p>
        <w:p>
          <w:pPr>
            <w:pStyle w:val="Normal"/>
            <w:spacing w:lineRule="auto" w:line="240" w:before="120" w:after="0"/>
            <w:rPr>
              <w:color w:val="auto"/>
              <w:sz w:val="24"/>
              <w:szCs w:val="24"/>
            </w:rPr>
          </w:pPr>
          <w:r>
            <w:rPr>
              <w:color w:val="auto"/>
              <w:sz w:val="24"/>
              <w:szCs w:val="24"/>
            </w:rPr>
            <w:t xml:space="preserve">13.6. Sob pena de inabilitação, os documentos encaminhados deverão estar em nome da participante, com indicação do número de inscrição no CNPJ/CPF. </w:t>
          </w:r>
        </w:p>
        <w:p>
          <w:pPr>
            <w:pStyle w:val="Normal"/>
            <w:spacing w:lineRule="auto" w:line="240" w:before="120" w:after="0"/>
            <w:rPr>
              <w:color w:val="auto"/>
              <w:sz w:val="24"/>
              <w:szCs w:val="24"/>
            </w:rPr>
          </w:pPr>
          <w:r>
            <w:rPr>
              <w:color w:val="auto"/>
              <w:sz w:val="24"/>
              <w:szCs w:val="24"/>
            </w:rPr>
            <w:t xml:space="preserve">13.7. Todos os documentos emitidos em língua estrangeira deverão ser entregues acompanhados da tradução para língua portuguesa. </w:t>
          </w:r>
        </w:p>
        <w:p>
          <w:pPr>
            <w:pStyle w:val="Normal"/>
            <w:spacing w:lineRule="auto" w:line="240" w:before="120" w:after="0"/>
            <w:rPr>
              <w:color w:val="auto"/>
              <w:sz w:val="24"/>
              <w:szCs w:val="24"/>
            </w:rPr>
          </w:pPr>
          <w:r>
            <w:rPr>
              <w:color w:val="auto"/>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color w:val="auto"/>
              <w:sz w:val="24"/>
              <w:szCs w:val="24"/>
            </w:rPr>
          </w:pPr>
          <w:r>
            <w:rPr>
              <w:color w:val="auto"/>
              <w:sz w:val="24"/>
              <w:szCs w:val="24"/>
            </w:rPr>
            <w:t>13.9. Os documentos referentes à habilitação do participante deverão estar válidos no dia de abertura da sessão pública.</w:t>
          </w:r>
        </w:p>
        <w:p>
          <w:pPr>
            <w:pStyle w:val="Normal"/>
            <w:spacing w:lineRule="auto" w:line="240" w:before="120" w:after="0"/>
            <w:rPr>
              <w:color w:val="auto"/>
              <w:sz w:val="24"/>
              <w:szCs w:val="24"/>
            </w:rPr>
          </w:pPr>
          <w:r>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color w:val="auto"/>
              <w:sz w:val="24"/>
              <w:szCs w:val="24"/>
            </w:rPr>
          </w:pPr>
          <w:r>
            <w:rPr>
              <w:color w:val="auto"/>
              <w:sz w:val="24"/>
              <w:szCs w:val="24"/>
            </w:rPr>
            <w:t xml:space="preserve">13.9.2. Convocado o participante, na forma do </w:t>
          </w:r>
          <w:r>
            <w:rPr>
              <w:b/>
              <w:bCs/>
              <w:color w:val="auto"/>
              <w:sz w:val="24"/>
              <w:szCs w:val="24"/>
            </w:rPr>
            <w:t>subitem 13.9.1</w:t>
          </w:r>
          <w:r>
            <w:rPr>
              <w:color w:val="auto"/>
              <w:sz w:val="24"/>
              <w:szCs w:val="24"/>
            </w:rPr>
            <w:t>, fica dispensada a comprovação de que o mesmo estava habilitado na data de abertura da sessão, considerando-se, para fins de habilitação, somente a data da sua última convocação.</w:t>
          </w:r>
        </w:p>
        <w:p>
          <w:pPr>
            <w:pStyle w:val="Normal"/>
            <w:spacing w:lineRule="auto" w:line="240" w:before="120" w:after="0"/>
            <w:rPr>
              <w:color w:val="auto"/>
              <w:sz w:val="24"/>
              <w:szCs w:val="24"/>
            </w:rPr>
          </w:pPr>
          <w:r>
            <w:rPr>
              <w:color w:val="auto"/>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color w:val="auto"/>
              <w:sz w:val="24"/>
              <w:szCs w:val="24"/>
            </w:rPr>
          </w:pPr>
          <w:r>
            <w:rPr>
              <w:color w:val="auto"/>
              <w:sz w:val="24"/>
              <w:szCs w:val="24"/>
            </w:rPr>
            <w:t xml:space="preserve">13.11. Caso seja apresentado o Certificado de Fornecedor do Estado, emitido pela Central de Licitações do Estado do Rio Grande do Sul – CELIC para a família informada no </w:t>
          </w:r>
          <w:r>
            <w:rPr>
              <w:b/>
              <w:bCs/>
              <w:color w:val="auto"/>
              <w:sz w:val="24"/>
              <w:szCs w:val="24"/>
            </w:rPr>
            <w:t>Anexo IV - FOLHA DE DADOS (CGDL 13.11)</w:t>
          </w:r>
          <w:r>
            <w:rPr>
              <w:color w:val="auto"/>
              <w:sz w:val="24"/>
              <w:szCs w:val="24"/>
            </w:rPr>
            <w:t xml:space="preserve">, e acompanhado do respectivo anexo, este substituirá apenas os documentos que contemple, desde que estejam vigentes. </w:t>
          </w:r>
        </w:p>
        <w:p>
          <w:pPr>
            <w:pStyle w:val="Normal"/>
            <w:spacing w:lineRule="auto" w:line="240" w:before="120" w:after="0"/>
            <w:rPr>
              <w:color w:val="auto"/>
              <w:sz w:val="24"/>
              <w:szCs w:val="24"/>
            </w:rPr>
          </w:pPr>
          <w:r>
            <w:rPr>
              <w:color w:val="auto"/>
              <w:sz w:val="24"/>
              <w:szCs w:val="24"/>
            </w:rPr>
            <w:t>13.12. Todos os documentos em que se exija assinatura devem ser assinados digitalmente ou firmados e digitalizados antes de sua remessa via sistema.</w:t>
          </w:r>
        </w:p>
        <w:p>
          <w:pPr>
            <w:pStyle w:val="Normal"/>
            <w:spacing w:lineRule="auto" w:line="240" w:before="120" w:after="0"/>
            <w:rPr>
              <w:color w:val="auto"/>
              <w:sz w:val="24"/>
              <w:szCs w:val="24"/>
            </w:rPr>
          </w:pPr>
          <w:r>
            <w:rPr>
              <w:color w:val="auto"/>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pPr>
            <w:pStyle w:val="Normal"/>
            <w:spacing w:lineRule="auto" w:line="240" w:before="120" w:after="0"/>
            <w:rPr>
              <w:color w:val="auto"/>
              <w:sz w:val="24"/>
              <w:szCs w:val="24"/>
            </w:rPr>
          </w:pPr>
          <w:r>
            <w:rPr>
              <w:color w:val="auto"/>
              <w:sz w:val="24"/>
              <w:szCs w:val="24"/>
            </w:rPr>
            <w:t xml:space="preserve">13.14. Quando da apreciação dos documentos para habilitação, o agente de contratação procederá ao que segue: </w:t>
          </w:r>
        </w:p>
        <w:p>
          <w:pPr>
            <w:pStyle w:val="Normal"/>
            <w:spacing w:lineRule="auto" w:line="240" w:before="120" w:after="0"/>
            <w:rPr>
              <w:color w:val="auto"/>
              <w:sz w:val="24"/>
              <w:szCs w:val="24"/>
            </w:rPr>
          </w:pPr>
          <w:r>
            <w:rPr>
              <w:color w:val="auto"/>
              <w:sz w:val="24"/>
              <w:szCs w:val="24"/>
            </w:rPr>
            <w:t xml:space="preserve">13.14.1. se os documentos para habilitação não estiverem completos e corretos, ou contrariarem qualquer dispositivo deste Termo, considerando o disposto no </w:t>
          </w:r>
          <w:r>
            <w:rPr>
              <w:b/>
              <w:bCs/>
              <w:color w:val="auto"/>
              <w:sz w:val="24"/>
              <w:szCs w:val="24"/>
            </w:rPr>
            <w:t>subitem 24.4</w:t>
          </w:r>
          <w:r>
            <w:rPr>
              <w:color w:val="auto"/>
              <w:sz w:val="24"/>
              <w:szCs w:val="24"/>
            </w:rPr>
            <w:t xml:space="preserve"> deste Termo, o agente de contratação considerará o participante inabilitado; </w:t>
          </w:r>
        </w:p>
        <w:p>
          <w:pPr>
            <w:pStyle w:val="Normal"/>
            <w:spacing w:lineRule="auto" w:line="240" w:before="120" w:after="0"/>
            <w:rPr>
              <w:color w:val="auto"/>
              <w:sz w:val="24"/>
              <w:szCs w:val="24"/>
            </w:rPr>
          </w:pPr>
          <w:r>
            <w:rPr>
              <w:color w:val="auto"/>
              <w:sz w:val="24"/>
              <w:szCs w:val="24"/>
            </w:rPr>
            <w:t xml:space="preserve">13.14.2. no caso de inabilitação do primeiro classificado, serão retomados os procedimentos descritos no </w:t>
          </w:r>
          <w:r>
            <w:rPr>
              <w:b/>
              <w:bCs/>
              <w:color w:val="auto"/>
              <w:sz w:val="24"/>
              <w:szCs w:val="24"/>
            </w:rPr>
            <w:t>item 11</w:t>
          </w:r>
          <w:r>
            <w:rPr>
              <w:color w:val="auto"/>
              <w:sz w:val="24"/>
              <w:szCs w:val="24"/>
            </w:rPr>
            <w:t xml:space="preserve"> deste Termo, respeitada a ordem de classificação do participante que tenha apresentado lance mais vantajoso, e assim sucessivamente, até que sejam atendidas as condições do Termo.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14. DA ADJUDICAÇÃO</w:t>
          </w:r>
        </w:p>
        <w:p>
          <w:pPr>
            <w:pStyle w:val="Normal"/>
            <w:spacing w:lineRule="auto" w:line="240" w:before="120" w:after="0"/>
            <w:rPr>
              <w:color w:val="auto"/>
              <w:sz w:val="24"/>
              <w:szCs w:val="24"/>
            </w:rPr>
          </w:pPr>
          <w:r>
            <w:rPr>
              <w:color w:val="auto"/>
              <w:sz w:val="24"/>
              <w:szCs w:val="24"/>
            </w:rPr>
            <w:t>14.1. O objeto da dispensa de licitação será adjudicado ao participante declarado vencedor, por ato do agente de contratação.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Cs/>
              <w:color w:val="auto"/>
              <w:sz w:val="24"/>
              <w:szCs w:val="24"/>
            </w:rPr>
          </w:pPr>
          <w:r>
            <w:rPr>
              <w:b/>
              <w:bCs/>
              <w:color w:val="auto"/>
              <w:sz w:val="24"/>
              <w:szCs w:val="24"/>
            </w:rPr>
            <w:t>15. DA HOMOLOGAÇÃO</w:t>
          </w:r>
        </w:p>
        <w:p>
          <w:pPr>
            <w:pStyle w:val="Normal"/>
            <w:spacing w:lineRule="auto" w:line="240" w:before="120" w:after="0"/>
            <w:rPr>
              <w:color w:val="auto"/>
              <w:sz w:val="24"/>
              <w:szCs w:val="24"/>
            </w:rPr>
          </w:pPr>
          <w:r>
            <w:rPr>
              <w:color w:val="auto"/>
              <w:sz w:val="24"/>
              <w:szCs w:val="24"/>
            </w:rPr>
            <w:t xml:space="preserve">15.1. Constatada a regularidade dos atos praticados, a autoridade competente homologará o procedimento.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16. DO TERMO DE CONTRATO</w:t>
          </w:r>
        </w:p>
        <w:p>
          <w:pPr>
            <w:pStyle w:val="Normal"/>
            <w:spacing w:lineRule="auto" w:line="240" w:before="120" w:after="0"/>
            <w:rPr>
              <w:color w:val="auto"/>
              <w:sz w:val="24"/>
              <w:szCs w:val="24"/>
            </w:rPr>
          </w:pPr>
          <w:r>
            <w:rPr>
              <w:color w:val="auto"/>
              <w:sz w:val="24"/>
              <w:szCs w:val="24"/>
            </w:rPr>
            <w:t xml:space="preserve">16.1. O adjudicatário terá o prazo previsto no </w:t>
          </w:r>
          <w:r>
            <w:rPr>
              <w:b/>
              <w:bCs/>
              <w:color w:val="auto"/>
              <w:sz w:val="24"/>
              <w:szCs w:val="24"/>
            </w:rPr>
            <w:t>Anexo IV – FOLHA DE DADOS (CGDL 16.1)</w:t>
          </w:r>
          <w:r>
            <w:rPr>
              <w:color w:val="auto"/>
              <w:sz w:val="24"/>
              <w:szCs w:val="24"/>
            </w:rPr>
            <w:t>, após formalmente convocado, para assinar o contrato.</w:t>
          </w:r>
        </w:p>
        <w:p>
          <w:pPr>
            <w:pStyle w:val="Normal"/>
            <w:spacing w:lineRule="auto" w:line="240" w:before="120" w:after="0"/>
            <w:rPr>
              <w:color w:val="auto"/>
              <w:sz w:val="24"/>
              <w:szCs w:val="24"/>
            </w:rPr>
          </w:pPr>
          <w:r>
            <w:rPr>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spacing w:lineRule="auto" w:line="240" w:before="120" w:after="0"/>
            <w:rPr>
              <w:color w:val="auto"/>
              <w:sz w:val="24"/>
              <w:szCs w:val="24"/>
            </w:rPr>
          </w:pPr>
          <w:r>
            <w:rPr>
              <w:color w:val="auto"/>
              <w:sz w:val="24"/>
              <w:szCs w:val="24"/>
            </w:rPr>
            <w:t xml:space="preserve">16.3. O prazo previsto no </w:t>
          </w:r>
          <w:r>
            <w:rPr>
              <w:b/>
              <w:bCs/>
              <w:color w:val="auto"/>
              <w:sz w:val="24"/>
              <w:szCs w:val="24"/>
            </w:rPr>
            <w:t xml:space="preserve">subitem 16.1 </w:t>
          </w:r>
          <w:r>
            <w:rPr>
              <w:color w:val="auto"/>
              <w:sz w:val="24"/>
              <w:szCs w:val="24"/>
            </w:rPr>
            <w:t xml:space="preserve">poderá ser prorrogado, por igual período, por necessidade da Administração, ou por solicitação justificada do adjudicatário e aceita pela Administração. </w:t>
          </w:r>
        </w:p>
        <w:p>
          <w:pPr>
            <w:pStyle w:val="Normal"/>
            <w:spacing w:lineRule="auto" w:line="240" w:before="120" w:after="0"/>
            <w:rPr>
              <w:color w:val="auto"/>
              <w:sz w:val="24"/>
              <w:szCs w:val="24"/>
            </w:rPr>
          </w:pPr>
          <w:r>
            <w:rPr>
              <w:color w:val="auto"/>
              <w:sz w:val="24"/>
              <w:szCs w:val="24"/>
            </w:rPr>
            <w:t xml:space="preserve">16.4. O prazo de vigência do contrato será o previsto no </w:t>
          </w:r>
          <w:r>
            <w:rPr>
              <w:b/>
              <w:bCs/>
              <w:color w:val="auto"/>
              <w:sz w:val="24"/>
              <w:szCs w:val="24"/>
            </w:rPr>
            <w:t>Anexo IV – FOLHA DE DADOS (CGDL 16.4)</w:t>
          </w:r>
          <w:r>
            <w:rPr>
              <w:color w:val="auto"/>
              <w:sz w:val="24"/>
              <w:szCs w:val="24"/>
            </w:rPr>
            <w:t>.</w:t>
          </w:r>
        </w:p>
        <w:p>
          <w:pPr>
            <w:pStyle w:val="Normal"/>
            <w:spacing w:lineRule="auto" w:line="240" w:before="120" w:after="0"/>
            <w:rPr>
              <w:i/>
              <w:i/>
              <w:iCs/>
              <w:color w:val="auto"/>
              <w:sz w:val="24"/>
              <w:szCs w:val="24"/>
            </w:rPr>
          </w:pPr>
          <w:r>
            <w:rPr>
              <w:color w:val="auto"/>
              <w:sz w:val="24"/>
              <w:szCs w:val="24"/>
            </w:rPr>
            <w:t xml:space="preserve">16.5. O(s) local(is) de execução do(s) serviço(s) será(ão) o(s) previsto(s) no </w:t>
          </w:r>
          <w:r>
            <w:rPr>
              <w:b/>
              <w:bCs/>
              <w:color w:val="auto"/>
              <w:sz w:val="24"/>
              <w:szCs w:val="24"/>
            </w:rPr>
            <w:t>Anexo IV – FOLHA DE DADOS (CGDL 16.5)</w:t>
          </w:r>
          <w:r>
            <w:rPr>
              <w:color w:val="auto"/>
              <w:sz w:val="24"/>
              <w:szCs w:val="24"/>
            </w:rPr>
            <w:t>, quando couber.</w:t>
          </w:r>
        </w:p>
        <w:p>
          <w:pPr>
            <w:pStyle w:val="Normal"/>
            <w:spacing w:lineRule="auto" w:line="240" w:before="120" w:after="0"/>
            <w:rPr>
              <w:color w:val="auto"/>
              <w:sz w:val="24"/>
              <w:szCs w:val="24"/>
            </w:rPr>
          </w:pPr>
          <w:r>
            <w:rPr>
              <w:color w:val="auto"/>
              <w:sz w:val="24"/>
              <w:szCs w:val="24"/>
            </w:rPr>
            <w:t xml:space="preserve">16.6. </w:t>
          </w:r>
          <w:r>
            <w:rPr>
              <w:rStyle w:val="normaltextrun"/>
              <w:rFonts w:eastAsia="ＭＳ ゴシック" w:eastAsiaTheme="majorEastAsia"/>
              <w:color w:val="000000"/>
              <w:sz w:val="24"/>
              <w:szCs w:val="24"/>
              <w:shd w:fill="FFFFFF" w:val="clear"/>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pPr>
            <w:pStyle w:val="Normal"/>
            <w:spacing w:lineRule="auto" w:line="240" w:before="120" w:after="0"/>
            <w:rPr>
              <w:color w:val="auto"/>
              <w:sz w:val="24"/>
              <w:szCs w:val="24"/>
            </w:rPr>
          </w:pPr>
          <w:r>
            <w:rPr>
              <w:color w:val="auto"/>
              <w:sz w:val="24"/>
              <w:szCs w:val="24"/>
            </w:rPr>
            <w:t xml:space="preserve">16.7. Se o adjudicatário, no ato da assinatura do contrato, não comprovar que mantém as mesmas condições de habilitação, ou quando, injustificadamente, recusar-se à assinatura, </w:t>
          </w:r>
          <w:r>
            <w:rPr>
              <w:rFonts w:eastAsia="Arial"/>
              <w:color w:val="auto"/>
              <w:sz w:val="24"/>
              <w:szCs w:val="24"/>
            </w:rPr>
            <w:t>será facultado à Administração convocar os participantes remanescentes, na ordem de classificação, para a celebração do contrato nas condições propostas pelo participante vencedor</w:t>
          </w:r>
          <w:r>
            <w:rPr>
              <w:color w:val="auto"/>
              <w:sz w:val="24"/>
              <w:szCs w:val="24"/>
            </w:rPr>
            <w:t>.</w:t>
          </w:r>
        </w:p>
        <w:p>
          <w:pPr>
            <w:pStyle w:val="Normal"/>
            <w:spacing w:lineRule="auto" w:line="240" w:before="120" w:after="0"/>
            <w:rPr>
              <w:color w:val="auto"/>
              <w:sz w:val="24"/>
              <w:szCs w:val="24"/>
            </w:rPr>
          </w:pPr>
          <w:r>
            <w:rPr>
              <w:color w:val="auto"/>
              <w:sz w:val="24"/>
              <w:szCs w:val="24"/>
            </w:rPr>
            <w:t>16.7.1. Caso o adjudicatário não assine o contrato, proceder-se-á à análise dos requisitos de habilitação dos participantes remanescentes.</w:t>
          </w:r>
        </w:p>
        <w:p>
          <w:pPr>
            <w:pStyle w:val="Normal"/>
            <w:spacing w:lineRule="auto" w:line="240" w:before="120" w:after="0"/>
            <w:rPr>
              <w:color w:val="auto"/>
              <w:sz w:val="24"/>
              <w:szCs w:val="24"/>
            </w:rPr>
          </w:pPr>
          <w:r>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val="auto"/>
              <w:sz w:val="24"/>
              <w:szCs w:val="24"/>
            </w:rPr>
          </w:pPr>
          <w:r>
            <w:rPr>
              <w:rFonts w:eastAsia="Arial"/>
              <w:color w:val="auto"/>
              <w:sz w:val="24"/>
              <w:szCs w:val="24"/>
            </w:rPr>
            <w:t xml:space="preserve">16.8. Na hipótese de nenhum dos participantes aceitar a contratação, nos termos do </w:t>
          </w:r>
          <w:r>
            <w:rPr>
              <w:rFonts w:eastAsia="Arial"/>
              <w:b/>
              <w:bCs/>
              <w:color w:val="auto"/>
              <w:sz w:val="24"/>
              <w:szCs w:val="24"/>
            </w:rPr>
            <w:t>subitem 16.7</w:t>
          </w:r>
          <w:r>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val="auto"/>
              <w:sz w:val="24"/>
              <w:szCs w:val="24"/>
            </w:rPr>
          </w:pPr>
          <w:r>
            <w:rPr>
              <w:rFonts w:eastAsia="Arial"/>
              <w:color w:val="auto"/>
              <w:sz w:val="24"/>
              <w:szCs w:val="24"/>
            </w:rPr>
            <w:t xml:space="preserve">16.9. Na hipótese de nenhum dos participantes aceitar a contratação nos termos do </w:t>
          </w:r>
          <w:r>
            <w:rPr>
              <w:rFonts w:eastAsia="Arial"/>
              <w:b/>
              <w:bCs/>
              <w:color w:val="auto"/>
              <w:sz w:val="24"/>
              <w:szCs w:val="24"/>
            </w:rPr>
            <w:t>subitem 16.8</w:t>
          </w:r>
          <w:r>
            <w:rPr>
              <w:rFonts w:eastAsia="Arial"/>
              <w:color w:val="auto"/>
              <w:sz w:val="24"/>
              <w:szCs w:val="24"/>
            </w:rPr>
            <w:t>, a Administração, observados o valor estimado, poderá adjudicar e celebrar o contrato nas condições ofertadas pelos participantes remanescentes, atendida a ordem classificatória.</w:t>
          </w:r>
        </w:p>
        <w:p>
          <w:pPr>
            <w:pStyle w:val="paragraph"/>
            <w:spacing w:beforeAutospacing="0" w:before="120" w:afterAutospacing="0" w:after="0"/>
            <w:jc w:val="both"/>
            <w:textAlignment w:val="baseline"/>
            <w:rPr/>
          </w:pPr>
          <w:r>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Pr>
              <w:rStyle w:val="eop"/>
              <w:rFonts w:eastAsia="ＭＳ ゴシック" w:eastAsiaTheme="majorEastAsia"/>
            </w:rPr>
            <w:t> </w:t>
          </w:r>
        </w:p>
        <w:p>
          <w:pPr>
            <w:pStyle w:val="paragraph"/>
            <w:spacing w:beforeAutospacing="0" w:before="120" w:afterAutospacing="0" w:after="0"/>
            <w:jc w:val="both"/>
            <w:textAlignment w:val="baseline"/>
            <w:rPr/>
          </w:pPr>
          <w:r>
            <w:rPr>
              <w:rStyle w:val="normaltextrun"/>
            </w:rPr>
            <w:t>16.11. Em qualquer hipótese de convocação de remanescente, proceder-se-á à análise dos requisitos de sua habilitação, conforme item 13 deste Termo.</w:t>
          </w:r>
          <w:r>
            <w:rPr>
              <w:rStyle w:val="eop"/>
              <w:rFonts w:eastAsia="ＭＳ ゴシック" w:eastAsiaTheme="majorEastAsia"/>
            </w:rPr>
            <w:t> </w:t>
          </w:r>
        </w:p>
        <w:p>
          <w:pPr>
            <w:pStyle w:val="Normal"/>
            <w:spacing w:lineRule="auto" w:line="240" w:before="120" w:after="0"/>
            <w:rPr>
              <w:rFonts w:eastAsia="Arial"/>
              <w:color w:val="auto"/>
              <w:sz w:val="24"/>
              <w:szCs w:val="24"/>
            </w:rPr>
          </w:pPr>
          <w:r>
            <w:rPr>
              <w:rFonts w:eastAsia="Arial"/>
              <w:color w:val="auto"/>
              <w:sz w:val="24"/>
              <w:szCs w:val="24"/>
            </w:rPr>
            <w:t xml:space="preserve">16.12. O gestor, os fiscais técnicos e fiscais administrativos do contrato estão indicados </w:t>
          </w:r>
          <w:r>
            <w:rPr>
              <w:color w:val="auto"/>
              <w:sz w:val="24"/>
              <w:szCs w:val="24"/>
            </w:rPr>
            <w:t xml:space="preserve">no </w:t>
          </w:r>
          <w:r>
            <w:rPr>
              <w:b/>
              <w:bCs/>
              <w:color w:val="auto"/>
              <w:sz w:val="24"/>
              <w:szCs w:val="24"/>
            </w:rPr>
            <w:t>Anexo IV – FOLHA DE DADOS (CGDL 16.12)</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bCs/>
              <w:color w:val="auto"/>
              <w:sz w:val="24"/>
              <w:szCs w:val="24"/>
            </w:rPr>
          </w:pPr>
          <w:r>
            <w:rPr>
              <w:bCs/>
              <w:color w:val="auto"/>
              <w:sz w:val="24"/>
              <w:szCs w:val="24"/>
            </w:rPr>
            <w:t>17. DO ACORDO DE NÍVEL DE SERVIÇO</w:t>
          </w:r>
        </w:p>
        <w:p>
          <w:pPr>
            <w:pStyle w:val="Normal"/>
            <w:spacing w:lineRule="auto" w:line="240" w:before="120" w:after="0"/>
            <w:rPr>
              <w:color w:val="auto"/>
              <w:sz w:val="24"/>
              <w:szCs w:val="24"/>
            </w:rPr>
          </w:pPr>
          <w:r>
            <w:rPr>
              <w:color w:val="auto"/>
              <w:sz w:val="24"/>
              <w:szCs w:val="24"/>
            </w:rPr>
            <w:t xml:space="preserve">17.1. Nas condições indicadas no </w:t>
          </w:r>
          <w:r>
            <w:rPr>
              <w:b/>
              <w:bCs/>
              <w:color w:val="auto"/>
              <w:sz w:val="24"/>
              <w:szCs w:val="24"/>
            </w:rPr>
            <w:t>ANEXO IV – FOLHA DE DADOS (CGDL 17.1)</w:t>
          </w:r>
          <w:r>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18. DO PAGAMENTO</w:t>
          </w:r>
        </w:p>
        <w:p>
          <w:pPr>
            <w:pStyle w:val="Normal"/>
            <w:spacing w:lineRule="auto" w:line="240" w:before="120" w:after="0"/>
            <w:rPr>
              <w:color w:val="auto"/>
              <w:sz w:val="24"/>
              <w:szCs w:val="24"/>
            </w:rPr>
          </w:pPr>
          <w:r>
            <w:rPr>
              <w:color w:val="auto"/>
              <w:sz w:val="24"/>
              <w:szCs w:val="24"/>
            </w:rPr>
            <w:t xml:space="preserve">18.1. As condições para pagamento são as previstas no </w:t>
          </w:r>
          <w:r>
            <w:rPr>
              <w:b/>
              <w:bCs/>
              <w:color w:val="auto"/>
              <w:sz w:val="24"/>
              <w:szCs w:val="24"/>
            </w:rPr>
            <w:t>Anexo IV – FOLHA DE DADOS (CGDL 18.1)</w:t>
          </w:r>
          <w:r>
            <w:rPr>
              <w:color w:val="auto"/>
              <w:sz w:val="24"/>
              <w:szCs w:val="24"/>
            </w:rPr>
            <w:t xml:space="preserve"> e na </w:t>
          </w:r>
          <w:r>
            <w:rPr>
              <w:b/>
              <w:bCs/>
              <w:color w:val="auto"/>
              <w:sz w:val="24"/>
              <w:szCs w:val="24"/>
            </w:rPr>
            <w:t>Cláusula Sexta da Minuta de Contrato</w:t>
          </w:r>
          <w:r>
            <w:rPr>
              <w:color w:val="auto"/>
              <w:sz w:val="24"/>
              <w:szCs w:val="24"/>
            </w:rPr>
            <w:t>, que compõe o Anexo I do presente Termo.</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19. DO REAJUSTE</w:t>
          </w:r>
        </w:p>
        <w:p>
          <w:pPr>
            <w:pStyle w:val="Normal"/>
            <w:spacing w:lineRule="auto" w:line="240" w:before="120" w:after="0"/>
            <w:rPr>
              <w:color w:val="auto"/>
              <w:sz w:val="24"/>
              <w:szCs w:val="24"/>
            </w:rPr>
          </w:pPr>
          <w:r>
            <w:rPr>
              <w:color w:val="auto"/>
              <w:sz w:val="24"/>
              <w:szCs w:val="24"/>
            </w:rPr>
            <w:t xml:space="preserve">19.1. O contrato será reajustado conforme disposto na </w:t>
          </w:r>
          <w:r>
            <w:rPr>
              <w:b/>
              <w:bCs/>
              <w:color w:val="auto"/>
              <w:sz w:val="24"/>
              <w:szCs w:val="24"/>
            </w:rPr>
            <w:t>Cláusula Oitava do Termo de Contrato</w:t>
          </w:r>
          <w:r>
            <w:rPr>
              <w:color w:val="auto"/>
              <w:sz w:val="24"/>
              <w:szCs w:val="24"/>
            </w:rPr>
            <w:t>, que compõe o Anexo I do presente Termo.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20. DA FONTE DE RECURSOS</w:t>
          </w:r>
        </w:p>
        <w:p>
          <w:pPr>
            <w:pStyle w:val="Normal"/>
            <w:spacing w:lineRule="auto" w:line="240" w:before="120" w:after="0"/>
            <w:rPr>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21. DAS OBRIGAÇÕES DO ADJUDICATÁRIO</w:t>
          </w:r>
        </w:p>
        <w:p>
          <w:pPr>
            <w:pStyle w:val="Normal"/>
            <w:spacing w:lineRule="auto" w:line="240" w:before="120" w:after="0"/>
            <w:rPr>
              <w:color w:val="auto"/>
              <w:sz w:val="24"/>
              <w:szCs w:val="24"/>
            </w:rPr>
          </w:pPr>
          <w:r>
            <w:rPr>
              <w:color w:val="auto"/>
              <w:sz w:val="24"/>
              <w:szCs w:val="24"/>
            </w:rPr>
            <w:t xml:space="preserve">21.1. O adjudicatário deverá atender às obrigações previstas na Cláusula Décima da Minuta de Contrato e as demais obrigações específicas ao objeto contratual estabelecidas no </w:t>
          </w:r>
          <w:r>
            <w:rPr>
              <w:b/>
              <w:bCs/>
              <w:color w:val="auto"/>
              <w:sz w:val="24"/>
              <w:szCs w:val="24"/>
            </w:rPr>
            <w:t>Anexo IV – FOLHA DE DADOS (CGDL 21.1)</w:t>
          </w:r>
          <w:r>
            <w:rPr>
              <w:color w:val="auto"/>
              <w:sz w:val="24"/>
              <w:szCs w:val="24"/>
            </w:rPr>
            <w:t>.</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22. DA GARANTIA DE EXECUÇÃO</w:t>
          </w:r>
        </w:p>
        <w:p>
          <w:pPr>
            <w:pStyle w:val="Normal"/>
            <w:spacing w:lineRule="auto" w:line="240" w:before="120" w:after="0"/>
            <w:rPr>
              <w:color w:val="auto"/>
              <w:sz w:val="24"/>
              <w:szCs w:val="24"/>
            </w:rPr>
          </w:pPr>
          <w:r>
            <w:rPr>
              <w:color w:val="auto"/>
              <w:sz w:val="24"/>
              <w:szCs w:val="24"/>
            </w:rPr>
            <w:t xml:space="preserve">22.1. A garantia será prestada, conforme disposto na </w:t>
          </w:r>
          <w:r>
            <w:rPr>
              <w:b/>
              <w:bCs/>
              <w:color w:val="auto"/>
              <w:sz w:val="24"/>
              <w:szCs w:val="24"/>
            </w:rPr>
            <w:t>Cláusula Quinta da Minuta de Contrato</w:t>
          </w:r>
          <w:r>
            <w:rPr>
              <w:color w:val="auto"/>
              <w:sz w:val="24"/>
              <w:szCs w:val="24"/>
            </w:rPr>
            <w:t xml:space="preserve">, que compõe o Anexo I do presente Termo, no percentual indicado no </w:t>
          </w:r>
          <w:r>
            <w:rPr>
              <w:b/>
              <w:bCs/>
              <w:color w:val="auto"/>
              <w:sz w:val="24"/>
              <w:szCs w:val="24"/>
            </w:rPr>
            <w:t>Anexo IV – FOLHA DE DADOS (CGDL 22.1)</w:t>
          </w:r>
          <w:r>
            <w:rPr>
              <w:color w:val="auto"/>
              <w:sz w:val="24"/>
              <w:szCs w:val="24"/>
            </w:rPr>
            <w:t>.</w:t>
          </w:r>
        </w:p>
        <w:p>
          <w:pPr>
            <w:pStyle w:val="Normal"/>
            <w:spacing w:lineRule="auto" w:line="240" w:before="120" w:after="0"/>
            <w:rPr>
              <w:color w:val="auto"/>
              <w:sz w:val="24"/>
              <w:szCs w:val="24"/>
            </w:rPr>
          </w:pPr>
          <w:r>
            <w:rPr>
              <w:color w:val="auto"/>
              <w:sz w:val="24"/>
              <w:szCs w:val="24"/>
            </w:rPr>
            <w:t xml:space="preserve">22.2. Caso não seja observado o prazo fixado para apresentação da garantia, aplicar-se-á o disposto no </w:t>
          </w:r>
          <w:r>
            <w:rPr>
              <w:b/>
              <w:bCs/>
              <w:color w:val="auto"/>
              <w:sz w:val="24"/>
              <w:szCs w:val="24"/>
            </w:rPr>
            <w:t>subitem 23.4.6</w:t>
          </w:r>
          <w:r>
            <w:rPr>
              <w:color w:val="auto"/>
              <w:sz w:val="24"/>
              <w:szCs w:val="24"/>
            </w:rPr>
            <w:t xml:space="preserve"> deste Termo.</w:t>
          </w:r>
        </w:p>
        <w:p>
          <w:pPr>
            <w:pStyle w:val="Normal"/>
            <w:widowControl w:val="false"/>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23. DAS INFRAÇÕES E SANÇÕES ADMINISTRATIVAS</w:t>
          </w:r>
        </w:p>
        <w:p>
          <w:pPr>
            <w:pStyle w:val="Heading6"/>
            <w:spacing w:lineRule="auto" w:line="240" w:before="120" w:after="0"/>
            <w:rPr>
              <w:sz w:val="24"/>
              <w:szCs w:val="24"/>
            </w:rPr>
          </w:pPr>
          <w:r>
            <w:rPr>
              <w:sz w:val="24"/>
              <w:szCs w:val="24"/>
            </w:rPr>
            <w:t>23.1. Das Infrações Administrativas</w:t>
          </w:r>
        </w:p>
        <w:p>
          <w:pPr>
            <w:pStyle w:val="Normal"/>
            <w:spacing w:lineRule="auto" w:line="240" w:before="120" w:after="0"/>
            <w:rPr>
              <w:color w:val="auto"/>
              <w:sz w:val="24"/>
              <w:szCs w:val="24"/>
            </w:rPr>
          </w:pPr>
          <w:r>
            <w:rPr>
              <w:color w:val="auto"/>
              <w:sz w:val="24"/>
              <w:szCs w:val="24"/>
            </w:rPr>
            <w:t>23.1.1. Comete infração administrativa, nos termos da Lei Federal nº 14.133/2021, o participante ou o contratado que:</w:t>
          </w:r>
        </w:p>
        <w:p>
          <w:pPr>
            <w:pStyle w:val="Normal"/>
            <w:spacing w:lineRule="auto" w:line="240" w:before="120" w:after="0"/>
            <w:rPr>
              <w:color w:val="auto"/>
              <w:sz w:val="24"/>
              <w:szCs w:val="24"/>
            </w:rPr>
          </w:pPr>
          <w:r>
            <w:rPr>
              <w:color w:val="auto"/>
              <w:sz w:val="24"/>
              <w:szCs w:val="24"/>
            </w:rPr>
            <w:t xml:space="preserve">23.1.1.1. der causa à inexecução parcial do contrato; </w:t>
          </w:r>
        </w:p>
        <w:p>
          <w:pPr>
            <w:pStyle w:val="Normal"/>
            <w:spacing w:lineRule="auto" w:line="240" w:before="120" w:after="0"/>
            <w:rPr>
              <w:color w:val="auto"/>
              <w:sz w:val="24"/>
              <w:szCs w:val="24"/>
            </w:rPr>
          </w:pPr>
          <w:r>
            <w:rPr>
              <w:color w:val="auto"/>
              <w:sz w:val="24"/>
              <w:szCs w:val="24"/>
            </w:rPr>
            <w:t xml:space="preserve">23.1.1.2. der causa à inexecução parcial do contrato que cause grave dano à Administração, ao funcionamento dos serviços públicos ou ao interesse coletivo; </w:t>
          </w:r>
        </w:p>
        <w:p>
          <w:pPr>
            <w:pStyle w:val="Normal"/>
            <w:spacing w:lineRule="auto" w:line="240" w:before="120" w:after="0"/>
            <w:rPr>
              <w:color w:val="auto"/>
              <w:sz w:val="24"/>
              <w:szCs w:val="24"/>
            </w:rPr>
          </w:pPr>
          <w:r>
            <w:rPr>
              <w:color w:val="auto"/>
              <w:sz w:val="24"/>
              <w:szCs w:val="24"/>
            </w:rPr>
            <w:t xml:space="preserve">23.1.1.3. der causa à inexecução total do contrato; </w:t>
          </w:r>
        </w:p>
        <w:p>
          <w:pPr>
            <w:pStyle w:val="Normal"/>
            <w:spacing w:lineRule="auto" w:line="240" w:before="120" w:after="0"/>
            <w:rPr>
              <w:color w:val="auto"/>
              <w:sz w:val="24"/>
              <w:szCs w:val="24"/>
            </w:rPr>
          </w:pPr>
          <w:r>
            <w:rPr>
              <w:color w:val="auto"/>
              <w:sz w:val="24"/>
              <w:szCs w:val="24"/>
            </w:rPr>
            <w:t>23.1.1.4. deixe de entregar a documentação exigida para o certame;</w:t>
          </w:r>
        </w:p>
        <w:p>
          <w:pPr>
            <w:pStyle w:val="Normal"/>
            <w:spacing w:lineRule="auto" w:line="240" w:before="120" w:after="0"/>
            <w:rPr>
              <w:color w:val="auto"/>
              <w:sz w:val="24"/>
              <w:szCs w:val="24"/>
            </w:rPr>
          </w:pPr>
          <w:r>
            <w:rPr>
              <w:color w:val="auto"/>
              <w:sz w:val="24"/>
              <w:szCs w:val="24"/>
            </w:rPr>
            <w:t>23.1.1.5. não mantenha a proposta, salvo se a não manutenção decorrer de fato superveniente, devidamente justificado;</w:t>
          </w:r>
        </w:p>
        <w:p>
          <w:pPr>
            <w:pStyle w:val="Normal"/>
            <w:spacing w:lineRule="auto" w:line="240" w:before="120" w:after="0"/>
            <w:rPr>
              <w:color w:val="auto"/>
              <w:sz w:val="24"/>
              <w:szCs w:val="24"/>
            </w:rPr>
          </w:pPr>
          <w:r>
            <w:rPr>
              <w:color w:val="auto"/>
              <w:sz w:val="24"/>
              <w:szCs w:val="24"/>
            </w:rPr>
            <w:t xml:space="preserve">23.1.1.6. não celebre o contrato ou não entregue a documentação exigida para a contratação, quando convocado dentro do prazo de validade de sua proposta; </w:t>
          </w:r>
        </w:p>
        <w:p>
          <w:pPr>
            <w:pStyle w:val="Normal"/>
            <w:spacing w:lineRule="auto" w:line="240" w:before="120" w:after="0"/>
            <w:rPr>
              <w:color w:val="auto"/>
              <w:sz w:val="24"/>
              <w:szCs w:val="24"/>
            </w:rPr>
          </w:pPr>
          <w:r>
            <w:rPr>
              <w:color w:val="auto"/>
              <w:sz w:val="24"/>
              <w:szCs w:val="24"/>
            </w:rPr>
            <w:t xml:space="preserve">23.1.1.7. enseje o retardamento da execução ou da entrega do objeto da dispensa de licitação, sem motivo justificado; </w:t>
          </w:r>
        </w:p>
        <w:p>
          <w:pPr>
            <w:pStyle w:val="Normal"/>
            <w:spacing w:lineRule="auto" w:line="240" w:before="120" w:after="0"/>
            <w:rPr>
              <w:color w:val="auto"/>
              <w:sz w:val="24"/>
              <w:szCs w:val="24"/>
            </w:rPr>
          </w:pPr>
          <w:r>
            <w:rPr>
              <w:color w:val="auto"/>
              <w:sz w:val="24"/>
              <w:szCs w:val="24"/>
            </w:rPr>
            <w:t xml:space="preserve">23.1.1.8. apresente declaração ou documentação falsa exigida para o certame, ou preste declaração falsa durante a dispensa de licitação ou a execução do contrato; </w:t>
          </w:r>
        </w:p>
        <w:p>
          <w:pPr>
            <w:pStyle w:val="Normal"/>
            <w:spacing w:lineRule="auto" w:line="240" w:before="120" w:after="0"/>
            <w:rPr>
              <w:color w:val="auto"/>
              <w:sz w:val="24"/>
              <w:szCs w:val="24"/>
            </w:rPr>
          </w:pPr>
          <w:r>
            <w:rPr>
              <w:color w:val="auto"/>
              <w:sz w:val="24"/>
              <w:szCs w:val="24"/>
            </w:rPr>
            <w:t xml:space="preserve">23.1.1.9. fraude a dispensa de licitação ou pratique ato fraudulento na execução do contrato; </w:t>
          </w:r>
        </w:p>
        <w:p>
          <w:pPr>
            <w:pStyle w:val="Normal"/>
            <w:spacing w:lineRule="auto" w:line="240" w:before="120" w:after="0"/>
            <w:rPr>
              <w:color w:val="auto"/>
              <w:sz w:val="24"/>
              <w:szCs w:val="24"/>
            </w:rPr>
          </w:pPr>
          <w:r>
            <w:rPr>
              <w:color w:val="auto"/>
              <w:sz w:val="24"/>
              <w:szCs w:val="24"/>
            </w:rPr>
            <w:t>23.1.1.10. comporte-se de modo inidôneo ou cometa fraude de qualquer natureza;</w:t>
          </w:r>
        </w:p>
        <w:p>
          <w:pPr>
            <w:pStyle w:val="Normal"/>
            <w:spacing w:lineRule="auto" w:line="240" w:before="120" w:after="0"/>
            <w:rPr>
              <w:color w:val="auto"/>
              <w:sz w:val="24"/>
              <w:szCs w:val="24"/>
            </w:rPr>
          </w:pPr>
          <w:r>
            <w:rPr>
              <w:color w:val="auto"/>
              <w:sz w:val="24"/>
              <w:szCs w:val="24"/>
            </w:rPr>
            <w:t xml:space="preserve">23.1.1.11. pratique atos ilícitos com vistas a frustrar os objetivos da dispensa de licitação; </w:t>
          </w:r>
        </w:p>
        <w:p>
          <w:pPr>
            <w:pStyle w:val="Normal"/>
            <w:spacing w:lineRule="auto" w:line="240" w:before="120" w:after="0"/>
            <w:rPr>
              <w:color w:val="auto"/>
              <w:sz w:val="24"/>
              <w:szCs w:val="24"/>
            </w:rPr>
          </w:pPr>
          <w:r>
            <w:rPr>
              <w:color w:val="auto"/>
              <w:sz w:val="24"/>
              <w:szCs w:val="24"/>
            </w:rPr>
            <w:t xml:space="preserve">23.1.1.12. pratique ato lesivo previsto no art. 5º da Lei nº 12.846, de 1º de agosto de 2013. </w:t>
          </w:r>
        </w:p>
        <w:p>
          <w:pPr>
            <w:pStyle w:val="Heading6"/>
            <w:spacing w:lineRule="auto" w:line="240" w:before="120" w:after="0"/>
            <w:rPr>
              <w:sz w:val="24"/>
              <w:szCs w:val="24"/>
            </w:rPr>
          </w:pPr>
          <w:r>
            <w:rPr>
              <w:sz w:val="24"/>
              <w:szCs w:val="24"/>
            </w:rPr>
            <w:t>23.2. Do Processo Administrativo e das Sanções Administrativas</w:t>
          </w:r>
        </w:p>
        <w:p>
          <w:pPr>
            <w:pStyle w:val="Normal"/>
            <w:spacing w:lineRule="auto" w:line="240" w:before="120" w:after="0"/>
            <w:rPr>
              <w:color w:val="auto"/>
              <w:sz w:val="24"/>
              <w:szCs w:val="24"/>
            </w:rPr>
          </w:pPr>
          <w:r>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spacing w:lineRule="auto" w:line="240" w:before="120" w:after="0"/>
            <w:rPr>
              <w:color w:val="auto"/>
              <w:sz w:val="24"/>
              <w:szCs w:val="24"/>
            </w:rPr>
          </w:pPr>
          <w:r>
            <w:rPr>
              <w:color w:val="auto"/>
              <w:sz w:val="24"/>
              <w:szCs w:val="24"/>
            </w:rPr>
            <w:t xml:space="preserve">23.2.2. Serão aplicadas ao responsável pelas infrações administrativas, de acordo com a dosimetria estabelecida na norma indicada no </w:t>
          </w:r>
          <w:r>
            <w:rPr>
              <w:b/>
              <w:bCs/>
              <w:color w:val="auto"/>
              <w:sz w:val="24"/>
              <w:szCs w:val="24"/>
            </w:rPr>
            <w:t>Anexo IV – FOLHA DE DADOS (CGDL 23.2.2)</w:t>
          </w:r>
          <w:r>
            <w:rPr>
              <w:color w:val="auto"/>
              <w:sz w:val="24"/>
              <w:szCs w:val="24"/>
            </w:rPr>
            <w:t xml:space="preserve">, as seguintes sanções: </w:t>
          </w:r>
        </w:p>
        <w:p>
          <w:pPr>
            <w:pStyle w:val="Normal"/>
            <w:spacing w:lineRule="auto" w:line="240" w:before="120" w:after="0"/>
            <w:rPr>
              <w:color w:val="auto"/>
              <w:sz w:val="24"/>
              <w:szCs w:val="24"/>
            </w:rPr>
          </w:pPr>
          <w:r>
            <w:rPr>
              <w:color w:val="auto"/>
              <w:sz w:val="24"/>
              <w:szCs w:val="24"/>
            </w:rPr>
            <w:t xml:space="preserve">23.2.2.1. advertência, para a infração prevista no </w:t>
          </w:r>
          <w:r>
            <w:rPr>
              <w:b/>
              <w:bCs/>
              <w:color w:val="auto"/>
              <w:sz w:val="24"/>
              <w:szCs w:val="24"/>
            </w:rPr>
            <w:t>subitem 23.1.1.1</w:t>
          </w:r>
          <w:r>
            <w:rPr>
              <w:color w:val="auto"/>
              <w:sz w:val="24"/>
              <w:szCs w:val="24"/>
            </w:rPr>
            <w:t xml:space="preserve">, </w:t>
          </w:r>
          <w:r>
            <w:rPr>
              <w:rFonts w:eastAsia="Arial"/>
              <w:color w:val="auto"/>
              <w:sz w:val="24"/>
              <w:szCs w:val="24"/>
            </w:rPr>
            <w:t>quando não se justificar a imposição de penalidade mais grave</w:t>
          </w:r>
          <w:r>
            <w:rPr>
              <w:color w:val="auto"/>
              <w:sz w:val="24"/>
              <w:szCs w:val="24"/>
            </w:rPr>
            <w:t>;</w:t>
          </w:r>
        </w:p>
        <w:p>
          <w:pPr>
            <w:pStyle w:val="Normal"/>
            <w:spacing w:lineRule="auto" w:line="240" w:before="120" w:after="0"/>
            <w:rPr>
              <w:color w:val="auto"/>
              <w:sz w:val="24"/>
              <w:szCs w:val="24"/>
            </w:rPr>
          </w:pPr>
          <w:r>
            <w:rPr>
              <w:color w:val="auto"/>
              <w:sz w:val="24"/>
              <w:szCs w:val="24"/>
            </w:rPr>
            <w:t>23.2.2.2. multa, nas modalidades:</w:t>
          </w:r>
        </w:p>
        <w:p>
          <w:pPr>
            <w:pStyle w:val="Normal"/>
            <w:spacing w:lineRule="auto" w:line="240" w:before="120" w:after="0"/>
            <w:rPr>
              <w:color w:val="auto"/>
              <w:sz w:val="24"/>
              <w:szCs w:val="24"/>
            </w:rPr>
          </w:pPr>
          <w:r>
            <w:rPr>
              <w:color w:val="auto"/>
              <w:sz w:val="24"/>
              <w:szCs w:val="24"/>
            </w:rPr>
            <w:t xml:space="preserve">23.2.2.2.1. compensatória, de até 10% sobre o valor da parcela inadimplida, para quaisquer das infrações previstas nos </w:t>
          </w:r>
          <w:r>
            <w:rPr>
              <w:b/>
              <w:bCs/>
              <w:color w:val="auto"/>
              <w:sz w:val="24"/>
              <w:szCs w:val="24"/>
            </w:rPr>
            <w:t>subitens 23.1.1.1. a 23.1.1.12</w:t>
          </w:r>
          <w:r>
            <w:rPr>
              <w:color w:val="auto"/>
              <w:sz w:val="24"/>
              <w:szCs w:val="24"/>
            </w:rPr>
            <w:t>;</w:t>
          </w:r>
        </w:p>
        <w:p>
          <w:pPr>
            <w:pStyle w:val="Normal"/>
            <w:spacing w:lineRule="auto" w:line="240" w:before="120" w:after="0"/>
            <w:rPr>
              <w:color w:val="auto"/>
              <w:sz w:val="24"/>
              <w:szCs w:val="24"/>
            </w:rPr>
          </w:pPr>
          <w:r>
            <w:rPr>
              <w:color w:val="auto"/>
              <w:sz w:val="24"/>
              <w:szCs w:val="24"/>
            </w:rPr>
            <w:t>23.2.2.2.2.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val="auto"/>
              <w:sz w:val="24"/>
              <w:szCs w:val="24"/>
            </w:rPr>
          </w:pPr>
          <w:r>
            <w:rPr>
              <w:color w:val="auto"/>
              <w:sz w:val="24"/>
              <w:szCs w:val="24"/>
            </w:rPr>
            <w:t xml:space="preserve">23.2.2.3. impedimento de licitar e contratar, para as infrações previstas nos </w:t>
          </w:r>
          <w:r>
            <w:rPr>
              <w:b/>
              <w:bCs/>
              <w:color w:val="auto"/>
              <w:sz w:val="24"/>
              <w:szCs w:val="24"/>
            </w:rPr>
            <w:t>subitens 23.1.1.2. a 23.1.1.7</w:t>
          </w:r>
          <w:r>
            <w:rPr>
              <w:color w:val="auto"/>
              <w:sz w:val="24"/>
              <w:szCs w:val="24"/>
            </w:rPr>
            <w:t xml:space="preserve">, </w:t>
          </w:r>
          <w:r>
            <w:rPr>
              <w:rFonts w:eastAsia="Arial"/>
              <w:color w:val="auto"/>
              <w:sz w:val="24"/>
              <w:szCs w:val="24"/>
            </w:rPr>
            <w:t>quando não se justificar a imposição de penalidade mais grave;</w:t>
          </w:r>
        </w:p>
        <w:p>
          <w:pPr>
            <w:pStyle w:val="Normal"/>
            <w:spacing w:lineRule="auto" w:line="240" w:before="120" w:after="0"/>
            <w:rPr>
              <w:color w:val="auto"/>
              <w:sz w:val="24"/>
              <w:szCs w:val="24"/>
            </w:rPr>
          </w:pPr>
          <w:r>
            <w:rPr>
              <w:color w:val="auto"/>
              <w:sz w:val="24"/>
              <w:szCs w:val="24"/>
            </w:rPr>
            <w:t xml:space="preserve">23.2.2.4. declaração de inidoneidade para licitar e contratar, para as infrações previstas nos </w:t>
          </w:r>
          <w:r>
            <w:rPr>
              <w:b/>
              <w:bCs/>
              <w:color w:val="auto"/>
              <w:sz w:val="24"/>
              <w:szCs w:val="24"/>
            </w:rPr>
            <w:t>subitens 23.1.1.8. a 23.1.1.12</w:t>
          </w:r>
          <w:r>
            <w:rPr>
              <w:color w:val="auto"/>
              <w:sz w:val="24"/>
              <w:szCs w:val="24"/>
            </w:rPr>
            <w:t>.</w:t>
          </w:r>
        </w:p>
        <w:p>
          <w:pPr>
            <w:pStyle w:val="Heading6"/>
            <w:spacing w:lineRule="auto" w:line="240" w:before="120" w:after="0"/>
            <w:rPr>
              <w:sz w:val="24"/>
              <w:szCs w:val="24"/>
            </w:rPr>
          </w:pPr>
          <w:r>
            <w:rPr>
              <w:sz w:val="24"/>
              <w:szCs w:val="24"/>
            </w:rPr>
            <w:t>23.3. Da Aplicação das Sanções</w:t>
          </w:r>
        </w:p>
        <w:p>
          <w:pPr>
            <w:pStyle w:val="Normal"/>
            <w:spacing w:lineRule="auto" w:line="240" w:before="120" w:after="0"/>
            <w:rPr>
              <w:color w:val="auto"/>
              <w:sz w:val="24"/>
              <w:szCs w:val="24"/>
            </w:rPr>
          </w:pPr>
          <w:r>
            <w:rPr>
              <w:color w:val="auto"/>
              <w:sz w:val="24"/>
              <w:szCs w:val="24"/>
            </w:rPr>
            <w:t>23.3.1. As sanções aqui previstas são independentes entre si, podendo ser aplicadas isoladas ou, no caso das multas, cumulativamente, sem prejuízo de outras medidas cabíveis.</w:t>
          </w:r>
        </w:p>
        <w:p>
          <w:pPr>
            <w:pStyle w:val="Normal"/>
            <w:spacing w:lineRule="auto" w:line="240" w:before="120" w:after="0"/>
            <w:rPr>
              <w:color w:val="auto"/>
              <w:sz w:val="24"/>
              <w:szCs w:val="24"/>
            </w:rPr>
          </w:pPr>
          <w:r>
            <w:rPr>
              <w:color w:val="auto"/>
              <w:sz w:val="24"/>
              <w:szCs w:val="24"/>
            </w:rPr>
            <w:t>23.3.2. A aplicação de sanções não exime o participante ou o contratado da obrigação de reparar os danos, perdas ou prejuízos que venha a causar ao ente público.</w:t>
          </w:r>
        </w:p>
        <w:p>
          <w:pPr>
            <w:pStyle w:val="Normal"/>
            <w:spacing w:lineRule="auto" w:line="240" w:before="120" w:after="0"/>
            <w:rPr>
              <w:color w:val="auto"/>
              <w:sz w:val="24"/>
              <w:szCs w:val="24"/>
            </w:rPr>
          </w:pPr>
          <w:r>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color w:val="auto"/>
              <w:sz w:val="24"/>
              <w:szCs w:val="24"/>
            </w:rPr>
          </w:pPr>
          <w:r>
            <w:rPr>
              <w:color w:val="auto"/>
              <w:sz w:val="24"/>
              <w:szCs w:val="24"/>
            </w:rPr>
            <w:t xml:space="preserve">23.3.3. </w:t>
          </w:r>
          <w:r>
            <w:rPr>
              <w:rFonts w:eastAsia="Arial"/>
              <w:color w:val="auto"/>
              <w:sz w:val="24"/>
              <w:szCs w:val="24"/>
            </w:rPr>
            <w:t>A multa de mora poderá ser convertida em multa compensatória, com a aplicação cumulada de outras sanções previstas neste Termo.</w:t>
          </w:r>
        </w:p>
        <w:p>
          <w:pPr>
            <w:pStyle w:val="Normal"/>
            <w:spacing w:lineRule="auto" w:line="240" w:before="120" w:after="0"/>
            <w:rPr>
              <w:color w:val="auto"/>
              <w:sz w:val="24"/>
              <w:szCs w:val="24"/>
            </w:rPr>
          </w:pPr>
          <w:r>
            <w:rPr>
              <w:color w:val="auto"/>
              <w:sz w:val="24"/>
              <w:szCs w:val="24"/>
            </w:rPr>
            <w:t>23.3.4 As penalidades de multa decorrentes de fatos diversos serão consideradas independentes entre si.</w:t>
          </w:r>
        </w:p>
        <w:p>
          <w:pPr>
            <w:pStyle w:val="Normal"/>
            <w:spacing w:lineRule="auto" w:line="240" w:before="120" w:after="0"/>
            <w:rPr>
              <w:color w:val="auto"/>
              <w:sz w:val="24"/>
              <w:szCs w:val="24"/>
            </w:rPr>
          </w:pPr>
          <w:r>
            <w:rPr>
              <w:color w:val="auto"/>
              <w:sz w:val="24"/>
              <w:szCs w:val="24"/>
            </w:rPr>
            <w:t xml:space="preserve">23.3.5. O contrato, sem prejuízo das multas e demais cominações legais previstas no instrumento, poderá ser rescindido unilateralmente, por ato formal da Administração, nos casos enumerados nos incisos do </w:t>
          </w:r>
          <w:r>
            <w:rPr>
              <w:i/>
              <w:iCs/>
              <w:color w:val="auto"/>
              <w:sz w:val="24"/>
              <w:szCs w:val="24"/>
            </w:rPr>
            <w:t>caput</w:t>
          </w:r>
          <w:r>
            <w:rPr>
              <w:color w:val="auto"/>
              <w:sz w:val="24"/>
              <w:szCs w:val="24"/>
            </w:rPr>
            <w:t xml:space="preserve"> do art. 137 da Lei Federal nº 14.133/2021.</w:t>
          </w:r>
        </w:p>
        <w:p>
          <w:pPr>
            <w:pStyle w:val="Normal"/>
            <w:spacing w:lineRule="auto" w:line="240" w:before="120" w:after="0"/>
            <w:rPr>
              <w:color w:val="auto"/>
              <w:sz w:val="24"/>
              <w:szCs w:val="24"/>
            </w:rPr>
          </w:pPr>
          <w:r>
            <w:rPr>
              <w:color w:val="auto"/>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color w:val="auto"/>
              <w:sz w:val="24"/>
              <w:szCs w:val="24"/>
            </w:rPr>
          </w:pPr>
          <w:r>
            <w:rPr>
              <w:color w:val="auto"/>
              <w:sz w:val="24"/>
              <w:szCs w:val="24"/>
            </w:rPr>
            <w:t>23.3.7.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color w:val="auto"/>
              <w:sz w:val="24"/>
              <w:szCs w:val="24"/>
            </w:rPr>
          </w:pPr>
          <w:r>
            <w:rPr>
              <w:color w:val="auto"/>
              <w:sz w:val="24"/>
              <w:szCs w:val="24"/>
            </w:rPr>
            <w:t>23.3.8. As sanções de impedimento de licitar e contratar e de declaração de inidoneidade levam à inclusão do participante no CFIL/RS.</w:t>
          </w:r>
        </w:p>
        <w:p>
          <w:pPr>
            <w:pStyle w:val="Normal"/>
            <w:spacing w:lineRule="auto" w:line="240" w:before="120" w:after="0"/>
            <w:rPr>
              <w:color w:val="auto"/>
              <w:sz w:val="24"/>
              <w:szCs w:val="24"/>
            </w:rPr>
          </w:pPr>
          <w:r>
            <w:rPr>
              <w:color w:val="auto"/>
              <w:sz w:val="24"/>
              <w:szCs w:val="24"/>
            </w:rPr>
          </w:r>
        </w:p>
        <w:p>
          <w:pPr>
            <w:pStyle w:val="Heading6"/>
            <w:spacing w:lineRule="auto" w:line="240" w:before="120" w:after="0"/>
            <w:rPr>
              <w:sz w:val="24"/>
              <w:szCs w:val="24"/>
            </w:rPr>
          </w:pPr>
          <w:r>
            <w:rPr>
              <w:sz w:val="24"/>
              <w:szCs w:val="24"/>
            </w:rPr>
            <w:t>23.4. Da execução da garantia contratual</w:t>
          </w:r>
        </w:p>
        <w:p>
          <w:pPr>
            <w:pStyle w:val="Normal"/>
            <w:spacing w:lineRule="auto" w:line="240" w:before="120" w:after="0"/>
            <w:rPr>
              <w:color w:val="auto"/>
              <w:sz w:val="24"/>
              <w:szCs w:val="24"/>
            </w:rPr>
          </w:pPr>
          <w:r>
            <w:rPr>
              <w:color w:val="auto"/>
              <w:sz w:val="24"/>
              <w:szCs w:val="24"/>
            </w:rPr>
            <w:t>23.4.1. O valor da multa poderá ser descontado da garantia contratual.</w:t>
          </w:r>
        </w:p>
        <w:p>
          <w:pPr>
            <w:pStyle w:val="Normal"/>
            <w:spacing w:lineRule="auto" w:line="240" w:before="120" w:after="0"/>
            <w:rPr>
              <w:color w:val="auto"/>
              <w:sz w:val="24"/>
              <w:szCs w:val="24"/>
            </w:rPr>
          </w:pPr>
          <w:r>
            <w:rPr>
              <w:color w:val="auto"/>
              <w:sz w:val="24"/>
              <w:szCs w:val="24"/>
            </w:rPr>
            <w:t>23.4.2.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color w:val="auto"/>
              <w:sz w:val="24"/>
              <w:szCs w:val="24"/>
            </w:rPr>
          </w:pPr>
          <w:r>
            <w:rPr>
              <w:color w:val="auto"/>
              <w:sz w:val="24"/>
              <w:szCs w:val="24"/>
            </w:rPr>
            <w:t>23.4.3. Se os valores da garantia e das faturas forem insuficientes, fica o contratado obrigado a recolher a diferença devida, no prazo de 15 (quinze) dias, contados da comunicação oficial.</w:t>
          </w:r>
        </w:p>
        <w:p>
          <w:pPr>
            <w:pStyle w:val="Normal"/>
            <w:spacing w:lineRule="auto" w:line="240" w:before="120" w:after="0"/>
            <w:rPr>
              <w:color w:val="auto"/>
              <w:sz w:val="24"/>
              <w:szCs w:val="24"/>
            </w:rPr>
          </w:pPr>
          <w:r>
            <w:rPr>
              <w:color w:val="auto"/>
              <w:sz w:val="24"/>
              <w:szCs w:val="24"/>
            </w:rPr>
            <w:t>23.4.4. Esgotados os meios administrativos para cobrança do valor devido pelo contratado ao contratante, o débito será encaminhado para inscrição em dívida ativa não tributária.</w:t>
          </w:r>
        </w:p>
        <w:p>
          <w:pPr>
            <w:pStyle w:val="Normal"/>
            <w:spacing w:lineRule="auto" w:line="240" w:before="120" w:after="0"/>
            <w:rPr>
              <w:color w:val="auto"/>
              <w:sz w:val="24"/>
              <w:szCs w:val="24"/>
            </w:rPr>
          </w:pPr>
          <w:r>
            <w:rPr>
              <w:color w:val="auto"/>
              <w:sz w:val="24"/>
              <w:szCs w:val="24"/>
            </w:rPr>
            <w:t>23.4.5. Caso o valor da garantia seja utilizado, no todo ou em parte, para o pagamento da multa, essa deve ser complementada no prazo de até 10 (dez) dias, contado da solicitação do contratante.</w:t>
          </w:r>
        </w:p>
        <w:p>
          <w:pPr>
            <w:pStyle w:val="Normal"/>
            <w:spacing w:lineRule="auto" w:line="240" w:before="120" w:after="0"/>
            <w:rPr>
              <w:color w:val="auto"/>
              <w:sz w:val="24"/>
              <w:szCs w:val="24"/>
            </w:rPr>
          </w:pPr>
          <w:r>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24. DAS DISPOSIÇÕES FINAIS </w:t>
          </w:r>
        </w:p>
        <w:p>
          <w:pPr>
            <w:pStyle w:val="Normal"/>
            <w:spacing w:lineRule="auto" w:line="240" w:before="120" w:after="0"/>
            <w:rPr>
              <w:color w:val="auto"/>
              <w:sz w:val="24"/>
              <w:szCs w:val="24"/>
            </w:rPr>
          </w:pPr>
          <w:r>
            <w:rPr>
              <w:color w:val="auto"/>
              <w:sz w:val="24"/>
              <w:szCs w:val="24"/>
            </w:rPr>
            <w:t>24.1. As atas serão geradas eletronicamente após o encerramento da sessão pública pelo agente de contratação.</w:t>
          </w:r>
        </w:p>
        <w:p>
          <w:pPr>
            <w:pStyle w:val="Normal"/>
            <w:spacing w:lineRule="auto" w:line="240" w:before="120" w:after="0"/>
            <w:rPr>
              <w:color w:val="auto"/>
              <w:sz w:val="24"/>
              <w:szCs w:val="24"/>
            </w:rPr>
          </w:pPr>
          <w:r>
            <w:rPr>
              <w:color w:val="auto"/>
              <w:sz w:val="24"/>
              <w:szCs w:val="24"/>
            </w:rPr>
            <w:t>24.1.1. Nas atas da sessão pública, deverão constar os registros dos participantes, das propostas apresentadas, da análise da documentação de habilitação e do vencedor da dispensa de licitação.</w:t>
          </w:r>
        </w:p>
        <w:p>
          <w:pPr>
            <w:pStyle w:val="Normal"/>
            <w:spacing w:lineRule="auto" w:line="240" w:before="120" w:after="0"/>
            <w:rPr>
              <w:color w:val="auto"/>
              <w:sz w:val="24"/>
              <w:szCs w:val="24"/>
            </w:rPr>
          </w:pPr>
          <w:r>
            <w:rPr>
              <w:color w:val="auto"/>
              <w:sz w:val="24"/>
              <w:szCs w:val="24"/>
            </w:rPr>
            <w:t xml:space="preserve">24.1.2. Os demais atos licitatórios serão registrados nos autos do processo da dispensa de licitação.  </w:t>
          </w:r>
        </w:p>
        <w:p>
          <w:pPr>
            <w:pStyle w:val="Normal"/>
            <w:spacing w:lineRule="auto" w:line="240" w:before="120" w:after="0"/>
            <w:rPr>
              <w:color w:val="auto"/>
              <w:sz w:val="24"/>
              <w:szCs w:val="24"/>
            </w:rPr>
          </w:pPr>
          <w:r>
            <w:rPr>
              <w:color w:val="auto"/>
              <w:sz w:val="24"/>
              <w:szCs w:val="24"/>
            </w:rPr>
            <w:t>24.2. O participante deverá examinar detidamente as disposições contidas neste Termo, pois a simples apresentação da proposta o vincula de modo incondicional ao competitório.</w:t>
          </w:r>
        </w:p>
        <w:p>
          <w:pPr>
            <w:pStyle w:val="Normal"/>
            <w:spacing w:lineRule="auto" w:line="240" w:before="120" w:after="0"/>
            <w:rPr>
              <w:color w:val="auto"/>
              <w:sz w:val="24"/>
              <w:szCs w:val="24"/>
            </w:rPr>
          </w:pPr>
          <w:r>
            <w:rPr>
              <w:color w:val="auto"/>
              <w:sz w:val="24"/>
              <w:szCs w:val="24"/>
            </w:rPr>
            <w:t>24.3. A falsidade de qualquer documento ou a inverdade das informações nele contidas implicará a imediata desclassificação do participante que o tiver apresentado, sem prejuízo das demais sanções cabíveis.</w:t>
          </w:r>
        </w:p>
        <w:p>
          <w:pPr>
            <w:pStyle w:val="Normal"/>
            <w:spacing w:lineRule="auto" w:line="240" w:before="120" w:after="0"/>
            <w:rPr>
              <w:color w:val="auto"/>
              <w:sz w:val="24"/>
              <w:szCs w:val="24"/>
            </w:rPr>
          </w:pPr>
          <w:r>
            <w:rPr>
              <w:color w:val="auto"/>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spacing w:lineRule="auto" w:line="240" w:before="120" w:after="0"/>
            <w:rPr>
              <w:color w:val="auto"/>
              <w:sz w:val="24"/>
              <w:szCs w:val="24"/>
            </w:rPr>
          </w:pPr>
          <w:r>
            <w:rPr>
              <w:color w:val="auto"/>
              <w:sz w:val="24"/>
              <w:szCs w:val="24"/>
            </w:rPr>
            <w:t>24.4.1. É facultado ao agente de contratação ou à autoridade superior convocar os participantes para quaisquer esclarecimentos necessários ao entendimento de suas propostas.</w:t>
          </w:r>
        </w:p>
        <w:p>
          <w:pPr>
            <w:pStyle w:val="Normal"/>
            <w:spacing w:lineRule="auto" w:line="240" w:before="120" w:after="0"/>
            <w:rPr>
              <w:color w:val="auto"/>
              <w:sz w:val="24"/>
              <w:szCs w:val="24"/>
            </w:rPr>
          </w:pPr>
          <w:r>
            <w:rPr>
              <w:color w:val="auto"/>
              <w:sz w:val="24"/>
              <w:szCs w:val="24"/>
            </w:rPr>
            <w:t xml:space="preserve">24.5. As informações, atas e relatórios pertinentes à presente dispensa de licitação serão disponibilizados no </w:t>
          </w:r>
          <w:r>
            <w:rPr>
              <w:i/>
              <w:iCs/>
              <w:color w:val="auto"/>
              <w:sz w:val="24"/>
              <w:szCs w:val="24"/>
            </w:rPr>
            <w:t xml:space="preserve">site </w:t>
          </w:r>
          <w:r>
            <w:rPr>
              <w:color w:val="auto"/>
              <w:sz w:val="24"/>
              <w:szCs w:val="24"/>
            </w:rPr>
            <w:t xml:space="preserve">referido no </w:t>
          </w:r>
          <w:r>
            <w:rPr>
              <w:b/>
              <w:bCs/>
              <w:color w:val="auto"/>
              <w:sz w:val="24"/>
              <w:szCs w:val="24"/>
            </w:rPr>
            <w:t>Anexo IV – FOLHA DE DADOS (CGDL 2.1)</w:t>
          </w:r>
          <w:r>
            <w:rPr>
              <w:color w:val="auto"/>
              <w:sz w:val="24"/>
              <w:szCs w:val="24"/>
            </w:rPr>
            <w:t xml:space="preserve">, sem prejuízo às informações prestadas ao Portal Nacional de Contratações Públicas. </w:t>
          </w:r>
        </w:p>
        <w:p>
          <w:pPr>
            <w:pStyle w:val="Normal"/>
            <w:spacing w:lineRule="auto" w:line="240" w:before="120" w:after="0"/>
            <w:rPr>
              <w:color w:val="auto"/>
              <w:sz w:val="24"/>
              <w:szCs w:val="24"/>
            </w:rPr>
          </w:pPr>
          <w:r>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color w:val="auto"/>
              <w:sz w:val="24"/>
              <w:szCs w:val="24"/>
            </w:rPr>
          </w:pPr>
          <w:r>
            <w:rPr>
              <w:color w:val="auto"/>
              <w:sz w:val="24"/>
              <w:szCs w:val="24"/>
            </w:rPr>
            <w:t>24.7. A homologação do resultado desta dispensa de licitação não implicará direito à contratação.</w:t>
          </w:r>
        </w:p>
        <w:p>
          <w:pPr>
            <w:pStyle w:val="Normal"/>
            <w:spacing w:lineRule="auto" w:line="240" w:before="120" w:after="0"/>
            <w:rPr>
              <w:color w:val="auto"/>
              <w:sz w:val="24"/>
              <w:szCs w:val="24"/>
            </w:rPr>
          </w:pPr>
          <w:r>
            <w:rPr>
              <w:color w:val="auto"/>
              <w:sz w:val="24"/>
              <w:szCs w:val="24"/>
            </w:rPr>
            <w:t>24.8. O presente Termo, bem como a proposta vencedora, fará parte integrante do instrumento de contrato, como se nele estivessem transcritos.</w:t>
          </w:r>
        </w:p>
        <w:p>
          <w:pPr>
            <w:pStyle w:val="Normal"/>
            <w:spacing w:lineRule="auto" w:line="240" w:before="120" w:after="0"/>
            <w:rPr>
              <w:color w:val="auto"/>
              <w:sz w:val="24"/>
              <w:szCs w:val="24"/>
            </w:rPr>
          </w:pPr>
          <w:r>
            <w:rPr>
              <w:color w:val="auto"/>
              <w:sz w:val="24"/>
              <w:szCs w:val="24"/>
            </w:rPr>
            <w:t xml:space="preserve">24.9. Aplicam-se aos casos omissos as disposições constantes na Lei Federal nº 14.133/2021. </w:t>
          </w:r>
        </w:p>
        <w:p>
          <w:pPr>
            <w:pStyle w:val="Normal"/>
            <w:spacing w:lineRule="auto" w:line="240" w:before="120" w:after="0"/>
            <w:rPr>
              <w:color w:val="auto"/>
              <w:sz w:val="24"/>
              <w:szCs w:val="24"/>
            </w:rPr>
          </w:pPr>
          <w:r>
            <w:rPr>
              <w:color w:val="auto"/>
              <w:sz w:val="24"/>
              <w:szCs w:val="24"/>
            </w:rPr>
            <w:t xml:space="preserve">24.10. Prevalecerão as disposições deste Termo, em caso de divergência com as demais peças que compõem o processo. </w:t>
          </w:r>
        </w:p>
        <w:p>
          <w:pPr>
            <w:pStyle w:val="Normal"/>
            <w:spacing w:lineRule="auto" w:line="240" w:before="120" w:after="0"/>
            <w:rPr>
              <w:color w:val="auto"/>
              <w:sz w:val="24"/>
              <w:szCs w:val="24"/>
            </w:rPr>
          </w:pPr>
          <w:r>
            <w:rPr>
              <w:color w:val="auto"/>
              <w:sz w:val="24"/>
              <w:szCs w:val="24"/>
            </w:rPr>
            <w:t xml:space="preserve">24.11. Fica eleito o foro da Comarca de Porto Alegre para dirimir quaisquer dúvidas ou questões relacionadas a este Termo ou aos seus anexos. </w:t>
          </w:r>
        </w:p>
        <w:p>
          <w:pPr>
            <w:pStyle w:val="Normal"/>
            <w:spacing w:lineRule="auto" w:line="240" w:before="120" w:after="0"/>
            <w:rPr>
              <w:color w:val="auto"/>
              <w:sz w:val="24"/>
              <w:szCs w:val="24"/>
            </w:rPr>
          </w:pPr>
          <w:r>
            <w:rPr>
              <w:color w:val="auto"/>
              <w:sz w:val="24"/>
              <w:szCs w:val="24"/>
            </w:rPr>
            <w:t>24.12. Integram este Termo, ainda, para todos os fins e efeitos, os seguintes anexos:</w:t>
          </w:r>
        </w:p>
        <w:p>
          <w:pPr>
            <w:pStyle w:val="Normal"/>
            <w:widowControl w:val="false"/>
            <w:pBdr/>
            <w:spacing w:lineRule="auto" w:line="240" w:before="120" w:after="0"/>
            <w:rPr>
              <w:b/>
              <w:bCs/>
              <w:color w:val="auto"/>
              <w:sz w:val="24"/>
              <w:szCs w:val="24"/>
            </w:rPr>
          </w:pPr>
          <w:r>
            <w:rPr>
              <w:b/>
              <w:bCs/>
              <w:color w:val="auto"/>
              <w:sz w:val="24"/>
              <w:szCs w:val="24"/>
            </w:rPr>
            <w:t>ANEXO I – MINUTA DE CONTRATO</w:t>
          </w:r>
        </w:p>
        <w:p>
          <w:pPr>
            <w:pStyle w:val="Normal"/>
            <w:widowControl w:val="false"/>
            <w:pBdr/>
            <w:spacing w:lineRule="auto" w:line="240" w:before="120" w:after="0"/>
            <w:rPr>
              <w:b/>
              <w:bCs/>
              <w:color w:val="auto"/>
              <w:sz w:val="24"/>
              <w:szCs w:val="24"/>
            </w:rPr>
          </w:pPr>
          <w:r>
            <w:rPr>
              <w:b/>
              <w:bCs/>
              <w:color w:val="auto"/>
              <w:sz w:val="24"/>
              <w:szCs w:val="24"/>
            </w:rPr>
            <w:t>ANEXO II – PLANILHA DE CUSTOS E FORMAÇÃO DE PREÇOS (a ser preenchida pelo participante vencedor)</w:t>
          </w:r>
        </w:p>
        <w:p>
          <w:pPr>
            <w:pStyle w:val="Normal"/>
            <w:widowControl w:val="false"/>
            <w:pBdr/>
            <w:spacing w:lineRule="auto" w:line="240" w:before="120" w:after="0"/>
            <w:rPr>
              <w:b/>
              <w:bCs/>
              <w:color w:val="auto"/>
              <w:sz w:val="24"/>
              <w:szCs w:val="24"/>
            </w:rPr>
          </w:pPr>
          <w:r>
            <w:rPr>
              <w:b/>
              <w:bCs/>
              <w:color w:val="auto"/>
              <w:sz w:val="24"/>
              <w:szCs w:val="24"/>
            </w:rPr>
            <w:t>ANEXO III – CARTA DE FIANÇA BANCÁRIA PARA GARANTIA DE EXECUÇÃO CONTRATUAL (se for o caso)</w:t>
          </w:r>
        </w:p>
        <w:p>
          <w:pPr>
            <w:pStyle w:val="Normal"/>
            <w:widowControl w:val="false"/>
            <w:pBdr/>
            <w:spacing w:lineRule="auto" w:line="240" w:before="120" w:after="0"/>
            <w:rPr>
              <w:b/>
              <w:bCs/>
              <w:color w:val="auto"/>
              <w:sz w:val="24"/>
              <w:szCs w:val="24"/>
            </w:rPr>
          </w:pPr>
          <w:r>
            <w:rPr>
              <w:b/>
              <w:bCs/>
              <w:color w:val="auto"/>
              <w:sz w:val="24"/>
              <w:szCs w:val="24"/>
            </w:rPr>
            <w:t>ANEXO IV – FOLHA DE DADOS</w:t>
          </w:r>
        </w:p>
        <w:p>
          <w:pPr>
            <w:pStyle w:val="Normal"/>
            <w:widowControl w:val="false"/>
            <w:pBdr/>
            <w:spacing w:lineRule="auto" w:line="240" w:before="120" w:after="0"/>
            <w:rPr>
              <w:b/>
              <w:bCs/>
              <w:color w:val="auto"/>
              <w:sz w:val="24"/>
              <w:szCs w:val="24"/>
            </w:rPr>
          </w:pPr>
          <w:r>
            <w:rPr>
              <w:b/>
              <w:bCs/>
              <w:color w:val="auto"/>
              <w:sz w:val="24"/>
              <w:szCs w:val="24"/>
            </w:rPr>
            <w:t>ANEXO V – TERMO DE REFERÊNCIA</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 xml:space="preserve">Porto Alegre, </w:t>
          </w:r>
          <w:r>
            <w:rPr>
              <w:color w:val="auto"/>
              <w:sz w:val="24"/>
              <w:szCs w:val="24"/>
            </w:rPr>
            <w:t>07</w:t>
          </w:r>
          <w:r>
            <w:rPr>
              <w:color w:val="auto"/>
              <w:sz w:val="24"/>
              <w:szCs w:val="24"/>
            </w:rPr>
            <w:t xml:space="preserve"> de </w:t>
          </w:r>
          <w:r>
            <w:rPr>
              <w:color w:val="auto"/>
              <w:sz w:val="24"/>
              <w:szCs w:val="24"/>
            </w:rPr>
            <w:t>fevereiro</w:t>
          </w:r>
          <w:r>
            <w:rPr>
              <w:color w:val="auto"/>
              <w:sz w:val="24"/>
              <w:szCs w:val="24"/>
            </w:rPr>
            <w:t xml:space="preserve"> de 2025</w:t>
          </w:r>
          <w:bookmarkStart w:id="40" w:name="_GoBack"/>
          <w:bookmarkEnd w:id="40"/>
          <w:r>
            <w:rPr>
              <w:color w:val="auto"/>
              <w:sz w:val="24"/>
              <w:szCs w:val="24"/>
            </w:rPr>
            <w:t>.</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Adriana M. Collares</w:t>
          </w:r>
        </w:p>
        <w:p>
          <w:pPr>
            <w:pStyle w:val="Normal"/>
            <w:spacing w:lineRule="auto" w:line="240" w:before="120" w:after="0"/>
            <w:rPr>
              <w:color w:val="auto"/>
              <w:sz w:val="24"/>
              <w:szCs w:val="24"/>
            </w:rPr>
          </w:pPr>
          <w:r>
            <w:rPr>
              <w:color w:val="auto"/>
              <w:sz w:val="24"/>
              <w:szCs w:val="24"/>
            </w:rPr>
            <w:t>ID 3567796-03</w:t>
          </w:r>
        </w:p>
        <w:p>
          <w:pPr>
            <w:pStyle w:val="Normal"/>
            <w:suppressAutoHyphens w:val="true"/>
            <w:spacing w:lineRule="auto" w:line="240" w:before="120" w:after="0"/>
            <w:jc w:val="left"/>
            <w:rPr>
              <w:sz w:val="24"/>
              <w:szCs w:val="24"/>
            </w:rPr>
          </w:pPr>
          <w:r>
            <w:rPr>
              <w:color w:val="auto"/>
              <w:sz w:val="24"/>
              <w:szCs w:val="24"/>
            </w:rPr>
            <w:t>(Agente de Contratação)</w:t>
          </w:r>
          <w:r>
            <w:br w:type="page"/>
          </w:r>
        </w:p>
        <w:p>
          <w:pPr>
            <w:pStyle w:val="Heading2"/>
            <w:spacing w:lineRule="auto" w:line="240" w:before="0" w:after="0"/>
            <w:rPr>
              <w:color w:val="auto"/>
              <w:sz w:val="24"/>
              <w:szCs w:val="24"/>
            </w:rPr>
          </w:pPr>
          <w:r>
            <w:rPr>
              <w:color w:val="auto"/>
              <w:sz w:val="24"/>
              <w:szCs w:val="24"/>
            </w:rPr>
            <w:t>ANEXO I - MINUTA DE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t>TERMO DE CONTRATO DE PRESTAÇÃO DE SERVIÇOS NÃO CONTINUADOS Nº</w:t>
          </w:r>
        </w:p>
        <w:p>
          <w:pPr>
            <w:pStyle w:val="Normal"/>
            <w:spacing w:lineRule="auto" w:line="240" w:before="120" w:after="0"/>
            <w:ind w:left="2977"/>
            <w:rPr>
              <w:color w:val="auto"/>
              <w:sz w:val="24"/>
              <w:szCs w:val="24"/>
            </w:rPr>
          </w:pPr>
          <w:r>
            <w:rPr>
              <w:color w:val="auto"/>
              <w:sz w:val="24"/>
              <w:szCs w:val="24"/>
            </w:rPr>
          </w:r>
        </w:p>
        <w:p>
          <w:pPr>
            <w:pStyle w:val="Normal"/>
            <w:spacing w:lineRule="auto" w:line="240" w:before="120" w:after="0"/>
            <w:rPr>
              <w:b/>
              <w:bCs/>
              <w:color w:val="auto"/>
              <w:sz w:val="24"/>
              <w:szCs w:val="24"/>
            </w:rPr>
          </w:pPr>
          <w:r>
            <w:rPr>
              <w:color w:val="auto"/>
              <w:sz w:val="24"/>
              <w:szCs w:val="24"/>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da Dispensa de Licitação n° .../... (número/ano), mediante as cláusulas e condições que se seguem:</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PRIMEIRA - DO OBJETO</w:t>
          </w:r>
        </w:p>
        <w:p>
          <w:pPr>
            <w:pStyle w:val="Normal"/>
            <w:spacing w:lineRule="auto" w:line="240" w:before="120" w:after="0"/>
            <w:rPr>
              <w:color w:val="auto"/>
              <w:sz w:val="24"/>
              <w:szCs w:val="24"/>
            </w:rPr>
          </w:pPr>
          <w:r>
            <w:rPr>
              <w:b/>
              <w:bCs/>
              <w:color w:val="auto"/>
              <w:sz w:val="24"/>
              <w:szCs w:val="24"/>
            </w:rPr>
            <w:t>1.1.</w:t>
          </w:r>
          <w:r>
            <w:rPr>
              <w:color w:val="auto"/>
              <w:sz w:val="24"/>
              <w:szCs w:val="24"/>
            </w:rPr>
            <w:t xml:space="preserve"> O objeto do presente instrumento é a contratação de serviços de [reproduzir o texto do </w:t>
          </w:r>
          <w:r>
            <w:rPr>
              <w:b/>
              <w:bCs/>
              <w:color w:val="auto"/>
              <w:sz w:val="24"/>
              <w:szCs w:val="24"/>
            </w:rPr>
            <w:t>Anexo IV – FOLHA DE DADOS (CGDL 1.1)</w:t>
          </w:r>
          <w:r>
            <w:rPr>
              <w:color w:val="auto"/>
              <w:sz w:val="24"/>
              <w:szCs w:val="24"/>
            </w:rPr>
            <w:t>], que serão prestados nas condições estabelecidas no Termo de Referência, Anexo V ao Termo.</w:t>
          </w:r>
        </w:p>
        <w:p>
          <w:pPr>
            <w:pStyle w:val="Normal"/>
            <w:spacing w:lineRule="auto" w:line="240" w:before="120" w:after="0"/>
            <w:rPr>
              <w:b/>
              <w:bCs/>
              <w:color w:val="auto"/>
              <w:sz w:val="24"/>
              <w:szCs w:val="24"/>
            </w:rPr>
          </w:pPr>
          <w:r>
            <w:rPr>
              <w:b/>
              <w:bCs/>
              <w:color w:val="auto"/>
              <w:sz w:val="24"/>
              <w:szCs w:val="24"/>
            </w:rPr>
            <w:t xml:space="preserve">1.2. </w:t>
          </w:r>
          <w:r>
            <w:rPr>
              <w:color w:val="auto"/>
              <w:sz w:val="24"/>
              <w:szCs w:val="24"/>
            </w:rPr>
            <w:t>Este contrato vincula-se ao Termo, identificado no preâmbulo, e à proposta vencedora, independentemente de transcrição.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SEGUNDA - DO PREÇO</w:t>
          </w:r>
        </w:p>
        <w:p>
          <w:pPr>
            <w:pStyle w:val="Normal"/>
            <w:spacing w:lineRule="auto" w:line="240" w:before="120" w:after="0"/>
            <w:rPr>
              <w:b/>
              <w:bCs/>
              <w:color w:val="auto"/>
              <w:sz w:val="24"/>
              <w:szCs w:val="24"/>
            </w:rPr>
          </w:pPr>
          <w:r>
            <w:rPr>
              <w:b/>
              <w:bCs/>
              <w:color w:val="auto"/>
              <w:sz w:val="24"/>
              <w:szCs w:val="24"/>
            </w:rPr>
            <w:t>2.1.</w:t>
          </w:r>
          <w:r>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pPr>
            <w:pStyle w:val="Normal"/>
            <w:spacing w:lineRule="auto" w:line="240" w:before="120" w:after="0"/>
            <w:rPr>
              <w:b/>
              <w:color w:val="auto"/>
              <w:sz w:val="24"/>
              <w:szCs w:val="24"/>
            </w:rPr>
          </w:pPr>
          <w:r>
            <w:rPr>
              <w:b/>
              <w:color w:val="auto"/>
              <w:sz w:val="24"/>
              <w:szCs w:val="24"/>
            </w:rPr>
            <w:t>2.2.</w:t>
          </w:r>
          <w:r>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TERCEIRA - DO RECURSO FINANCEIRO</w:t>
          </w:r>
        </w:p>
        <w:p>
          <w:pPr>
            <w:pStyle w:val="Normal"/>
            <w:spacing w:lineRule="auto" w:line="240" w:before="120" w:after="0"/>
            <w:rPr>
              <w:b/>
              <w:color w:val="auto"/>
              <w:sz w:val="24"/>
              <w:szCs w:val="24"/>
            </w:rPr>
          </w:pPr>
          <w:r>
            <w:rPr>
              <w:b/>
              <w:color w:val="auto"/>
              <w:sz w:val="24"/>
              <w:szCs w:val="24"/>
            </w:rPr>
            <w:t>3.1.</w:t>
          </w:r>
          <w:r>
            <w:rPr>
              <w:color w:val="auto"/>
              <w:sz w:val="24"/>
              <w:szCs w:val="24"/>
            </w:rPr>
            <w:t xml:space="preserve"> As despesas decorrentes do presente contrato correrão à conta do seguinte recurso financeiro:</w:t>
          </w:r>
        </w:p>
        <w:p>
          <w:pPr>
            <w:pStyle w:val="Normal"/>
            <w:spacing w:lineRule="auto" w:line="240" w:before="120" w:after="0"/>
            <w:rPr>
              <w:color w:val="auto"/>
              <w:sz w:val="24"/>
              <w:szCs w:val="24"/>
            </w:rPr>
          </w:pPr>
          <w:r>
            <w:rPr>
              <w:color w:val="auto"/>
              <w:sz w:val="24"/>
              <w:szCs w:val="24"/>
            </w:rPr>
            <w:t xml:space="preserve">[Reproduzir texto do </w:t>
          </w:r>
          <w:r>
            <w:rPr>
              <w:b/>
              <w:bCs/>
              <w:color w:val="auto"/>
              <w:sz w:val="24"/>
              <w:szCs w:val="24"/>
            </w:rPr>
            <w:t>Anexo IV – FOLHA DE DADOS (CGDL 20.1)</w:t>
          </w:r>
          <w:r>
            <w:rPr>
              <w:color w:val="auto"/>
              <w:sz w:val="24"/>
              <w:szCs w:val="24"/>
            </w:rPr>
            <w:t>]</w:t>
          </w:r>
        </w:p>
        <w:p>
          <w:pPr>
            <w:pStyle w:val="Normal"/>
            <w:spacing w:lineRule="auto" w:line="240" w:before="120" w:after="0"/>
            <w:rPr>
              <w:b/>
              <w:color w:val="auto"/>
              <w:sz w:val="24"/>
              <w:szCs w:val="24"/>
            </w:rPr>
          </w:pPr>
          <w:r>
            <w:rPr>
              <w:color w:val="auto"/>
              <w:sz w:val="24"/>
              <w:szCs w:val="24"/>
            </w:rPr>
            <w:t>Empenho nº: ________</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QUARTA – DO PRAZO CONTRATUAL E LOCAL DE PRESTAÇÃO DOS SERVIÇOS</w:t>
          </w:r>
        </w:p>
        <w:p>
          <w:pPr>
            <w:pStyle w:val="Normal"/>
            <w:spacing w:lineRule="auto" w:line="240" w:before="120" w:after="0"/>
            <w:rPr>
              <w:b/>
              <w:bCs/>
              <w:color w:val="auto"/>
              <w:sz w:val="24"/>
              <w:szCs w:val="24"/>
            </w:rPr>
          </w:pPr>
          <w:r>
            <w:rPr>
              <w:b/>
              <w:bCs/>
              <w:color w:val="auto"/>
              <w:sz w:val="24"/>
              <w:szCs w:val="24"/>
            </w:rPr>
            <w:t>4.1.</w:t>
          </w:r>
          <w:r>
            <w:rPr>
              <w:color w:val="auto"/>
              <w:sz w:val="24"/>
              <w:szCs w:val="24"/>
            </w:rPr>
            <w:t xml:space="preserve"> O prazo de duração do contrato é de [reproduzir o texto do </w:t>
          </w:r>
          <w:r>
            <w:rPr>
              <w:b/>
              <w:bCs/>
              <w:color w:val="auto"/>
              <w:sz w:val="24"/>
              <w:szCs w:val="24"/>
            </w:rPr>
            <w:t>Anexo IV – FOLHA DE DADOS (CGDL 16.4)</w:t>
          </w:r>
          <w:r>
            <w:rPr>
              <w:color w:val="auto"/>
              <w:sz w:val="24"/>
              <w:szCs w:val="24"/>
            </w:rPr>
            <w:t>], contados a partir da data definida na ordem de início dos serviços.</w:t>
          </w:r>
        </w:p>
        <w:p>
          <w:pPr>
            <w:pStyle w:val="Normal"/>
            <w:spacing w:lineRule="auto" w:line="240" w:before="120" w:after="0"/>
            <w:rPr>
              <w:color w:val="auto"/>
              <w:sz w:val="24"/>
              <w:szCs w:val="24"/>
            </w:rPr>
          </w:pPr>
          <w:r>
            <w:rPr>
              <w:b/>
              <w:color w:val="auto"/>
              <w:sz w:val="24"/>
              <w:szCs w:val="24"/>
            </w:rPr>
            <w:t>4.2.</w:t>
          </w:r>
          <w:r>
            <w:rPr>
              <w:color w:val="auto"/>
              <w:sz w:val="24"/>
              <w:szCs w:val="24"/>
            </w:rPr>
            <w:t xml:space="preserve"> A expedição da ordem de início dos serviços somente se efetivará após a assinatura do contrato e sua divulgação no Portal Nacional de Contratações Públicas. </w:t>
          </w:r>
        </w:p>
        <w:p>
          <w:pPr>
            <w:pStyle w:val="Normal"/>
            <w:spacing w:lineRule="auto" w:line="240" w:before="120" w:after="0"/>
            <w:rPr>
              <w:b/>
              <w:bCs/>
              <w:color w:val="auto"/>
              <w:sz w:val="24"/>
              <w:szCs w:val="24"/>
            </w:rPr>
          </w:pPr>
          <w:r>
            <w:rPr>
              <w:b/>
              <w:bCs/>
              <w:color w:val="auto"/>
              <w:sz w:val="24"/>
              <w:szCs w:val="24"/>
            </w:rPr>
            <w:t>4.3.</w:t>
          </w:r>
          <w:r>
            <w:rPr>
              <w:color w:val="auto"/>
              <w:sz w:val="24"/>
              <w:szCs w:val="24"/>
            </w:rPr>
            <w:t xml:space="preserve"> O objeto do contrato será executado no(s) seguinte(s) local(is), quando couber: [reproduzir o texto do </w:t>
          </w:r>
          <w:r>
            <w:rPr>
              <w:b/>
              <w:bCs/>
              <w:color w:val="auto"/>
              <w:sz w:val="24"/>
              <w:szCs w:val="24"/>
            </w:rPr>
            <w:t>Anexo IV – FOLHA DE DADOS (CGDL 16.5)</w:t>
          </w:r>
          <w:r>
            <w:rPr>
              <w:color w:val="auto"/>
              <w:sz w:val="24"/>
              <w:szCs w:val="24"/>
            </w:rPr>
            <w:t>]</w:t>
          </w:r>
        </w:p>
        <w:p>
          <w:pPr>
            <w:pStyle w:val="Normal"/>
            <w:spacing w:lineRule="auto" w:line="240" w:before="120" w:after="0"/>
            <w:rPr>
              <w:color w:val="auto"/>
              <w:sz w:val="24"/>
              <w:szCs w:val="24"/>
            </w:rPr>
          </w:pPr>
          <w:r>
            <w:rPr>
              <w:b/>
              <w:color w:val="auto"/>
              <w:sz w:val="24"/>
              <w:szCs w:val="24"/>
            </w:rPr>
            <w:t>4.4.</w:t>
          </w:r>
          <w:r>
            <w:rPr>
              <w:color w:val="auto"/>
              <w:sz w:val="24"/>
              <w:szCs w:val="24"/>
            </w:rPr>
            <w:t xml:space="preserve"> O presente contrato se encerra com o aceite definitivo do objeto.</w:t>
          </w:r>
        </w:p>
        <w:p>
          <w:pPr>
            <w:pStyle w:val="Normal"/>
            <w:spacing w:lineRule="auto" w:line="240" w:before="120" w:after="0"/>
            <w:rPr>
              <w:color w:val="auto"/>
              <w:sz w:val="24"/>
              <w:szCs w:val="24"/>
              <w:highlight w:val="magenta"/>
            </w:rPr>
          </w:pPr>
          <w:r>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pPr>
            <w:pStyle w:val="Normal"/>
            <w:spacing w:lineRule="auto" w:line="240" w:before="120" w:after="0"/>
            <w:rPr>
              <w:b/>
              <w:bCs/>
              <w:color w:val="auto"/>
              <w:sz w:val="24"/>
              <w:szCs w:val="24"/>
            </w:rPr>
          </w:pPr>
          <w:r>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pPr>
            <w:pStyle w:val="Normal"/>
            <w:spacing w:lineRule="auto" w:line="240" w:before="120" w:after="0"/>
            <w:rPr>
              <w:b/>
              <w:bCs/>
              <w:color w:val="auto"/>
              <w:sz w:val="24"/>
              <w:szCs w:val="24"/>
            </w:rPr>
          </w:pPr>
          <w:r>
            <w:rPr>
              <w:color w:val="auto"/>
              <w:sz w:val="24"/>
              <w:szCs w:val="24"/>
            </w:rPr>
            <w:t>4.4.2.1. os serviços tenham sido prestados regularmente;</w:t>
          </w:r>
        </w:p>
        <w:p>
          <w:pPr>
            <w:pStyle w:val="Normal"/>
            <w:spacing w:lineRule="auto" w:line="240" w:before="120" w:after="0"/>
            <w:rPr>
              <w:b/>
              <w:color w:val="auto"/>
              <w:sz w:val="24"/>
              <w:szCs w:val="24"/>
            </w:rPr>
          </w:pPr>
          <w:r>
            <w:rPr>
              <w:color w:val="auto"/>
              <w:sz w:val="24"/>
              <w:szCs w:val="24"/>
            </w:rPr>
            <w:t>4.4.2.2. a Administração mantenha interesse na realização do serviço; e</w:t>
          </w:r>
        </w:p>
        <w:p>
          <w:pPr>
            <w:pStyle w:val="Normal"/>
            <w:spacing w:lineRule="auto" w:line="240" w:before="120" w:after="0"/>
            <w:rPr>
              <w:b/>
              <w:color w:val="auto"/>
              <w:sz w:val="24"/>
              <w:szCs w:val="24"/>
            </w:rPr>
          </w:pPr>
          <w:r>
            <w:rPr>
              <w:color w:val="auto"/>
              <w:sz w:val="24"/>
              <w:szCs w:val="24"/>
            </w:rPr>
            <w:t>4.4.2.3. o valor do contrato permaneça economicamente vantajoso para a Administração.</w:t>
          </w:r>
        </w:p>
        <w:p>
          <w:pPr>
            <w:pStyle w:val="Normal"/>
            <w:spacing w:lineRule="auto" w:line="240" w:before="120" w:after="0"/>
            <w:rPr>
              <w:b/>
              <w:color w:val="auto"/>
              <w:sz w:val="24"/>
              <w:szCs w:val="24"/>
            </w:rPr>
          </w:pPr>
          <w:r>
            <w:rPr>
              <w:b/>
              <w:color w:val="auto"/>
              <w:sz w:val="24"/>
              <w:szCs w:val="24"/>
            </w:rPr>
            <w:t xml:space="preserve">4.5. </w:t>
          </w:r>
          <w:r>
            <w:rPr>
              <w:color w:val="auto"/>
              <w:sz w:val="24"/>
              <w:szCs w:val="24"/>
            </w:rPr>
            <w:t>O contratado não tem direito subjetivo a prorrogação contratual.</w:t>
          </w:r>
        </w:p>
        <w:p>
          <w:pPr>
            <w:pStyle w:val="Normal"/>
            <w:spacing w:lineRule="auto" w:line="240" w:before="120" w:after="0"/>
            <w:rPr>
              <w:color w:val="auto"/>
              <w:sz w:val="24"/>
              <w:szCs w:val="24"/>
            </w:rPr>
          </w:pPr>
          <w:r>
            <w:rPr>
              <w:color w:val="auto"/>
              <w:sz w:val="24"/>
              <w:szCs w:val="24"/>
            </w:rPr>
            <w:t xml:space="preserve"> </w:t>
          </w:r>
        </w:p>
        <w:p>
          <w:pPr>
            <w:pStyle w:val="Heading5"/>
            <w:spacing w:lineRule="auto" w:line="240" w:before="120" w:after="0"/>
            <w:rPr>
              <w:color w:val="auto"/>
              <w:sz w:val="24"/>
              <w:szCs w:val="24"/>
            </w:rPr>
          </w:pPr>
          <w:r>
            <w:rPr>
              <w:color w:val="auto"/>
              <w:sz w:val="24"/>
              <w:szCs w:val="24"/>
            </w:rPr>
            <w:t>CLÁUSULA QUINTA – DA GARANTIA</w:t>
          </w:r>
        </w:p>
        <w:p>
          <w:pPr>
            <w:pStyle w:val="Normal"/>
            <w:spacing w:lineRule="auto" w:line="240" w:before="120" w:after="0"/>
            <w:rPr>
              <w:color w:val="auto"/>
              <w:sz w:val="24"/>
              <w:szCs w:val="24"/>
            </w:rPr>
          </w:pPr>
          <w:r>
            <w:rPr>
              <w:b/>
              <w:bCs/>
              <w:color w:val="auto"/>
              <w:sz w:val="24"/>
              <w:szCs w:val="24"/>
            </w:rPr>
            <w:t>5.1.</w:t>
          </w:r>
          <w:r>
            <w:rPr>
              <w:color w:val="auto"/>
              <w:sz w:val="24"/>
              <w:szCs w:val="24"/>
            </w:rPr>
            <w:t xml:space="preserve"> [Reproduzir </w:t>
          </w:r>
          <w:r>
            <w:rPr>
              <w:b/>
              <w:bCs/>
              <w:color w:val="auto"/>
              <w:sz w:val="24"/>
              <w:szCs w:val="24"/>
            </w:rPr>
            <w:t>Anexo IV – FOLHA DE DADOS (CGDL 22.1)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CLÁUSULA SEXTA – DO PAGAMENTO</w:t>
          </w:r>
        </w:p>
        <w:p>
          <w:pPr>
            <w:pStyle w:val="Normal"/>
            <w:spacing w:lineRule="auto" w:line="240" w:before="120" w:after="0"/>
            <w:rPr>
              <w:color w:val="auto"/>
              <w:sz w:val="24"/>
              <w:szCs w:val="24"/>
            </w:rPr>
          </w:pPr>
          <w:r>
            <w:rPr>
              <w:b/>
              <w:color w:val="auto"/>
              <w:sz w:val="24"/>
              <w:szCs w:val="24"/>
            </w:rPr>
            <w:t>6.1.</w:t>
          </w:r>
          <w:r>
            <w:rPr>
              <w:color w:val="auto"/>
              <w:sz w:val="24"/>
              <w:szCs w:val="24"/>
            </w:rPr>
            <w:t xml:space="preserve"> O pagamento deverá ser efetuado no prazo de ..... dias (prazo máximo é de 30 dias). mediante a apresentação de Nota Fiscal ou da Fatura pelo contratado, que deverá conter o detalhamento dos serviços executados.</w:t>
          </w:r>
        </w:p>
        <w:p>
          <w:pPr>
            <w:pStyle w:val="Normal"/>
            <w:spacing w:lineRule="auto" w:line="240" w:before="120" w:after="0"/>
            <w:rPr>
              <w:color w:val="auto"/>
              <w:sz w:val="24"/>
              <w:szCs w:val="24"/>
            </w:rPr>
          </w:pPr>
          <w:r>
            <w:rPr>
              <w:b/>
              <w:bCs/>
              <w:color w:val="auto"/>
              <w:sz w:val="24"/>
              <w:szCs w:val="24"/>
            </w:rPr>
            <w:t>6.2.</w:t>
          </w:r>
          <w:r>
            <w:rPr>
              <w:color w:val="auto"/>
              <w:sz w:val="24"/>
              <w:szCs w:val="24"/>
            </w:rPr>
            <w:t xml:space="preserve"> [Transcrever as condições estabelecidas no </w:t>
          </w:r>
          <w:r>
            <w:rPr>
              <w:b/>
              <w:bCs/>
              <w:color w:val="auto"/>
              <w:sz w:val="24"/>
              <w:szCs w:val="24"/>
            </w:rPr>
            <w:t>Anexo IV – FOLHA DE DADOS (CGDL 18.1)</w:t>
          </w:r>
          <w:r>
            <w:rPr>
              <w:color w:val="auto"/>
              <w:sz w:val="24"/>
              <w:szCs w:val="24"/>
            </w:rPr>
            <w:t xml:space="preserve">] </w:t>
          </w:r>
        </w:p>
        <w:p>
          <w:pPr>
            <w:pStyle w:val="Normal"/>
            <w:spacing w:lineRule="auto" w:line="240" w:before="120" w:after="0"/>
            <w:rPr>
              <w:b/>
              <w:bCs/>
              <w:color w:val="auto"/>
              <w:sz w:val="24"/>
              <w:szCs w:val="24"/>
            </w:rPr>
          </w:pPr>
          <w:r>
            <w:rPr>
              <w:b/>
              <w:bCs/>
              <w:color w:val="auto"/>
              <w:sz w:val="24"/>
              <w:szCs w:val="24"/>
            </w:rPr>
            <w:t>6.3.</w:t>
          </w:r>
          <w:r>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pPr>
            <w:pStyle w:val="Normal"/>
            <w:spacing w:lineRule="auto" w:line="240" w:before="120" w:after="0"/>
            <w:rPr>
              <w:color w:val="auto"/>
              <w:sz w:val="24"/>
              <w:szCs w:val="24"/>
            </w:rPr>
          </w:pPr>
          <w:r>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pPr>
            <w:pStyle w:val="Normal"/>
            <w:spacing w:lineRule="auto" w:line="240" w:before="120" w:after="0"/>
            <w:rPr>
              <w:b/>
              <w:color w:val="auto"/>
              <w:sz w:val="24"/>
              <w:szCs w:val="24"/>
            </w:rPr>
          </w:pPr>
          <w:r>
            <w:rPr>
              <w:b/>
              <w:color w:val="auto"/>
              <w:sz w:val="24"/>
              <w:szCs w:val="24"/>
            </w:rPr>
            <w:t>6.4.</w:t>
          </w:r>
          <w:r>
            <w:rPr>
              <w:color w:val="auto"/>
              <w:sz w:val="24"/>
              <w:szCs w:val="24"/>
            </w:rPr>
            <w:t xml:space="preserve"> A protocolização somente poderá ser feita após a prestação dos serviços por parte do contratado.</w:t>
          </w:r>
        </w:p>
        <w:p>
          <w:pPr>
            <w:pStyle w:val="Normal"/>
            <w:spacing w:lineRule="auto" w:line="240" w:before="120" w:after="0"/>
            <w:rPr>
              <w:b/>
              <w:color w:val="auto"/>
              <w:sz w:val="24"/>
              <w:szCs w:val="24"/>
            </w:rPr>
          </w:pPr>
          <w:r>
            <w:rPr>
              <w:b/>
              <w:color w:val="auto"/>
              <w:sz w:val="24"/>
              <w:szCs w:val="24"/>
            </w:rPr>
            <w:t xml:space="preserve">6.5. </w:t>
          </w:r>
          <w:r>
            <w:rPr>
              <w:color w:val="auto"/>
              <w:sz w:val="24"/>
              <w:szCs w:val="24"/>
            </w:rPr>
            <w:t>O pagamento será efetuado por serviço efetivamente prestado e aceito.</w:t>
          </w:r>
        </w:p>
        <w:p>
          <w:pPr>
            <w:pStyle w:val="Normal"/>
            <w:spacing w:lineRule="auto" w:line="240" w:before="120" w:after="0"/>
            <w:rPr>
              <w:b/>
              <w:color w:val="auto"/>
              <w:sz w:val="24"/>
              <w:szCs w:val="24"/>
            </w:rPr>
          </w:pPr>
          <w:r>
            <w:rPr>
              <w:color w:val="auto"/>
              <w:sz w:val="24"/>
              <w:szCs w:val="24"/>
            </w:rPr>
            <w:t xml:space="preserve">6.5.1. A glosa do pagamento durante a execução contratual, sem prejuízo das sanções cabíveis, só deverá ocorrer quando o contratado: </w:t>
          </w:r>
        </w:p>
        <w:p>
          <w:pPr>
            <w:pStyle w:val="Normal"/>
            <w:spacing w:lineRule="auto" w:line="240" w:before="120" w:after="0"/>
            <w:rPr>
              <w:b/>
              <w:color w:val="auto"/>
              <w:sz w:val="24"/>
              <w:szCs w:val="24"/>
            </w:rPr>
          </w:pPr>
          <w:r>
            <w:rPr>
              <w:color w:val="auto"/>
              <w:sz w:val="24"/>
              <w:szCs w:val="24"/>
            </w:rPr>
            <w:t>6.5.1.1. não produzir os resultados, deixar de executar, ou não executar as atividades com a qualidade mínima exigida no contrato; ou</w:t>
          </w:r>
        </w:p>
        <w:p>
          <w:pPr>
            <w:pStyle w:val="Normal"/>
            <w:spacing w:lineRule="auto" w:line="240" w:before="120" w:after="0"/>
            <w:rPr>
              <w:b/>
              <w:color w:val="auto"/>
              <w:sz w:val="24"/>
              <w:szCs w:val="24"/>
            </w:rPr>
          </w:pPr>
          <w:r>
            <w:rPr>
              <w:color w:val="auto"/>
              <w:sz w:val="24"/>
              <w:szCs w:val="24"/>
            </w:rPr>
            <w:t xml:space="preserve">6.5.1.2. deixar de utilizar materiais e recursos humanos exigidos para a execução do serviço, ou utilizá-los com qualidade ou quantidade inferior à demandada. </w:t>
          </w:r>
        </w:p>
        <w:p>
          <w:pPr>
            <w:pStyle w:val="Normal"/>
            <w:spacing w:lineRule="auto" w:line="240" w:before="120" w:after="0"/>
            <w:rPr>
              <w:color w:val="auto"/>
              <w:sz w:val="24"/>
              <w:szCs w:val="24"/>
            </w:rPr>
          </w:pPr>
          <w:r>
            <w:rPr>
              <w:b/>
              <w:color w:val="auto"/>
              <w:sz w:val="24"/>
              <w:szCs w:val="24"/>
            </w:rPr>
            <w:t>6.6.</w:t>
          </w:r>
          <w:r>
            <w:rPr>
              <w:color w:val="auto"/>
              <w:sz w:val="24"/>
              <w:szCs w:val="24"/>
            </w:rPr>
            <w:t xml:space="preserve"> Caso o serviço não seja prestado fielmente e/ou apresente alguma incorreção será considerado como não aceito e o prazo de pagamento será contado a partir da data de regularização.</w:t>
          </w:r>
        </w:p>
        <w:p>
          <w:pPr>
            <w:pStyle w:val="Normal"/>
            <w:spacing w:lineRule="auto" w:line="240" w:before="120" w:after="0"/>
            <w:rPr>
              <w:b/>
              <w:color w:val="auto"/>
              <w:sz w:val="24"/>
              <w:szCs w:val="24"/>
            </w:rPr>
          </w:pPr>
          <w:r>
            <w:rPr>
              <w:b/>
              <w:color w:val="auto"/>
              <w:sz w:val="24"/>
              <w:szCs w:val="24"/>
            </w:rPr>
            <w:t>6.7.</w:t>
          </w:r>
          <w:r>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pPr>
            <w:pStyle w:val="Normal"/>
            <w:spacing w:lineRule="auto" w:line="240" w:before="120" w:after="0"/>
            <w:rPr>
              <w:b/>
              <w:color w:val="auto"/>
              <w:sz w:val="24"/>
              <w:szCs w:val="24"/>
            </w:rPr>
          </w:pPr>
          <w:r>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color w:val="auto"/>
              <w:sz w:val="24"/>
              <w:szCs w:val="24"/>
            </w:rPr>
          </w:pPr>
          <w:r>
            <w:rPr>
              <w:color w:val="auto"/>
              <w:sz w:val="24"/>
              <w:szCs w:val="24"/>
            </w:rPr>
            <w:t>6.7.2. Persistindo a irregularidade, o contratante poderá adotar as medidas necessárias à rescisão contratual nos autos do processo administrativo correspondente, assegurado ao contratado a ampla defesa.</w:t>
          </w:r>
        </w:p>
        <w:p>
          <w:pPr>
            <w:pStyle w:val="Normal"/>
            <w:spacing w:lineRule="auto" w:line="240" w:before="120" w:after="0"/>
            <w:rPr>
              <w:color w:val="auto"/>
              <w:sz w:val="24"/>
              <w:szCs w:val="24"/>
            </w:rPr>
          </w:pPr>
          <w:r>
            <w:rPr>
              <w:b/>
              <w:color w:val="auto"/>
              <w:sz w:val="24"/>
              <w:szCs w:val="24"/>
            </w:rPr>
            <w:t>6.8.</w:t>
          </w:r>
          <w:r>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pPr>
            <w:pStyle w:val="Normal"/>
            <w:spacing w:lineRule="auto" w:line="240" w:before="120" w:after="0"/>
            <w:rPr>
              <w:b/>
              <w:color w:val="auto"/>
              <w:sz w:val="24"/>
              <w:szCs w:val="24"/>
            </w:rPr>
          </w:pPr>
          <w:r>
            <w:rPr>
              <w:b/>
              <w:color w:val="auto"/>
              <w:sz w:val="24"/>
              <w:szCs w:val="24"/>
            </w:rPr>
            <w:t>6.9.</w:t>
          </w:r>
          <w:r>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pPr>
            <w:pStyle w:val="Normal"/>
            <w:spacing w:lineRule="auto" w:line="240" w:before="120" w:after="0"/>
            <w:rPr>
              <w:b/>
              <w:color w:val="auto"/>
              <w:sz w:val="24"/>
              <w:szCs w:val="24"/>
            </w:rPr>
          </w:pPr>
          <w:r>
            <w:rPr>
              <w:b/>
              <w:color w:val="auto"/>
              <w:sz w:val="24"/>
              <w:szCs w:val="24"/>
            </w:rPr>
            <w:t xml:space="preserve">6.10. </w:t>
          </w:r>
          <w:r>
            <w:rPr>
              <w:color w:val="auto"/>
              <w:sz w:val="24"/>
              <w:szCs w:val="24"/>
            </w:rPr>
            <w:t xml:space="preserve">O contratante poderá reter, do valor da fatura do contratado, a importância correspondente ao inadimplemento contratual, até a regularização das obrigações assumidas pelo contratado.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SÉTIMA - DA ATUALIZAÇÃO MONETÁRIA</w:t>
          </w:r>
        </w:p>
        <w:p>
          <w:pPr>
            <w:pStyle w:val="Normal"/>
            <w:spacing w:lineRule="auto" w:line="240" w:before="120" w:after="0"/>
            <w:rPr>
              <w:color w:val="auto"/>
              <w:sz w:val="24"/>
              <w:szCs w:val="24"/>
            </w:rPr>
          </w:pPr>
          <w:r>
            <w:rPr>
              <w:b/>
              <w:color w:val="auto"/>
              <w:sz w:val="24"/>
              <w:szCs w:val="24"/>
            </w:rPr>
            <w:t>7.1.</w:t>
          </w:r>
          <w:r>
            <w:rPr>
              <w:color w:val="auto"/>
              <w:sz w:val="24"/>
              <w:szCs w:val="24"/>
            </w:rPr>
            <w:t xml:space="preserve"> Os valores do presente contrato não pagos na data prevista serão corrigidos até a data do efetivo pagamento, </w:t>
          </w:r>
          <w:r>
            <w:rPr>
              <w:i/>
              <w:color w:val="auto"/>
              <w:sz w:val="24"/>
              <w:szCs w:val="24"/>
            </w:rPr>
            <w:t>pro rata die</w:t>
          </w:r>
          <w:r>
            <w:rPr>
              <w:color w:val="auto"/>
              <w:sz w:val="24"/>
              <w:szCs w:val="24"/>
            </w:rPr>
            <w:t>, pelo Índice de Preços ao Consumidor Amplo – IPCA, do Sistema Nacional de Índices de Preços ao Consumidor – SNIPC, ou outro que venha a substituí-lo.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OITAVA – DO REAJUSTE DO PREÇO</w:t>
          </w:r>
        </w:p>
        <w:p>
          <w:pPr>
            <w:pStyle w:val="Normal"/>
            <w:spacing w:lineRule="auto" w:line="240" w:before="120" w:after="0"/>
            <w:rPr>
              <w:color w:val="auto"/>
              <w:sz w:val="24"/>
              <w:szCs w:val="24"/>
            </w:rPr>
          </w:pPr>
          <w:r>
            <w:rPr>
              <w:b/>
              <w:bCs/>
              <w:color w:val="auto"/>
              <w:sz w:val="24"/>
              <w:szCs w:val="24"/>
            </w:rPr>
            <w:t xml:space="preserve">8.1. </w:t>
          </w:r>
          <w:r>
            <w:rPr>
              <w:color w:val="auto"/>
              <w:sz w:val="24"/>
              <w:szCs w:val="24"/>
            </w:rPr>
            <w:t xml:space="preserve">O contrato será reajustado, observado o interregno mínimo de um ano, a contar da data-base do orçamento estimado. </w:t>
          </w:r>
        </w:p>
        <w:p>
          <w:pPr>
            <w:pStyle w:val="Normal"/>
            <w:spacing w:lineRule="auto" w:line="240" w:before="120" w:after="0"/>
            <w:rPr>
              <w:color w:val="auto"/>
              <w:sz w:val="24"/>
              <w:szCs w:val="24"/>
            </w:rPr>
          </w:pPr>
          <w:r>
            <w:rPr>
              <w:color w:val="auto"/>
              <w:sz w:val="24"/>
              <w:szCs w:val="24"/>
            </w:rPr>
            <w:t xml:space="preserve">8.1.1. Considera-se data-base, para fins de reajuste, a DATA DO ORÇAMENTO informada na FOLHA DE DADOS CGDL 19. </w:t>
          </w:r>
        </w:p>
        <w:p>
          <w:pPr>
            <w:pStyle w:val="Normal"/>
            <w:spacing w:lineRule="auto" w:line="240" w:before="120" w:after="0"/>
            <w:rPr>
              <w:color w:val="auto"/>
              <w:sz w:val="24"/>
              <w:szCs w:val="24"/>
            </w:rPr>
          </w:pPr>
          <w:r>
            <w:rPr>
              <w:color w:val="auto"/>
              <w:sz w:val="24"/>
              <w:szCs w:val="24"/>
            </w:rPr>
            <w:t xml:space="preserve">8.1.2. Nos reajustes subsequentes ao primeiro, o interregno mínimo de um ano será contado a partir dos efeitos financeiros do último reajuste.  </w:t>
          </w:r>
        </w:p>
        <w:p>
          <w:pPr>
            <w:pStyle w:val="Normal"/>
            <w:spacing w:lineRule="auto" w:line="240" w:before="120" w:after="0"/>
            <w:rPr>
              <w:color w:val="auto"/>
              <w:sz w:val="24"/>
              <w:szCs w:val="24"/>
            </w:rPr>
          </w:pPr>
          <w:r>
            <w:rPr>
              <w:b/>
              <w:bCs/>
              <w:color w:val="auto"/>
              <w:sz w:val="24"/>
              <w:szCs w:val="24"/>
            </w:rPr>
            <w:t>8.2.</w:t>
          </w:r>
          <w:r>
            <w:rPr>
              <w:color w:val="auto"/>
              <w:sz w:val="24"/>
              <w:szCs w:val="24"/>
            </w:rPr>
            <w:t xml:space="preserve"> O valor do contrato será reajustado pelo IPCA, obedecendo-se a metodologia de cálculo adequada para sua atualização.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NONA – REEQUILÍBRIO ECONÔMICO-FINANCEIRO </w:t>
          </w:r>
        </w:p>
        <w:p>
          <w:pPr>
            <w:pStyle w:val="Normal"/>
            <w:spacing w:lineRule="auto" w:line="240" w:before="120" w:after="0"/>
            <w:rPr>
              <w:color w:val="auto"/>
              <w:sz w:val="24"/>
              <w:szCs w:val="24"/>
            </w:rPr>
          </w:pPr>
          <w:r>
            <w:rPr>
              <w:b/>
              <w:color w:val="auto"/>
              <w:sz w:val="24"/>
              <w:szCs w:val="24"/>
            </w:rPr>
            <w:t>9.1.</w:t>
          </w:r>
          <w:r>
            <w:rPr>
              <w:color w:val="auto"/>
              <w:sz w:val="24"/>
              <w:szCs w:val="24"/>
            </w:rPr>
            <w:t xml:space="preserve"> Caso o contratado pleiteie o reequilíbrio econômico-financeiro do contrato, fica o contratante obrigado a responder em até 30 (trinta) dias da data do requerimento.</w:t>
          </w:r>
        </w:p>
        <w:p>
          <w:pPr>
            <w:pStyle w:val="Normal"/>
            <w:spacing w:lineRule="auto" w:line="240" w:before="120" w:after="0"/>
            <w:rPr>
              <w:color w:val="auto"/>
              <w:sz w:val="24"/>
              <w:szCs w:val="24"/>
            </w:rPr>
          </w:pPr>
          <w:r>
            <w:rPr>
              <w:color w:val="auto"/>
              <w:sz w:val="24"/>
              <w:szCs w:val="24"/>
            </w:rPr>
            <w:t xml:space="preserve">9.1.1. O não cumprimento do prazo constante na </w:t>
          </w:r>
          <w:r>
            <w:rPr>
              <w:b/>
              <w:bCs/>
              <w:color w:val="auto"/>
              <w:sz w:val="24"/>
              <w:szCs w:val="24"/>
            </w:rPr>
            <w:t xml:space="preserve">subcláusula 9.1 </w:t>
          </w:r>
          <w:r>
            <w:rPr>
              <w:color w:val="auto"/>
              <w:sz w:val="24"/>
              <w:szCs w:val="24"/>
            </w:rPr>
            <w:t>não implica em deferimento do pedido por parte do contratante</w:t>
          </w:r>
        </w:p>
        <w:p>
          <w:pPr>
            <w:pStyle w:val="Normal"/>
            <w:spacing w:lineRule="auto" w:line="240" w:before="120" w:after="0"/>
            <w:rPr>
              <w:color w:val="auto"/>
              <w:sz w:val="24"/>
              <w:szCs w:val="24"/>
            </w:rPr>
          </w:pPr>
          <w:r>
            <w:rPr>
              <w:b/>
              <w:bCs/>
              <w:color w:val="auto"/>
              <w:sz w:val="24"/>
              <w:szCs w:val="24"/>
            </w:rPr>
            <w:t>9.2.</w:t>
          </w:r>
          <w:r>
            <w:rPr>
              <w:color w:val="auto"/>
              <w:sz w:val="24"/>
              <w:szCs w:val="24"/>
            </w:rPr>
            <w:t xml:space="preserve"> Todos os documentos necessários à apreciação do pedido deverão ser apresentados juntamente com o requerimento.</w:t>
          </w:r>
        </w:p>
        <w:p>
          <w:pPr>
            <w:pStyle w:val="Normal"/>
            <w:spacing w:lineRule="auto" w:line="240" w:before="120" w:after="0"/>
            <w:rPr>
              <w:color w:val="auto"/>
              <w:sz w:val="24"/>
              <w:szCs w:val="24"/>
            </w:rPr>
          </w:pPr>
          <w:r>
            <w:rPr>
              <w:b/>
              <w:bCs/>
              <w:color w:val="auto"/>
              <w:sz w:val="24"/>
              <w:szCs w:val="24"/>
            </w:rPr>
            <w:t>9.3.</w:t>
          </w:r>
          <w:r>
            <w:rPr>
              <w:color w:val="auto"/>
              <w:sz w:val="24"/>
              <w:szCs w:val="24"/>
            </w:rPr>
            <w:t xml:space="preserve"> O pedido de restabelecimento do equilíbrio econômico-financeiro deverá ser formulado durante a vigência do contrato.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 DAS OBRIGAÇÕES DO CONTRATADO </w:t>
          </w:r>
        </w:p>
        <w:p>
          <w:pPr>
            <w:pStyle w:val="Normal"/>
            <w:spacing w:lineRule="auto" w:line="240" w:before="120" w:after="0"/>
            <w:rPr>
              <w:color w:val="auto"/>
              <w:sz w:val="24"/>
              <w:szCs w:val="24"/>
            </w:rPr>
          </w:pPr>
          <w:r>
            <w:rPr>
              <w:b/>
              <w:bCs/>
              <w:color w:val="auto"/>
              <w:sz w:val="24"/>
              <w:szCs w:val="24"/>
            </w:rPr>
            <w:t>10.1.</w:t>
          </w:r>
          <w:r>
            <w:rPr>
              <w:color w:val="auto"/>
              <w:sz w:val="24"/>
              <w:szCs w:val="24"/>
            </w:rPr>
            <w:t xml:space="preserve"> Executar os serviços, conforme especificações contidas no </w:t>
          </w:r>
          <w:r>
            <w:rPr>
              <w:b/>
              <w:bCs/>
              <w:color w:val="auto"/>
              <w:sz w:val="24"/>
              <w:szCs w:val="24"/>
            </w:rPr>
            <w:t>Anexo V - Termo de Referência</w:t>
          </w:r>
          <w:r>
            <w:rPr>
              <w:color w:val="auto"/>
              <w:sz w:val="24"/>
              <w:szCs w:val="24"/>
            </w:rPr>
            <w:t>, e na sua proposta, com a alocação dos empregados necessários ao perfeito cumprimento das cláusulas contratuais, além do fornecimento dos materiais, equipamentos, ferramentas e utensílios necessários.</w:t>
          </w:r>
        </w:p>
        <w:p>
          <w:pPr>
            <w:pStyle w:val="Normal"/>
            <w:spacing w:lineRule="auto" w:line="240" w:before="120" w:after="0"/>
            <w:rPr>
              <w:color w:val="auto"/>
              <w:sz w:val="24"/>
              <w:szCs w:val="24"/>
            </w:rPr>
          </w:pPr>
          <w:r>
            <w:rPr>
              <w:b/>
              <w:bCs/>
              <w:color w:val="auto"/>
              <w:sz w:val="24"/>
              <w:szCs w:val="24"/>
            </w:rPr>
            <w:t>10.2.</w:t>
          </w:r>
          <w:r>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pPr>
            <w:pStyle w:val="Normal"/>
            <w:spacing w:lineRule="auto" w:line="240" w:before="120" w:after="0"/>
            <w:rPr>
              <w:b/>
              <w:color w:val="auto"/>
              <w:sz w:val="24"/>
              <w:szCs w:val="24"/>
            </w:rPr>
          </w:pPr>
          <w:r>
            <w:rPr>
              <w:b/>
              <w:color w:val="auto"/>
              <w:sz w:val="24"/>
              <w:szCs w:val="24"/>
            </w:rPr>
            <w:t>10.3.</w:t>
          </w:r>
          <w:r>
            <w:rPr>
              <w:color w:val="auto"/>
              <w:sz w:val="24"/>
              <w:szCs w:val="24"/>
            </w:rPr>
            <w:t xml:space="preserve"> Utilizar empregados habilitados e com conhecimentos básicos dos serviços a serem executados, em conformidade com as normas e determinações em vigor.</w:t>
          </w:r>
        </w:p>
        <w:p>
          <w:pPr>
            <w:pStyle w:val="Normal"/>
            <w:spacing w:lineRule="auto" w:line="240" w:before="120" w:after="0"/>
            <w:rPr>
              <w:b/>
              <w:color w:val="auto"/>
              <w:sz w:val="24"/>
              <w:szCs w:val="24"/>
            </w:rPr>
          </w:pPr>
          <w:r>
            <w:rPr>
              <w:b/>
              <w:color w:val="auto"/>
              <w:sz w:val="24"/>
              <w:szCs w:val="24"/>
            </w:rPr>
            <w:t>10.4.</w:t>
          </w:r>
          <w:r>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pPr>
            <w:pStyle w:val="Normal"/>
            <w:spacing w:lineRule="auto" w:line="240" w:before="120" w:after="0"/>
            <w:rPr>
              <w:b/>
              <w:bCs/>
              <w:color w:val="auto"/>
              <w:sz w:val="24"/>
              <w:szCs w:val="24"/>
            </w:rPr>
          </w:pPr>
          <w:r>
            <w:rPr>
              <w:b/>
              <w:bCs/>
              <w:color w:val="auto"/>
              <w:sz w:val="24"/>
              <w:szCs w:val="24"/>
            </w:rPr>
            <w:t>10.5.</w:t>
          </w:r>
          <w:r>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termo,</w:t>
          </w:r>
          <w:r>
            <w:rPr>
              <w:color w:val="FF0000"/>
              <w:sz w:val="24"/>
              <w:szCs w:val="24"/>
            </w:rPr>
            <w:t xml:space="preserve"> </w:t>
          </w:r>
          <w:r>
            <w:rPr>
              <w:color w:val="auto"/>
              <w:sz w:val="24"/>
              <w:szCs w:val="24"/>
            </w:rPr>
            <w:t>ou dos pagamentos devidos ao contratado, o valor correspondente aos danos sofridos.</w:t>
          </w:r>
        </w:p>
        <w:p>
          <w:pPr>
            <w:pStyle w:val="Normal"/>
            <w:spacing w:lineRule="auto" w:line="240" w:before="120" w:after="0"/>
            <w:rPr>
              <w:b/>
              <w:color w:val="auto"/>
              <w:sz w:val="24"/>
              <w:szCs w:val="24"/>
            </w:rPr>
          </w:pPr>
          <w:r>
            <w:rPr>
              <w:b/>
              <w:color w:val="auto"/>
              <w:sz w:val="24"/>
              <w:szCs w:val="24"/>
            </w:rPr>
            <w:t>10.6.</w:t>
          </w:r>
          <w:r>
            <w:rPr>
              <w:color w:val="auto"/>
              <w:sz w:val="24"/>
              <w:szCs w:val="24"/>
            </w:rPr>
            <w:t xml:space="preserve"> Apresentar os empregados devidamente uniformizados e identificados por meio de crachá, além de provê-los com os Equipamentos de Proteção Individual - EPI, quando for o caso.</w:t>
          </w:r>
        </w:p>
        <w:p>
          <w:pPr>
            <w:pStyle w:val="Normal"/>
            <w:spacing w:lineRule="auto" w:line="240" w:before="120" w:after="0"/>
            <w:rPr>
              <w:color w:val="auto"/>
              <w:sz w:val="24"/>
              <w:szCs w:val="24"/>
            </w:rPr>
          </w:pPr>
          <w:r>
            <w:rPr>
              <w:b/>
              <w:color w:val="auto"/>
              <w:sz w:val="24"/>
              <w:szCs w:val="24"/>
            </w:rPr>
            <w:t>10.7.</w:t>
          </w:r>
          <w:r>
            <w:rPr>
              <w:color w:val="auto"/>
              <w:sz w:val="24"/>
              <w:szCs w:val="24"/>
            </w:rPr>
            <w:t xml:space="preserve"> Apresentar ao contratante, quando for o caso, a relação nominal dos empregados que adentrarão o órgão para a execução do serviço.</w:t>
          </w:r>
        </w:p>
        <w:p>
          <w:pPr>
            <w:pStyle w:val="Normal"/>
            <w:spacing w:lineRule="auto" w:line="240" w:before="120" w:after="0"/>
            <w:rPr>
              <w:b/>
              <w:color w:val="auto"/>
              <w:sz w:val="24"/>
              <w:szCs w:val="24"/>
            </w:rPr>
          </w:pPr>
          <w:r>
            <w:rPr>
              <w:b/>
              <w:color w:val="auto"/>
              <w:sz w:val="24"/>
              <w:szCs w:val="24"/>
            </w:rPr>
            <w:t>10.8.</w:t>
          </w:r>
          <w:r>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pPr>
            <w:pStyle w:val="Normal"/>
            <w:spacing w:lineRule="auto" w:line="240" w:before="120" w:after="0"/>
            <w:rPr>
              <w:b/>
              <w:color w:val="auto"/>
              <w:sz w:val="24"/>
              <w:szCs w:val="24"/>
            </w:rPr>
          </w:pPr>
          <w:r>
            <w:rPr>
              <w:b/>
              <w:color w:val="auto"/>
              <w:sz w:val="24"/>
              <w:szCs w:val="24"/>
            </w:rPr>
            <w:t>10.9.</w:t>
          </w:r>
          <w:r>
            <w:rPr>
              <w:color w:val="auto"/>
              <w:sz w:val="24"/>
              <w:szCs w:val="24"/>
            </w:rPr>
            <w:t xml:space="preserve"> Orientar seus empregados quanto à necessidade de acatar as normas internas da Administração.</w:t>
          </w:r>
        </w:p>
        <w:p>
          <w:pPr>
            <w:pStyle w:val="Normal"/>
            <w:spacing w:lineRule="auto" w:line="240" w:before="120" w:after="0"/>
            <w:rPr>
              <w:b/>
              <w:color w:val="auto"/>
              <w:sz w:val="24"/>
              <w:szCs w:val="24"/>
            </w:rPr>
          </w:pPr>
          <w:r>
            <w:rPr>
              <w:b/>
              <w:color w:val="auto"/>
              <w:sz w:val="24"/>
              <w:szCs w:val="24"/>
            </w:rPr>
            <w:t>10.10.</w:t>
          </w:r>
          <w:r>
            <w:rPr>
              <w:color w:val="auto"/>
              <w:sz w:val="24"/>
              <w:szCs w:val="24"/>
            </w:rPr>
            <w:t xml:space="preserve"> Orientar seus empregados a respeito das atividades a serem desempenhadas, alertando-os a não executar atividades não abrangidas pelo contrato.</w:t>
          </w:r>
        </w:p>
        <w:p>
          <w:pPr>
            <w:pStyle w:val="Normal"/>
            <w:spacing w:lineRule="auto" w:line="240" w:before="120" w:after="0"/>
            <w:rPr>
              <w:b/>
              <w:color w:val="auto"/>
              <w:sz w:val="24"/>
              <w:szCs w:val="24"/>
            </w:rPr>
          </w:pPr>
          <w:r>
            <w:rPr>
              <w:b/>
              <w:color w:val="auto"/>
              <w:sz w:val="24"/>
              <w:szCs w:val="24"/>
            </w:rPr>
            <w:t>10.11.</w:t>
          </w:r>
          <w:r>
            <w:rPr>
              <w:color w:val="auto"/>
              <w:sz w:val="24"/>
              <w:szCs w:val="24"/>
            </w:rPr>
            <w:t xml:space="preserve"> Manter preposto formalmente designado nos locais de prestação de serviço, aceito pela Administração, para representá-lo na execução do contrato, quando couber.</w:t>
          </w:r>
        </w:p>
        <w:p>
          <w:pPr>
            <w:pStyle w:val="Normal"/>
            <w:spacing w:lineRule="auto" w:line="240" w:before="120" w:after="0"/>
            <w:rPr>
              <w:b/>
              <w:color w:val="auto"/>
              <w:sz w:val="24"/>
              <w:szCs w:val="24"/>
            </w:rPr>
          </w:pPr>
          <w:r>
            <w:rPr>
              <w:b/>
              <w:color w:val="auto"/>
              <w:sz w:val="24"/>
              <w:szCs w:val="24"/>
            </w:rPr>
            <w:t>10.12.</w:t>
          </w:r>
          <w:r>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pPr>
            <w:pStyle w:val="Normal"/>
            <w:spacing w:lineRule="auto" w:line="240" w:before="120" w:after="0"/>
            <w:rPr>
              <w:color w:val="auto"/>
              <w:sz w:val="24"/>
              <w:szCs w:val="24"/>
            </w:rPr>
          </w:pPr>
          <w:r>
            <w:rPr>
              <w:b/>
              <w:color w:val="auto"/>
              <w:sz w:val="24"/>
              <w:szCs w:val="24"/>
            </w:rPr>
            <w:t>10.13.</w:t>
          </w:r>
          <w:r>
            <w:rPr>
              <w:color w:val="auto"/>
              <w:sz w:val="24"/>
              <w:szCs w:val="24"/>
            </w:rPr>
            <w:t xml:space="preserve"> Fiscalizar regularmente os seus empregados designados para a prestação do serviço, a fim de verificar as condições de execução.</w:t>
          </w:r>
        </w:p>
        <w:p>
          <w:pPr>
            <w:pStyle w:val="Normal"/>
            <w:spacing w:lineRule="auto" w:line="240" w:before="120" w:after="0"/>
            <w:rPr>
              <w:color w:val="auto"/>
              <w:sz w:val="24"/>
              <w:szCs w:val="24"/>
            </w:rPr>
          </w:pPr>
          <w:r>
            <w:rPr>
              <w:b/>
              <w:color w:val="auto"/>
              <w:sz w:val="24"/>
              <w:szCs w:val="24"/>
            </w:rPr>
            <w:t>10.14.</w:t>
          </w:r>
          <w:r>
            <w:rPr>
              <w:color w:val="auto"/>
              <w:sz w:val="24"/>
              <w:szCs w:val="24"/>
            </w:rPr>
            <w:t xml:space="preserve"> Comunicar ao contratante qualquer anormalidade constatada e prestar os esclarecimentos solicitados.</w:t>
          </w:r>
        </w:p>
        <w:p>
          <w:pPr>
            <w:pStyle w:val="Normal"/>
            <w:spacing w:lineRule="auto" w:line="240" w:before="120" w:after="0"/>
            <w:rPr>
              <w:color w:val="auto"/>
              <w:sz w:val="24"/>
              <w:szCs w:val="24"/>
            </w:rPr>
          </w:pPr>
          <w:r>
            <w:rPr>
              <w:b/>
              <w:color w:val="auto"/>
              <w:sz w:val="24"/>
              <w:szCs w:val="24"/>
            </w:rPr>
            <w:t>10.15.</w:t>
          </w:r>
          <w:r>
            <w:rPr>
              <w:color w:val="auto"/>
              <w:sz w:val="24"/>
              <w:szCs w:val="24"/>
            </w:rPr>
            <w:t xml:space="preserve"> Arcar com as despesas decorrentes de qualquer infração cometida por seus empregados quando da execução do serviço objeto deste contrato.</w:t>
          </w:r>
        </w:p>
        <w:p>
          <w:pPr>
            <w:pStyle w:val="Normal"/>
            <w:spacing w:lineRule="auto" w:line="240" w:before="120" w:after="0"/>
            <w:rPr>
              <w:color w:val="auto"/>
              <w:sz w:val="24"/>
              <w:szCs w:val="24"/>
            </w:rPr>
          </w:pPr>
          <w:r>
            <w:rPr>
              <w:b/>
              <w:color w:val="auto"/>
              <w:sz w:val="24"/>
              <w:szCs w:val="24"/>
            </w:rPr>
            <w:t>10.16.</w:t>
          </w:r>
          <w:r>
            <w:rPr>
              <w:color w:val="auto"/>
              <w:sz w:val="24"/>
              <w:szCs w:val="24"/>
            </w:rPr>
            <w:t xml:space="preserve"> Realizar os treinamentos que se fizerem necessários para o bom desempenho das atribuições de seus empregados.</w:t>
          </w:r>
        </w:p>
        <w:p>
          <w:pPr>
            <w:pStyle w:val="Normal"/>
            <w:spacing w:lineRule="auto" w:line="240" w:before="120" w:after="0"/>
            <w:rPr>
              <w:color w:val="auto"/>
              <w:sz w:val="24"/>
              <w:szCs w:val="24"/>
            </w:rPr>
          </w:pPr>
          <w:r>
            <w:rPr>
              <w:b/>
              <w:color w:val="auto"/>
              <w:sz w:val="24"/>
              <w:szCs w:val="24"/>
            </w:rPr>
            <w:t>10.17.</w:t>
          </w:r>
          <w:r>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pPr>
            <w:pStyle w:val="Normal"/>
            <w:spacing w:lineRule="auto" w:line="240" w:before="120" w:after="0"/>
            <w:rPr>
              <w:color w:val="auto"/>
              <w:sz w:val="24"/>
              <w:szCs w:val="24"/>
            </w:rPr>
          </w:pPr>
          <w:r>
            <w:rPr>
              <w:b/>
              <w:color w:val="auto"/>
              <w:sz w:val="24"/>
              <w:szCs w:val="24"/>
            </w:rPr>
            <w:t>10.18.</w:t>
          </w:r>
          <w:r>
            <w:rPr>
              <w:color w:val="auto"/>
              <w:sz w:val="24"/>
              <w:szCs w:val="24"/>
            </w:rPr>
            <w:t xml:space="preserve"> Coordenar e supervisionar a execução dos serviços contratados.</w:t>
          </w:r>
        </w:p>
        <w:p>
          <w:pPr>
            <w:pStyle w:val="Normal"/>
            <w:spacing w:lineRule="auto" w:line="240" w:before="120" w:after="0"/>
            <w:rPr>
              <w:color w:val="auto"/>
              <w:sz w:val="24"/>
              <w:szCs w:val="24"/>
            </w:rPr>
          </w:pPr>
          <w:r>
            <w:rPr>
              <w:b/>
              <w:color w:val="auto"/>
              <w:sz w:val="24"/>
              <w:szCs w:val="24"/>
            </w:rPr>
            <w:t>10.19.</w:t>
          </w:r>
          <w:r>
            <w:rPr>
              <w:color w:val="auto"/>
              <w:sz w:val="24"/>
              <w:szCs w:val="24"/>
            </w:rPr>
            <w:t xml:space="preserve"> Administrar todo e qualquer assunto relativo aos seus empregados.</w:t>
          </w:r>
        </w:p>
        <w:p>
          <w:pPr>
            <w:pStyle w:val="Normal"/>
            <w:spacing w:lineRule="auto" w:line="240" w:before="120" w:after="0"/>
            <w:rPr>
              <w:color w:val="auto"/>
              <w:sz w:val="24"/>
              <w:szCs w:val="24"/>
            </w:rPr>
          </w:pPr>
          <w:r>
            <w:rPr>
              <w:b/>
              <w:color w:val="auto"/>
              <w:sz w:val="24"/>
              <w:szCs w:val="24"/>
            </w:rPr>
            <w:t>10.20.</w:t>
          </w:r>
          <w:r>
            <w:rPr>
              <w:color w:val="auto"/>
              <w:sz w:val="24"/>
              <w:szCs w:val="24"/>
            </w:rPr>
            <w:t xml:space="preserve"> Assumir todas as responsabilidades e adotar as medidas necessárias ao atendimento dos seus empregados acidentados ou acometidos de mal súbito, por meio do preposto. </w:t>
          </w:r>
        </w:p>
        <w:p>
          <w:pPr>
            <w:pStyle w:val="Normal"/>
            <w:spacing w:lineRule="auto" w:line="240" w:before="120" w:after="0"/>
            <w:rPr>
              <w:color w:val="auto"/>
              <w:sz w:val="24"/>
              <w:szCs w:val="24"/>
            </w:rPr>
          </w:pPr>
          <w:r>
            <w:rPr>
              <w:b/>
              <w:color w:val="auto"/>
              <w:sz w:val="24"/>
              <w:szCs w:val="24"/>
            </w:rPr>
            <w:t>10.21.</w:t>
          </w:r>
          <w:r>
            <w:rPr>
              <w:color w:val="auto"/>
              <w:sz w:val="24"/>
              <w:szCs w:val="24"/>
            </w:rPr>
            <w:t xml:space="preserve"> Instruir seus empregados quanto à prevenção de acidentes e de incêndios.</w:t>
          </w:r>
        </w:p>
        <w:p>
          <w:pPr>
            <w:pStyle w:val="Normal"/>
            <w:spacing w:lineRule="auto" w:line="240" w:before="120" w:after="0"/>
            <w:rPr>
              <w:color w:val="auto"/>
              <w:sz w:val="24"/>
              <w:szCs w:val="24"/>
            </w:rPr>
          </w:pPr>
          <w:r>
            <w:rPr>
              <w:b/>
              <w:color w:val="auto"/>
              <w:sz w:val="24"/>
              <w:szCs w:val="24"/>
            </w:rPr>
            <w:t>10.22.</w:t>
          </w:r>
          <w:r>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pPr>
            <w:pStyle w:val="Normal"/>
            <w:spacing w:lineRule="auto" w:line="240" w:before="120" w:after="0"/>
            <w:rPr>
              <w:color w:val="auto"/>
              <w:sz w:val="24"/>
              <w:szCs w:val="24"/>
            </w:rPr>
          </w:pPr>
          <w:r>
            <w:rPr>
              <w:b/>
              <w:bCs/>
              <w:color w:val="auto"/>
              <w:sz w:val="24"/>
              <w:szCs w:val="24"/>
            </w:rPr>
            <w:t>10.23.</w:t>
          </w:r>
          <w:r>
            <w:rPr>
              <w:color w:val="auto"/>
              <w:sz w:val="24"/>
              <w:szCs w:val="24"/>
            </w:rPr>
            <w:t xml:space="preserve"> Relatar ao contratante toda e qualquer irregularidade verificada no decorrer da prestação dos serviços.</w:t>
          </w:r>
        </w:p>
        <w:p>
          <w:pPr>
            <w:pStyle w:val="Normal"/>
            <w:spacing w:lineRule="auto" w:line="240" w:before="120" w:after="0"/>
            <w:rPr>
              <w:b/>
              <w:color w:val="auto"/>
              <w:sz w:val="24"/>
              <w:szCs w:val="24"/>
            </w:rPr>
          </w:pPr>
          <w:r>
            <w:rPr>
              <w:b/>
              <w:bCs/>
              <w:color w:val="auto"/>
              <w:sz w:val="24"/>
              <w:szCs w:val="24"/>
            </w:rPr>
            <w:t>10.24</w:t>
          </w:r>
          <w:r>
            <w:rPr>
              <w:b/>
              <w:color w:val="auto"/>
              <w:sz w:val="24"/>
              <w:szCs w:val="24"/>
            </w:rPr>
            <w:t>.</w:t>
          </w:r>
          <w:r>
            <w:rPr>
              <w:color w:val="auto"/>
              <w:sz w:val="24"/>
              <w:szCs w:val="24"/>
            </w:rPr>
            <w:t xml:space="preserve"> Guardar sigilo sobre todas as informações obtidas em decorrência do cumprimento do contrato.</w:t>
          </w:r>
        </w:p>
        <w:p>
          <w:pPr>
            <w:pStyle w:val="Normal"/>
            <w:spacing w:lineRule="auto" w:line="240" w:before="120" w:after="0"/>
            <w:rPr>
              <w:color w:val="auto"/>
              <w:sz w:val="24"/>
              <w:szCs w:val="24"/>
            </w:rPr>
          </w:pPr>
          <w:r>
            <w:rPr>
              <w:b/>
              <w:color w:val="auto"/>
              <w:sz w:val="24"/>
              <w:szCs w:val="24"/>
            </w:rPr>
            <w:t>10.</w:t>
          </w:r>
          <w:r>
            <w:rPr>
              <w:b/>
              <w:bCs/>
              <w:color w:val="auto"/>
              <w:sz w:val="24"/>
              <w:szCs w:val="24"/>
            </w:rPr>
            <w:t>25.</w:t>
          </w:r>
          <w:r>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pPr>
            <w:pStyle w:val="Normal"/>
            <w:spacing w:lineRule="auto" w:line="240" w:before="120" w:after="0"/>
            <w:rPr>
              <w:b/>
              <w:bCs/>
              <w:color w:val="auto"/>
              <w:sz w:val="24"/>
              <w:szCs w:val="24"/>
            </w:rPr>
          </w:pPr>
          <w:r>
            <w:rPr>
              <w:b/>
              <w:color w:val="auto"/>
              <w:sz w:val="24"/>
              <w:szCs w:val="24"/>
            </w:rPr>
            <w:t>10.</w:t>
          </w:r>
          <w:r>
            <w:rPr>
              <w:b/>
              <w:bCs/>
              <w:color w:val="auto"/>
              <w:sz w:val="24"/>
              <w:szCs w:val="24"/>
            </w:rPr>
            <w:t>26.</w:t>
          </w:r>
          <w:r>
            <w:rPr>
              <w:color w:val="auto"/>
              <w:sz w:val="24"/>
              <w:szCs w:val="24"/>
            </w:rPr>
            <w:t xml:space="preserve"> Informar endereço eletrônico para recebimento de correspondência oficial.</w:t>
          </w:r>
        </w:p>
        <w:p>
          <w:pPr>
            <w:pStyle w:val="paragraph"/>
            <w:spacing w:beforeAutospacing="0" w:before="120" w:afterAutospacing="0" w:after="0"/>
            <w:jc w:val="both"/>
            <w:textAlignment w:val="baseline"/>
            <w:rPr/>
          </w:pPr>
          <w:r>
            <w:rPr>
              <w:rStyle w:val="normaltextrun"/>
              <w:rFonts w:eastAsia="Calibri"/>
              <w:b/>
              <w:bCs/>
            </w:rPr>
            <w:t>10.27.</w:t>
          </w:r>
          <w:r>
            <w:rPr>
              <w:rStyle w:val="normaltextrun"/>
              <w:rFonts w:eastAsia="Calibri"/>
            </w:rPr>
            <w:t xml:space="preserve"> Atender às seguintes obrigações, decorrentes da Lei Federal nº 13.709/2018 - Lei Geral de Proteção de Dados – LGPD:</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10.27.3. garantir que os dados regulamentados pela LGPD estarão armazenados dentro do território nacional, salvo exceções de comum acordo com o contratante.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10.27.4. se abster de analisar o comportamento dos titulares dos dados regulados pela LGPD, com o objetivo de divulgação a terceiros, conduta esta que é expressamente vedada pelo presente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10.27.5. garantir que a execução do objeto da contratação esteja plenamente adequada à LGPD, permitindo auditorias solicitadas pelo contratante.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10.28.</w:t>
          </w:r>
          <w:r>
            <w:rPr>
              <w:rStyle w:val="normaltextrun"/>
              <w:rFonts w:eastAsia="Calibri"/>
            </w:rPr>
            <w:t xml:space="preserve"> Cumprir as exigências de reserva de cargos prevista em lei, bem como em outras normas específicas, para pessoa com deficiência, para reabilitado da Previdência Social e para aprendiz.</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10.29.</w:t>
          </w:r>
          <w:r>
            <w:rPr>
              <w:rStyle w:val="normaltextrun"/>
              <w:rFonts w:eastAsia="Calibri"/>
            </w:rPr>
            <w:t xml:space="preserve"> Responder diretamente por quaisquer perdas, </w:t>
          </w:r>
          <w:r>
            <w:rPr>
              <w:rStyle w:val="findhit"/>
              <w:rFonts w:eastAsia="Calibri"/>
            </w:rPr>
            <w:t>danos</w:t>
          </w:r>
          <w:r>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10.30.</w:t>
          </w:r>
          <w:r>
            <w:rPr>
              <w:rStyle w:val="normaltextrun"/>
              <w:rFonts w:eastAsia="Calibri"/>
            </w:rPr>
            <w:t xml:space="preserve"> O contratado deverá comprovar que possui Programa de Integridade se o prazo de vigência a que se refere a </w:t>
          </w:r>
          <w:r>
            <w:rPr>
              <w:rStyle w:val="normaltextrun"/>
              <w:rFonts w:eastAsia="Calibri"/>
              <w:b/>
              <w:bCs/>
            </w:rPr>
            <w:t>subcláusula 4.1</w:t>
          </w:r>
          <w:r>
            <w:rPr>
              <w:rStyle w:val="normaltextrun"/>
              <w:rFonts w:eastAsia="Calibri"/>
            </w:rPr>
            <w:t xml:space="preserve"> for igual ou superior a 180 (cento e oitenta) dias e o valor total da contratação a que se refere a </w:t>
          </w:r>
          <w:r>
            <w:rPr>
              <w:rStyle w:val="normaltextrun"/>
              <w:rFonts w:eastAsia="ＭＳ ゴシック" w:eastAsiaTheme="majorEastAsia"/>
              <w:b/>
              <w:bCs/>
            </w:rPr>
            <w:t xml:space="preserve">subcláusula 2.1 </w:t>
          </w:r>
          <w:r>
            <w:rPr>
              <w:rStyle w:val="normaltextrun"/>
              <w:rFonts w:eastAsia="Calibri"/>
            </w:rPr>
            <w:t xml:space="preserve">for superior ao valor de R$ 1.585.800,00 (um milhão, quinhentos e oitenta e cinco mil e oitocentos reais), atualizado pela variação da UPF/RS até o ano da assinatura do contrato, conforme art. 7º da Instrução Normativa CAGE nº 6, de 23 de dezembro de 2021. </w:t>
          </w:r>
        </w:p>
        <w:p>
          <w:pPr>
            <w:pStyle w:val="paragraph"/>
            <w:spacing w:beforeAutospacing="0" w:before="120" w:afterAutospacing="0" w:after="0"/>
            <w:jc w:val="both"/>
            <w:textAlignment w:val="baseline"/>
            <w:rPr/>
          </w:pPr>
          <w:r>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pPr>
            <w:pStyle w:val="paragraph"/>
            <w:spacing w:beforeAutospacing="0" w:before="120" w:afterAutospacing="0" w:after="0"/>
            <w:jc w:val="both"/>
            <w:textAlignment w:val="baseline"/>
            <w:rPr/>
          </w:pPr>
          <w:r>
            <w:rPr>
              <w:rStyle w:val="normaltextrun"/>
              <w:rFonts w:eastAsia="Calibri"/>
            </w:rPr>
            <w:t xml:space="preserve">10.30.1.1. Caso o contratado seja um consórcio de empresas, a empresa líder do consórcio deverá obter o Certificado de Apresentação do Programa de Integridade. </w:t>
          </w:r>
        </w:p>
        <w:p>
          <w:pPr>
            <w:pStyle w:val="paragraph"/>
            <w:spacing w:beforeAutospacing="0" w:before="120" w:afterAutospacing="0" w:after="0"/>
            <w:jc w:val="both"/>
            <w:textAlignment w:val="baseline"/>
            <w:rPr/>
          </w:pPr>
          <w:r>
            <w:rPr>
              <w:rStyle w:val="normaltextrun"/>
              <w:rFonts w:eastAsia="Calibri"/>
            </w:rPr>
            <w:t xml:space="preserve">10.30.2. Será de 180 (cento e oitenta) dias corridos, a contar da data de celebração do contrato, o prazo para obter o Certificado de Apresentação do Programa de Integridade. </w:t>
          </w:r>
        </w:p>
        <w:p>
          <w:pPr>
            <w:pStyle w:val="paragraph"/>
            <w:spacing w:beforeAutospacing="0" w:before="120" w:afterAutospacing="0" w:after="0"/>
            <w:jc w:val="both"/>
            <w:textAlignment w:val="baseline"/>
            <w:rPr/>
          </w:pPr>
          <w:r>
            <w:rPr>
              <w:rStyle w:val="normaltextrun"/>
              <w:rFonts w:eastAsia="Calibri"/>
            </w:rPr>
            <w:t xml:space="preserve">10.30.3. Caberá ao contratado custear as despesas relacionadas à implantação do Programa de Integridade. </w:t>
          </w:r>
        </w:p>
        <w:p>
          <w:pPr>
            <w:pStyle w:val="paragraph"/>
            <w:spacing w:beforeAutospacing="0" w:before="120" w:afterAutospacing="0" w:after="0"/>
            <w:jc w:val="both"/>
            <w:textAlignment w:val="baseline"/>
            <w:rPr/>
          </w:pPr>
          <w:r>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pPr>
            <w:pStyle w:val="Normal"/>
            <w:spacing w:lineRule="auto" w:line="240" w:before="120" w:after="0"/>
            <w:rPr>
              <w:color w:val="auto"/>
              <w:sz w:val="24"/>
              <w:szCs w:val="24"/>
            </w:rPr>
          </w:pPr>
          <w:r>
            <w:rPr>
              <w:b/>
              <w:bCs/>
              <w:color w:val="auto"/>
              <w:sz w:val="24"/>
              <w:szCs w:val="24"/>
            </w:rPr>
            <w:t>10.31.</w:t>
          </w:r>
          <w:r>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pPr>
            <w:pStyle w:val="paragraph"/>
            <w:spacing w:beforeAutospacing="0" w:before="120" w:afterAutospacing="0" w:after="0"/>
            <w:jc w:val="both"/>
            <w:textAlignment w:val="baseline"/>
            <w:rPr/>
          </w:pPr>
          <w:r>
            <w:rPr>
              <w:rStyle w:val="normaltextrun"/>
              <w:b/>
              <w:bCs/>
            </w:rPr>
            <w:t>10.</w:t>
          </w:r>
          <w:r>
            <w:rPr>
              <w:rStyle w:val="normaltextrun"/>
              <w:rFonts w:eastAsia="Calibri"/>
              <w:b/>
              <w:bCs/>
            </w:rPr>
            <w:t>32.</w:t>
          </w:r>
          <w:r>
            <w:rPr>
              <w:rStyle w:val="normaltextrun"/>
              <w:rFonts w:eastAsia="Calibri"/>
            </w:rPr>
            <w:t xml:space="preserve"> [Reproduzir</w:t>
          </w:r>
          <w:r>
            <w:rPr>
              <w:rStyle w:val="normaltextrun"/>
            </w:rPr>
            <w:t xml:space="preserve">, se for o caso, </w:t>
          </w:r>
          <w:r>
            <w:rPr>
              <w:rStyle w:val="normaltextrun"/>
              <w:rFonts w:eastAsia="Calibri"/>
            </w:rPr>
            <w:t xml:space="preserve">outras obrigações específicas previstas no </w:t>
          </w:r>
          <w:r>
            <w:rPr>
              <w:rStyle w:val="normaltextrun"/>
              <w:rFonts w:eastAsia="Calibri"/>
              <w:b/>
              <w:bCs/>
            </w:rPr>
            <w:t>Anexo IV – FOLHA DE DADOS (CGDL 21.1)</w:t>
          </w:r>
          <w:r>
            <w:rPr>
              <w:rStyle w:val="normaltextrun"/>
              <w:rFonts w:eastAsia="Calibri"/>
            </w:rPr>
            <w:t>].</w:t>
          </w:r>
          <w:r>
            <w:rPr>
              <w:rStyle w:val="eop"/>
              <w:rFonts w:eastAsia="Calibri"/>
            </w:rPr>
            <w:t>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PRIMEIRA – DAS OBRIGAÇÕES DO CONTRATANTE</w:t>
          </w:r>
        </w:p>
        <w:p>
          <w:pPr>
            <w:pStyle w:val="Normal"/>
            <w:spacing w:lineRule="auto" w:line="240" w:before="120" w:after="0"/>
            <w:rPr>
              <w:color w:val="auto"/>
              <w:sz w:val="24"/>
              <w:szCs w:val="24"/>
            </w:rPr>
          </w:pPr>
          <w:r>
            <w:rPr>
              <w:b/>
              <w:color w:val="auto"/>
              <w:sz w:val="24"/>
              <w:szCs w:val="24"/>
            </w:rPr>
            <w:t>11.1.</w:t>
          </w:r>
          <w:r>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pPr>
            <w:pStyle w:val="Normal"/>
            <w:spacing w:lineRule="auto" w:line="240" w:before="120" w:after="0"/>
            <w:rPr>
              <w:b/>
              <w:color w:val="auto"/>
              <w:sz w:val="24"/>
              <w:szCs w:val="24"/>
            </w:rPr>
          </w:pPr>
          <w:r>
            <w:rPr>
              <w:b/>
              <w:color w:val="auto"/>
              <w:sz w:val="24"/>
              <w:szCs w:val="24"/>
            </w:rPr>
            <w:t>11.2.</w:t>
          </w:r>
          <w:r>
            <w:rPr>
              <w:color w:val="auto"/>
              <w:sz w:val="24"/>
              <w:szCs w:val="24"/>
            </w:rPr>
            <w:t xml:space="preserve"> Exigir o cumprimento de todas as obrigações assumidas pelo contratado, de acordo com as cláusulas contratuais e os termos de sua proposta.</w:t>
          </w:r>
        </w:p>
        <w:p>
          <w:pPr>
            <w:pStyle w:val="Normal"/>
            <w:spacing w:lineRule="auto" w:line="240" w:before="120" w:after="0"/>
            <w:rPr>
              <w:color w:val="auto"/>
              <w:sz w:val="24"/>
              <w:szCs w:val="24"/>
            </w:rPr>
          </w:pPr>
          <w:r>
            <w:rPr>
              <w:b/>
              <w:color w:val="auto"/>
              <w:sz w:val="24"/>
              <w:szCs w:val="24"/>
            </w:rPr>
            <w:t>11.3.</w:t>
          </w:r>
          <w:r>
            <w:rPr>
              <w:color w:val="auto"/>
              <w:sz w:val="24"/>
              <w:szCs w:val="24"/>
            </w:rPr>
            <w:t xml:space="preserve"> Notificar o contratado por escrito da ocorrência de eventuais imperfeições no curso da execução dos serviços, fixando prazo para a sua correção.</w:t>
          </w:r>
        </w:p>
        <w:p>
          <w:pPr>
            <w:pStyle w:val="Normal"/>
            <w:spacing w:lineRule="auto" w:line="240" w:before="120" w:after="0"/>
            <w:rPr>
              <w:b/>
              <w:color w:val="auto"/>
              <w:sz w:val="24"/>
              <w:szCs w:val="24"/>
            </w:rPr>
          </w:pPr>
          <w:r>
            <w:rPr>
              <w:b/>
              <w:color w:val="auto"/>
              <w:sz w:val="24"/>
              <w:szCs w:val="24"/>
            </w:rPr>
            <w:t>11.4.</w:t>
          </w:r>
          <w:r>
            <w:rPr>
              <w:color w:val="auto"/>
              <w:sz w:val="24"/>
              <w:szCs w:val="24"/>
            </w:rPr>
            <w:t xml:space="preserve"> Pagar ao contratado o valor resultante da prestação do serviço, no prazo e condições estabelecidas na </w:t>
          </w:r>
          <w:r>
            <w:rPr>
              <w:b/>
              <w:bCs/>
              <w:color w:val="auto"/>
              <w:sz w:val="24"/>
              <w:szCs w:val="24"/>
            </w:rPr>
            <w:t>cláusula sexta</w:t>
          </w:r>
          <w:r>
            <w:rPr>
              <w:color w:val="auto"/>
              <w:sz w:val="24"/>
              <w:szCs w:val="24"/>
            </w:rPr>
            <w:t>.</w:t>
          </w:r>
        </w:p>
        <w:p>
          <w:pPr>
            <w:pStyle w:val="Normal"/>
            <w:spacing w:lineRule="auto" w:line="240" w:before="120" w:after="0"/>
            <w:rPr>
              <w:b/>
              <w:color w:val="auto"/>
              <w:sz w:val="24"/>
              <w:szCs w:val="24"/>
            </w:rPr>
          </w:pPr>
          <w:r>
            <w:rPr>
              <w:b/>
              <w:color w:val="auto"/>
              <w:sz w:val="24"/>
              <w:szCs w:val="24"/>
            </w:rPr>
            <w:t xml:space="preserve">11.5. </w:t>
          </w:r>
          <w:r>
            <w:rPr>
              <w:color w:val="auto"/>
              <w:sz w:val="24"/>
              <w:szCs w:val="24"/>
            </w:rPr>
            <w:t>Efetuar as retenções tributárias devidas sobre o valor da fatura de serviços do contratado, nos termos da legislação vigente.</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SEGUNDA – DAS INFRAÇÕES E SANÇÕES ADMINISTRATIVAS</w:t>
          </w:r>
        </w:p>
        <w:p>
          <w:pPr>
            <w:pStyle w:val="Heading6"/>
            <w:spacing w:lineRule="auto" w:line="240" w:before="120" w:after="0"/>
            <w:rPr>
              <w:sz w:val="24"/>
              <w:szCs w:val="24"/>
            </w:rPr>
          </w:pPr>
          <w:r>
            <w:rPr>
              <w:rStyle w:val="normaltextrun"/>
              <w:sz w:val="24"/>
              <w:szCs w:val="24"/>
            </w:rPr>
            <w:t>12.1. Das Infrações Administrativas</w:t>
          </w:r>
          <w:r>
            <w:rPr>
              <w:rStyle w:val="eop"/>
              <w:sz w:val="24"/>
              <w:szCs w:val="24"/>
            </w:rPr>
            <w:t> </w:t>
          </w:r>
        </w:p>
        <w:p>
          <w:pPr>
            <w:pStyle w:val="paragraph"/>
            <w:spacing w:beforeAutospacing="0" w:before="120" w:afterAutospacing="0" w:after="0"/>
            <w:jc w:val="both"/>
            <w:textAlignment w:val="baseline"/>
            <w:rPr/>
          </w:pPr>
          <w:r>
            <w:rPr>
              <w:rStyle w:val="normaltextrun"/>
              <w:rFonts w:eastAsia="Calibri"/>
            </w:rPr>
            <w:t>12.1.1. Comete infração administrativa, nos termos da Lei Federal nº 14.133/2021, o contratado que: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12.1.1.1. der causa à inexecução parcial do contrato; </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1.1.2. der causa à inexecução parcial do contrato que cause grave dano à Administração, ao funcionamento dos serviços públicos ou ao interesse coletivo;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12.1.1.3. der causa à inexecução total do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12.1.1.4. enseje</w:t>
          </w:r>
          <w:r>
            <w:rPr>
              <w:rStyle w:val="normaltextrun"/>
            </w:rPr>
            <w:t xml:space="preserve"> o retardamento da execução </w:t>
          </w:r>
          <w:r>
            <w:rPr>
              <w:rStyle w:val="normaltextrun"/>
              <w:rFonts w:eastAsia="Calibri"/>
            </w:rPr>
            <w:t>ou da entrega do</w:t>
          </w:r>
          <w:r>
            <w:rPr>
              <w:rStyle w:val="normaltextrun"/>
            </w:rPr>
            <w:t xml:space="preserve"> objeto do contrato</w:t>
          </w:r>
          <w:r>
            <w:rPr>
              <w:rStyle w:val="normaltextrun"/>
              <w:rFonts w:eastAsia="Calibri"/>
            </w:rPr>
            <w:t xml:space="preserve">, sem motivo justificado, o qual </w:t>
          </w:r>
          <w:r>
            <w:rPr>
              <w:rStyle w:val="normaltextrun"/>
            </w:rPr>
            <w:t xml:space="preserve">se </w:t>
          </w:r>
          <w:r>
            <w:rPr>
              <w:rStyle w:val="normaltextrun"/>
              <w:rFonts w:eastAsia="Calibri"/>
            </w:rPr>
            <w:t>configura</w:t>
          </w:r>
          <w:r>
            <w:rPr>
              <w:rStyle w:val="normaltextrun"/>
            </w:rPr>
            <w:t xml:space="preserve"> quando o contratado:</w:t>
          </w:r>
          <w:r>
            <w:rPr>
              <w:rStyle w:val="eop"/>
              <w:rFonts w:eastAsia="Calibri"/>
            </w:rPr>
            <w:t> </w:t>
          </w:r>
        </w:p>
        <w:p>
          <w:pPr>
            <w:pStyle w:val="paragraph"/>
            <w:spacing w:beforeAutospacing="0" w:before="120" w:afterAutospacing="0" w:after="0"/>
            <w:jc w:val="both"/>
            <w:textAlignment w:val="baseline"/>
            <w:rPr/>
          </w:pPr>
          <w:r>
            <w:rPr>
              <w:rStyle w:val="normaltextrun"/>
            </w:rPr>
            <w:t>12.1.</w:t>
          </w:r>
          <w:r>
            <w:rPr>
              <w:rStyle w:val="normaltextrun"/>
              <w:rFonts w:eastAsia="Calibri"/>
            </w:rPr>
            <w:t>1.4.1. deixe</w:t>
          </w:r>
          <w:r>
            <w:rPr>
              <w:rStyle w:val="normaltextrun"/>
            </w:rPr>
            <w:t xml:space="preserve"> de iniciar, sem causa justificada, a execução do contrato após 7 (sete) dias contados da data da ordem de serviço;</w:t>
          </w:r>
          <w:r>
            <w:rPr>
              <w:rStyle w:val="normaltextrun"/>
              <w:rFonts w:eastAsia="Calibri"/>
            </w:rPr>
            <w:t> </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1.1.4</w:t>
          </w:r>
          <w:r>
            <w:rPr>
              <w:rStyle w:val="normaltextrun"/>
            </w:rPr>
            <w:t xml:space="preserve">.2. </w:t>
          </w:r>
          <w:r>
            <w:rPr>
              <w:rStyle w:val="normaltextrun"/>
              <w:rFonts w:eastAsia="Calibri"/>
            </w:rPr>
            <w:t>deixe</w:t>
          </w:r>
          <w:r>
            <w:rPr>
              <w:rStyle w:val="normaltextrun"/>
            </w:rPr>
            <w:t xml:space="preserve"> de realizar, sem causa justificada, os serviços definidos no contrato por 3 (três) dias seguidos ou por 10 (dez) dias intercalados.</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1.1.5. apresente declaração ou documentação falsa, ou preste declaração falsa durante a execução do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12.1.1.6. pratique ato fraudulento</w:t>
          </w:r>
          <w:r>
            <w:rPr>
              <w:rStyle w:val="normaltextrun"/>
            </w:rPr>
            <w:t xml:space="preserve"> na execução do contrato</w:t>
          </w:r>
          <w:r>
            <w:rPr>
              <w:rStyle w:val="normaltextrun"/>
              <w:rFonts w:eastAsia="Calibri"/>
            </w:rPr>
            <w:t>;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12.1.1.7. comporte-se de modo inidôneo ou cometa fraude de qualquer natureza; ou</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12.1.1.8. pratique ato lesivo previsto no art. 5º da Lei nº 12.846, de 1º de agosto de 2013. </w:t>
          </w:r>
          <w:r>
            <w:rPr>
              <w:rStyle w:val="eop"/>
              <w:rFonts w:eastAsia="Calibri"/>
            </w:rPr>
            <w:t> </w:t>
          </w:r>
        </w:p>
        <w:p>
          <w:pPr>
            <w:pStyle w:val="Heading6"/>
            <w:spacing w:lineRule="auto" w:line="240" w:before="120" w:after="0"/>
            <w:rPr>
              <w:rStyle w:val="normaltextrun"/>
              <w:sz w:val="24"/>
              <w:szCs w:val="24"/>
            </w:rPr>
          </w:pPr>
          <w:r>
            <w:rPr>
              <w:rStyle w:val="normaltextrun"/>
              <w:sz w:val="24"/>
              <w:szCs w:val="24"/>
            </w:rPr>
            <w:t>12.2. Do Processo Administrativo e das Sanções Administrativas </w:t>
          </w:r>
        </w:p>
        <w:p>
          <w:pPr>
            <w:pStyle w:val="paragraph"/>
            <w:spacing w:beforeAutospacing="0" w:before="120" w:afterAutospacing="0" w:after="0"/>
            <w:jc w:val="both"/>
            <w:textAlignment w:val="baseline"/>
            <w:rPr/>
          </w:pPr>
          <w:r>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 Serão aplicadas ao responsável pelas infrações administrativas, de acordo com a dosimetria estabelecida na norma indicada no </w:t>
          </w:r>
          <w:r>
            <w:rPr>
              <w:rStyle w:val="normaltextrun"/>
              <w:rFonts w:eastAsia="Calibri"/>
              <w:b/>
              <w:bCs/>
            </w:rPr>
            <w:t>Anexo IV – FOLHA DE DADOS (CGDL 23.2.2)</w:t>
          </w:r>
          <w:r>
            <w:rPr>
              <w:rStyle w:val="normaltextrun"/>
              <w:rFonts w:eastAsia="Calibri"/>
            </w:rPr>
            <w:t>, as seguintes sanções: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12.2.2.1. advertência, para a infração prevista na </w:t>
          </w:r>
          <w:r>
            <w:rPr>
              <w:rStyle w:val="normaltextrun"/>
              <w:rFonts w:eastAsia="Calibri"/>
              <w:b/>
              <w:bCs/>
            </w:rPr>
            <w:t>subcláusula 12.1.1.1</w:t>
          </w:r>
          <w:r>
            <w:rPr>
              <w:rStyle w:val="normaltextrun"/>
              <w:rFonts w:eastAsia="Calibri"/>
            </w:rPr>
            <w:t>,</w:t>
          </w:r>
          <w:r>
            <w:rPr>
              <w:rStyle w:val="normaltextrun"/>
            </w:rPr>
            <w:t xml:space="preserve"> quando </w:t>
          </w:r>
          <w:r>
            <w:rPr>
              <w:rStyle w:val="normaltextrun"/>
              <w:rFonts w:eastAsia="Calibri"/>
            </w:rPr>
            <w:t>não se justificar a imposição de penalidade mais grave;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12.2.2.2. multa, nas modalidades:</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12.2.2.2.1. compensatória, de até 10% sobre o valor da parcela inadimplida, para quaisquer das infrações previstas nas </w:t>
          </w:r>
          <w:r>
            <w:rPr>
              <w:rStyle w:val="normaltextrun"/>
              <w:rFonts w:eastAsia="Calibri"/>
              <w:b/>
              <w:bCs/>
            </w:rPr>
            <w:t>subcláusulas 12.1.1.1. a 12.1.1.8</w:t>
          </w:r>
          <w:r>
            <w:rPr>
              <w:rStyle w:val="normaltextrun"/>
              <w:rFonts w:eastAsia="Calibri"/>
            </w:rPr>
            <w:t>;</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12.2.2.2.2. moratória, pelo atraso injustificado na execução do contrato, de até 0,5% (meio por cento) por dia de atraso injustificado sobre o valor da parcela inadimplida, até o limite de 30 (trinta) dias;</w:t>
          </w:r>
          <w:r>
            <w:rPr>
              <w:rStyle w:val="eop"/>
              <w:rFonts w:eastAsia="Calibri"/>
            </w:rPr>
            <w:t> </w:t>
          </w:r>
        </w:p>
        <w:p>
          <w:pPr>
            <w:pStyle w:val="paragraph"/>
            <w:spacing w:beforeAutospacing="0" w:before="120" w:afterAutospacing="0" w:after="0"/>
            <w:jc w:val="both"/>
            <w:rPr>
              <w:rStyle w:val="eop"/>
              <w:rFonts w:eastAsia="Calibri"/>
            </w:rPr>
          </w:pPr>
          <w:r>
            <w:rPr>
              <w:rStyle w:val="eop"/>
              <w:rFonts w:eastAsia="Calibri"/>
            </w:rPr>
            <w:t xml:space="preserve">12.2.2.3. moratória, pela não obtenção do Certificado de Apresentação de Programa de Integridade dentro do prazo referido na </w:t>
          </w:r>
          <w:r>
            <w:rPr>
              <w:rStyle w:val="eop"/>
              <w:rFonts w:eastAsia="Calibri"/>
              <w:b/>
              <w:bCs/>
            </w:rPr>
            <w:t>subcláusula 10.30.2</w:t>
          </w:r>
          <w:r>
            <w:rPr>
              <w:rStyle w:val="eop"/>
              <w:rFonts w:eastAsia="Calibri"/>
            </w:rPr>
            <w:t>, de até 0,02% (dois centésimos por cento) por dia de atraso sobre o valor do contrato, até o limite de 10% (dez por cento);</w:t>
          </w:r>
        </w:p>
        <w:p>
          <w:pPr>
            <w:pStyle w:val="paragraph"/>
            <w:spacing w:beforeAutospacing="0" w:before="120" w:afterAutospacing="0" w:after="0"/>
            <w:jc w:val="both"/>
            <w:textAlignment w:val="baseline"/>
            <w:rPr/>
          </w:pPr>
          <w:r>
            <w:rPr>
              <w:rStyle w:val="normaltextrun"/>
              <w:rFonts w:eastAsia="Calibri"/>
            </w:rPr>
            <w:t xml:space="preserve">12.2.2.4. impedimento de licitar e contratar, para as infrações previstas nas </w:t>
          </w:r>
          <w:r>
            <w:rPr>
              <w:rStyle w:val="normaltextrun"/>
              <w:rFonts w:eastAsia="Calibri"/>
              <w:b/>
              <w:bCs/>
            </w:rPr>
            <w:t>subcláusulas 12.1.1.2. a 12.1.1.4</w:t>
          </w:r>
          <w:r>
            <w:rPr>
              <w:rStyle w:val="normaltextrun"/>
              <w:rFonts w:eastAsia="Calibri"/>
            </w:rPr>
            <w:t>, quando não se justificar a imposição de penalidade mais grave;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12.2.2.5. declaração de inidoneidade para licitar e contratar, para as infrações previstas nas </w:t>
          </w:r>
          <w:r>
            <w:rPr>
              <w:rStyle w:val="normaltextrun"/>
              <w:rFonts w:eastAsia="Calibri"/>
              <w:b/>
              <w:bCs/>
            </w:rPr>
            <w:t>subcláusulas 12.1.1.5. a 12.1.1.8</w:t>
          </w:r>
          <w:r>
            <w:rPr>
              <w:rStyle w:val="normaltextrun"/>
              <w:rFonts w:eastAsia="Calibri"/>
            </w:rPr>
            <w:t>.</w:t>
          </w:r>
          <w:r>
            <w:rPr>
              <w:rStyle w:val="eop"/>
              <w:rFonts w:eastAsia="Calibri"/>
            </w:rPr>
            <w:t> </w:t>
          </w:r>
        </w:p>
        <w:p>
          <w:pPr>
            <w:pStyle w:val="Heading6"/>
            <w:spacing w:lineRule="auto" w:line="240" w:before="120" w:after="0"/>
            <w:rPr>
              <w:rStyle w:val="normaltextrun"/>
              <w:sz w:val="24"/>
              <w:szCs w:val="24"/>
            </w:rPr>
          </w:pPr>
          <w:r>
            <w:rPr>
              <w:rStyle w:val="normaltextrun"/>
              <w:sz w:val="24"/>
              <w:szCs w:val="24"/>
            </w:rPr>
            <w:t>12.3. Da Aplicação das Sanções </w:t>
          </w:r>
        </w:p>
        <w:p>
          <w:pPr>
            <w:pStyle w:val="paragraph"/>
            <w:spacing w:beforeAutospacing="0" w:before="120" w:afterAutospacing="0" w:after="0"/>
            <w:jc w:val="both"/>
            <w:textAlignment w:val="baseline"/>
            <w:rPr/>
          </w:pPr>
          <w:r>
            <w:rPr>
              <w:rStyle w:val="normaltextrun"/>
              <w:rFonts w:eastAsia="Calibri"/>
            </w:rPr>
            <w:t>12.3.1. As sanções aqui previstas são independentes entre si, podendo ser aplicadas isoladas ou, no caso das multas, cumulativamente, sem prejuízo de outras medidas cabíveis.</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12.3.2. A aplicação de sanções não exime </w:t>
          </w:r>
          <w:r>
            <w:rPr>
              <w:rStyle w:val="normaltextrun"/>
            </w:rPr>
            <w:t xml:space="preserve">o contratado </w:t>
          </w:r>
          <w:r>
            <w:rPr>
              <w:rStyle w:val="normaltextrun"/>
              <w:rFonts w:eastAsia="Calibri"/>
            </w:rPr>
            <w:t>da obrigação de reparar os danos, perdas ou prejuízos que venha a causar ao ente público.</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12.3.2.1. O valor previsto a título de multa compensatória </w:t>
          </w:r>
          <w:r>
            <w:rPr>
              <w:rStyle w:val="normaltextrun"/>
            </w:rPr>
            <w:t xml:space="preserve">será </w:t>
          </w:r>
          <w:r>
            <w:rPr>
              <w:rStyle w:val="normaltextrun"/>
              <w:rFonts w:eastAsia="Calibri"/>
            </w:rPr>
            <w:t>tido como mínimo da indenização devida à título de perdas e danos, competindo ao contratante provar o prejuízo excedente, nos termos do art. 416 do Código Civil - Lei nº 10.406/2002.</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12.3.3. A multa de mora poderá ser convertida em multa compensatória, com a aplicação cumulada de outras sanções previstas neste Contrato.</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12.3.4 As penalidades de multa decorrentes de fatos diversos serão consideradas independentes entre si.</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Pr>
              <w:rStyle w:val="normaltextrun"/>
              <w:rFonts w:eastAsia="Calibri"/>
              <w:i/>
              <w:iCs/>
            </w:rPr>
            <w:t>caput</w:t>
          </w:r>
          <w:r>
            <w:rPr>
              <w:rStyle w:val="normaltextrun"/>
              <w:rFonts w:eastAsia="Calibri"/>
            </w:rPr>
            <w:t xml:space="preserve"> do art. 137 da Lei Federal nº 14.133/2021.</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12.3.6. As sanções previstas neste </w:t>
          </w:r>
          <w:r>
            <w:rPr>
              <w:rStyle w:val="normaltextrun"/>
            </w:rPr>
            <w:t xml:space="preserve">item </w:t>
          </w:r>
          <w:r>
            <w:rPr>
              <w:rStyle w:val="normaltextrun"/>
              <w:rFonts w:eastAsia="Calibri"/>
            </w:rPr>
            <w:t>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r>
            <w:rPr>
              <w:rStyle w:val="normaltextrun"/>
            </w:rPr>
            <w:t>.</w:t>
          </w:r>
        </w:p>
        <w:p>
          <w:pPr>
            <w:pStyle w:val="paragraph"/>
            <w:spacing w:beforeAutospacing="0" w:before="120" w:afterAutospacing="0" w:after="0"/>
            <w:jc w:val="both"/>
            <w:textAlignment w:val="baseline"/>
            <w:rPr/>
          </w:pPr>
          <w:r>
            <w:rPr>
              <w:rStyle w:val="normaltextrun"/>
              <w:rFonts w:eastAsia="Calibri"/>
            </w:rPr>
            <w:t>12.3.7. Serão reputados como</w:t>
          </w:r>
          <w:r>
            <w:rPr>
              <w:rStyle w:val="normaltextrun"/>
            </w:rPr>
            <w:t xml:space="preserve"> inidôneos atos como os descritos nos arts.337-F, 337-I, 337-J, 337-K, 337-L e no art. 337-M, §§ 1º e 2º, do Capítulo II-B, do Título XI da Parte Especial do Decreto-Lei nº 2.848, de 7 de dezembro de 1940 (Código Penal).</w:t>
          </w:r>
          <w:r>
            <w:rPr>
              <w:rStyle w:val="eop"/>
              <w:rFonts w:eastAsia="Calibri"/>
            </w:rPr>
            <w:t> </w:t>
          </w:r>
        </w:p>
        <w:p>
          <w:pPr>
            <w:pStyle w:val="paragraph"/>
            <w:spacing w:beforeAutospacing="0" w:before="120" w:afterAutospacing="0" w:after="0"/>
            <w:jc w:val="both"/>
            <w:textAlignment w:val="baseline"/>
            <w:rPr>
              <w:rStyle w:val="eop"/>
              <w:rFonts w:eastAsia="Calibri"/>
            </w:rPr>
          </w:pPr>
          <w:r>
            <w:rPr>
              <w:rStyle w:val="normaltextrun"/>
              <w:rFonts w:eastAsia="Calibri"/>
            </w:rPr>
            <w:t>12.3.8. As sanções de suspensão e de declaração de inidoneidade levam à inclusão do participante no CFIL/RS.</w:t>
          </w:r>
          <w:r>
            <w:rPr>
              <w:rStyle w:val="eop"/>
              <w:rFonts w:eastAsia="Calibri"/>
            </w:rPr>
            <w:t> </w:t>
          </w:r>
        </w:p>
        <w:p>
          <w:pPr>
            <w:pStyle w:val="Normal"/>
            <w:spacing w:lineRule="auto" w:line="240" w:before="120" w:after="0"/>
            <w:rPr>
              <w:color w:val="auto"/>
              <w:sz w:val="24"/>
              <w:szCs w:val="24"/>
            </w:rPr>
          </w:pPr>
          <w:r>
            <w:rPr>
              <w:color w:themeColor="text1" w:val="000000"/>
              <w:sz w:val="24"/>
              <w:szCs w:val="24"/>
            </w:rPr>
            <w:t xml:space="preserve">12.3.9. </w:t>
          </w:r>
          <w:r>
            <w:rPr>
              <w:rFonts w:eastAsia="Arial"/>
              <w:color w:themeColor="text1" w:val="000000"/>
              <w:sz w:val="24"/>
              <w:szCs w:val="24"/>
            </w:rPr>
            <w:t xml:space="preserve">A aplicação de multa de mora não impedirá que a Administração a converta em compensatória e promova a extinção unilateral do contrato com a aplicação cumulada de outras sanções previstas </w:t>
          </w:r>
          <w:r>
            <w:rPr>
              <w:rFonts w:eastAsia="Arial"/>
              <w:color w:val="auto"/>
              <w:sz w:val="24"/>
              <w:szCs w:val="24"/>
            </w:rPr>
            <w:t>neste Contrato.</w:t>
          </w:r>
          <w:r>
            <w:rPr>
              <w:color w:val="auto"/>
              <w:sz w:val="24"/>
              <w:szCs w:val="24"/>
            </w:rPr>
            <w:t xml:space="preserve"> </w:t>
          </w:r>
        </w:p>
        <w:p>
          <w:pPr>
            <w:pStyle w:val="Normal"/>
            <w:spacing w:lineRule="auto" w:line="240" w:before="120" w:after="0"/>
            <w:rPr>
              <w:sz w:val="24"/>
              <w:szCs w:val="24"/>
            </w:rPr>
          </w:pPr>
          <w:r>
            <w:rPr>
              <w:sz w:val="24"/>
              <w:szCs w:val="24"/>
            </w:rPr>
            <w:t>12.3.10. A aplicação de qualquer penalidade não exclui a aplicação da multa.</w:t>
          </w:r>
        </w:p>
        <w:p>
          <w:pPr>
            <w:pStyle w:val="Heading6"/>
            <w:spacing w:lineRule="auto" w:line="240" w:before="120" w:after="0"/>
            <w:rPr>
              <w:rStyle w:val="normaltextrun"/>
              <w:sz w:val="24"/>
              <w:szCs w:val="24"/>
            </w:rPr>
          </w:pPr>
          <w:r>
            <w:rPr>
              <w:rStyle w:val="normaltextrun"/>
              <w:sz w:val="24"/>
              <w:szCs w:val="24"/>
            </w:rPr>
            <w:t>12.4. Da execução da garantia contratual </w:t>
          </w:r>
        </w:p>
        <w:p>
          <w:pPr>
            <w:pStyle w:val="paragraph"/>
            <w:spacing w:beforeAutospacing="0" w:before="120" w:afterAutospacing="0" w:after="0"/>
            <w:jc w:val="both"/>
            <w:textAlignment w:val="baseline"/>
            <w:rPr/>
          </w:pPr>
          <w:r>
            <w:rPr>
              <w:rStyle w:val="normaltextrun"/>
              <w:rFonts w:eastAsia="Calibri"/>
            </w:rPr>
            <w:t>12.4.1.</w:t>
          </w:r>
          <w:r>
            <w:rPr>
              <w:rStyle w:val="normaltextrun"/>
            </w:rPr>
            <w:t xml:space="preserve"> O valor da multa poderá ser descontado </w:t>
          </w:r>
          <w:r>
            <w:rPr>
              <w:rStyle w:val="normaltextrun"/>
              <w:rFonts w:eastAsia="Calibri"/>
            </w:rPr>
            <w:t>da garantia contratual.</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4.2</w:t>
          </w:r>
          <w:r>
            <w:rPr>
              <w:rStyle w:val="normaltextrun"/>
            </w:rPr>
            <w:t xml:space="preserve">. Se </w:t>
          </w:r>
          <w:r>
            <w:rPr>
              <w:rStyle w:val="normaltextrun"/>
              <w:rFonts w:eastAsia="Calibri"/>
            </w:rPr>
            <w:t xml:space="preserve">a multa for de </w:t>
          </w:r>
          <w:r>
            <w:rPr>
              <w:rStyle w:val="normaltextrun"/>
            </w:rPr>
            <w:t xml:space="preserve">valor </w:t>
          </w:r>
          <w:r>
            <w:rPr>
              <w:rStyle w:val="normaltextrun"/>
              <w:rFonts w:eastAsia="Calibri"/>
            </w:rPr>
            <w:t>superior</w:t>
          </w:r>
          <w:r>
            <w:rPr>
              <w:rStyle w:val="normaltextrun"/>
            </w:rPr>
            <w:t xml:space="preserve"> ao </w:t>
          </w:r>
          <w:r>
            <w:rPr>
              <w:rStyle w:val="normaltextrun"/>
              <w:rFonts w:eastAsia="Calibri"/>
            </w:rPr>
            <w:t xml:space="preserve">da garantia prestada, além da perda desta, responderá o </w:t>
          </w:r>
          <w:r>
            <w:rPr>
              <w:rStyle w:val="normaltextrun"/>
            </w:rPr>
            <w:t xml:space="preserve">contratado </w:t>
          </w:r>
          <w:r>
            <w:rPr>
              <w:rStyle w:val="normaltextrun"/>
              <w:rFonts w:eastAsia="Calibri"/>
            </w:rPr>
            <w:t xml:space="preserve">pela sua </w:t>
          </w:r>
          <w:r>
            <w:rPr>
              <w:rStyle w:val="normaltextrun"/>
            </w:rPr>
            <w:t>diferença</w:t>
          </w:r>
          <w:r>
            <w:rPr>
              <w:rStyle w:val="normaltextrun"/>
              <w:rFonts w:eastAsia="Calibri"/>
            </w:rPr>
            <w:t>, a qual</w:t>
          </w:r>
          <w:r>
            <w:rPr>
              <w:rStyle w:val="normaltextrun"/>
            </w:rPr>
            <w:t xml:space="preserve"> será descontada </w:t>
          </w:r>
          <w:r>
            <w:rPr>
              <w:rStyle w:val="normaltextrun"/>
              <w:rFonts w:eastAsia="Calibri"/>
            </w:rPr>
            <w:t>dos pagamentos eventualmente devidos pelo contratante.</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4.3</w:t>
          </w:r>
          <w:r>
            <w:rPr>
              <w:rStyle w:val="normaltextrun"/>
            </w:rPr>
            <w:t xml:space="preserve">. Se os valores da garantia </w:t>
          </w:r>
          <w:r>
            <w:rPr>
              <w:rStyle w:val="normaltextrun"/>
              <w:rFonts w:eastAsia="Calibri"/>
            </w:rPr>
            <w:t xml:space="preserve">e das faturas </w:t>
          </w:r>
          <w:r>
            <w:rPr>
              <w:rStyle w:val="normaltextrun"/>
            </w:rPr>
            <w:t xml:space="preserve">forem insuficientes, fica o contratado </w:t>
          </w:r>
          <w:r>
            <w:rPr>
              <w:rStyle w:val="normaltextrun"/>
              <w:rFonts w:eastAsia="Calibri"/>
            </w:rPr>
            <w:t>obrigado</w:t>
          </w:r>
          <w:r>
            <w:rPr>
              <w:rStyle w:val="normaltextrun"/>
            </w:rPr>
            <w:t xml:space="preserve"> a recolher a </w:t>
          </w:r>
          <w:r>
            <w:rPr>
              <w:rStyle w:val="normaltextrun"/>
              <w:rFonts w:eastAsia="Calibri"/>
            </w:rPr>
            <w:t>diferença</w:t>
          </w:r>
          <w:r>
            <w:rPr>
              <w:rStyle w:val="normaltextrun"/>
            </w:rPr>
            <w:t xml:space="preserve"> devida</w:t>
          </w:r>
          <w:r>
            <w:rPr>
              <w:rStyle w:val="normaltextrun"/>
              <w:rFonts w:eastAsia="Calibri"/>
            </w:rPr>
            <w:t>,</w:t>
          </w:r>
          <w:r>
            <w:rPr>
              <w:rStyle w:val="normaltextrun"/>
            </w:rPr>
            <w:t xml:space="preserve"> no prazo de 15 (quinze) dias, contados da comunicação oficial.</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4.4</w:t>
          </w:r>
          <w:r>
            <w:rPr>
              <w:rStyle w:val="normaltextrun"/>
            </w:rPr>
            <w:t>. Esgotados os meios administrativos para cobrança do valor devido pelo contratado ao contratante, o débito será encaminhado para inscrição em dívida ativa</w:t>
          </w:r>
          <w:r>
            <w:rPr>
              <w:rStyle w:val="normaltextrun"/>
              <w:rFonts w:eastAsia="Calibri"/>
            </w:rPr>
            <w:t xml:space="preserve"> não tributária.</w:t>
          </w:r>
          <w:r>
            <w:rPr>
              <w:rStyle w:val="eop"/>
              <w:rFonts w:eastAsia="Calibri"/>
            </w:rPr>
            <w:t> </w:t>
          </w:r>
        </w:p>
        <w:p>
          <w:pPr>
            <w:pStyle w:val="paragraph"/>
            <w:spacing w:beforeAutospacing="0" w:before="120" w:afterAutospacing="0" w:after="0"/>
            <w:jc w:val="both"/>
            <w:textAlignment w:val="baseline"/>
            <w:rPr/>
          </w:pPr>
          <w:r>
            <w:rPr>
              <w:rStyle w:val="normaltextrun"/>
            </w:rPr>
            <w:t>12.4.</w:t>
          </w:r>
          <w:r>
            <w:rPr>
              <w:rStyle w:val="normaltextrun"/>
              <w:rFonts w:eastAsia="Calibri"/>
            </w:rPr>
            <w:t>5.</w:t>
          </w:r>
          <w:r>
            <w:rPr>
              <w:rStyle w:val="normaltextrun"/>
            </w:rPr>
            <w:t xml:space="preserve"> Caso o valor da garantia seja utilizado</w:t>
          </w:r>
          <w:r>
            <w:rPr>
              <w:rStyle w:val="normaltextrun"/>
              <w:rFonts w:eastAsia="Calibri"/>
            </w:rPr>
            <w:t>,</w:t>
          </w:r>
          <w:r>
            <w:rPr>
              <w:rStyle w:val="normaltextrun"/>
            </w:rPr>
            <w:t xml:space="preserve"> no todo ou em parte</w:t>
          </w:r>
          <w:r>
            <w:rPr>
              <w:rStyle w:val="normaltextrun"/>
              <w:rFonts w:eastAsia="Calibri"/>
            </w:rPr>
            <w:t>,</w:t>
          </w:r>
          <w:r>
            <w:rPr>
              <w:rStyle w:val="normaltextrun"/>
            </w:rPr>
            <w:t xml:space="preserve"> para o pagamento da multa, essa deve ser complementada no prazo de até 10 (dez) dias, contado da solicitação do contratante.</w:t>
          </w:r>
          <w:r>
            <w:rPr>
              <w:rStyle w:val="eop"/>
              <w:rFonts w:eastAsia="Calibri"/>
            </w:rPr>
            <w:t> </w:t>
          </w:r>
        </w:p>
        <w:p>
          <w:pPr>
            <w:pStyle w:val="paragraph"/>
            <w:spacing w:beforeAutospacing="0" w:before="120" w:afterAutospacing="0" w:after="0"/>
            <w:jc w:val="both"/>
            <w:textAlignment w:val="baseline"/>
            <w:rPr>
              <w:rStyle w:val="eop"/>
              <w:rFonts w:eastAsia="Calibri"/>
              <w:b/>
              <w:bCs/>
            </w:rPr>
          </w:pPr>
          <w:r>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Pr>
              <w:rStyle w:val="eop"/>
              <w:rFonts w:eastAsia="Calibri"/>
            </w:rPr>
            <w:t> </w:t>
          </w:r>
          <w:r>
            <w:rPr>
              <w:rStyle w:val="eop"/>
              <w:rFonts w:eastAsia="Calibri"/>
              <w:b/>
              <w:bCs/>
            </w:rPr>
            <w:t> </w:t>
          </w:r>
        </w:p>
        <w:p>
          <w:pPr>
            <w:pStyle w:val="paragraph"/>
            <w:spacing w:beforeAutospacing="0" w:before="120" w:afterAutospacing="0" w:after="0"/>
            <w:jc w:val="both"/>
            <w:textAlignment w:val="baseline"/>
            <w:rPr/>
          </w:pPr>
          <w:r>
            <w:rPr/>
          </w:r>
        </w:p>
        <w:p>
          <w:pPr>
            <w:pStyle w:val="Heading5"/>
            <w:spacing w:lineRule="auto" w:line="240" w:before="120" w:after="0"/>
            <w:rPr>
              <w:color w:val="auto"/>
              <w:sz w:val="24"/>
              <w:szCs w:val="24"/>
            </w:rPr>
          </w:pPr>
          <w:r>
            <w:rPr>
              <w:color w:val="auto"/>
              <w:sz w:val="24"/>
              <w:szCs w:val="24"/>
            </w:rPr>
            <w:t xml:space="preserve">CLÁUSULA DÉCIMA TERCEIRA – DA </w:t>
          </w:r>
          <w:r>
            <w:rPr>
              <w:bCs/>
              <w:color w:val="auto"/>
              <w:sz w:val="24"/>
              <w:szCs w:val="24"/>
            </w:rPr>
            <w:t>EXTINÇÃO ANTECIPADA</w:t>
          </w:r>
        </w:p>
        <w:p>
          <w:pPr>
            <w:pStyle w:val="Normal"/>
            <w:spacing w:lineRule="auto" w:line="240" w:before="120" w:after="0"/>
            <w:rPr>
              <w:color w:val="auto"/>
              <w:sz w:val="24"/>
              <w:szCs w:val="24"/>
            </w:rPr>
          </w:pPr>
          <w:r>
            <w:rPr>
              <w:b/>
              <w:color w:val="auto"/>
              <w:sz w:val="24"/>
              <w:szCs w:val="24"/>
            </w:rPr>
            <w:t xml:space="preserve">13.1. </w:t>
          </w:r>
          <w:r>
            <w:rPr>
              <w:color w:val="auto"/>
              <w:sz w:val="24"/>
              <w:szCs w:val="24"/>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Normal"/>
            <w:spacing w:lineRule="auto" w:line="240" w:before="120" w:after="0"/>
            <w:rPr>
              <w:color w:val="auto"/>
              <w:sz w:val="24"/>
              <w:szCs w:val="24"/>
            </w:rPr>
          </w:pPr>
          <w:r>
            <w:rPr>
              <w:b/>
              <w:bCs/>
              <w:color w:val="auto"/>
              <w:sz w:val="24"/>
              <w:szCs w:val="24"/>
            </w:rPr>
            <w:t>13.2.</w:t>
          </w:r>
          <w:r>
            <w:rPr>
              <w:color w:val="auto"/>
              <w:sz w:val="24"/>
              <w:szCs w:val="24"/>
            </w:rPr>
            <w:t xml:space="preserve"> O presente Contrato poderá ser extinto antecipadamente por interesse do contratado nas hipóteses do art. 137, §2º, com as consequências previstas no art. 138, §2º, da Lei Federal nº 14.133/2021.</w:t>
          </w:r>
        </w:p>
        <w:p>
          <w:pPr>
            <w:pStyle w:val="Normal"/>
            <w:spacing w:lineRule="auto" w:line="240" w:before="120" w:after="0"/>
            <w:rPr>
              <w:color w:val="auto"/>
              <w:sz w:val="24"/>
              <w:szCs w:val="24"/>
            </w:rPr>
          </w:pPr>
          <w:r>
            <w:rPr>
              <w:b/>
              <w:bCs/>
              <w:color w:val="auto"/>
              <w:sz w:val="24"/>
              <w:szCs w:val="24"/>
            </w:rPr>
            <w:t>13.3.</w:t>
          </w:r>
          <w:r>
            <w:rPr>
              <w:color w:val="auto"/>
              <w:sz w:val="24"/>
              <w:szCs w:val="24"/>
            </w:rPr>
            <w:t xml:space="preserve"> A extinção antecipada do contrato deverá observar os seguintes requisitos: </w:t>
          </w:r>
        </w:p>
        <w:p>
          <w:pPr>
            <w:pStyle w:val="Normal"/>
            <w:spacing w:lineRule="auto" w:line="240" w:before="120" w:after="0"/>
            <w:rPr>
              <w:color w:val="auto"/>
              <w:sz w:val="24"/>
              <w:szCs w:val="24"/>
            </w:rPr>
          </w:pPr>
          <w:r>
            <w:rPr>
              <w:color w:val="auto"/>
              <w:sz w:val="24"/>
              <w:szCs w:val="24"/>
            </w:rPr>
            <w:t xml:space="preserve">13.3.1. levantamento dos eventos contratuais já cumpridos ou parcialmente cumpridos; </w:t>
          </w:r>
        </w:p>
        <w:p>
          <w:pPr>
            <w:pStyle w:val="Normal"/>
            <w:spacing w:lineRule="auto" w:line="240" w:before="120" w:after="0"/>
            <w:rPr>
              <w:color w:val="auto"/>
              <w:sz w:val="24"/>
              <w:szCs w:val="24"/>
            </w:rPr>
          </w:pPr>
          <w:r>
            <w:rPr>
              <w:color w:val="auto"/>
              <w:sz w:val="24"/>
              <w:szCs w:val="24"/>
            </w:rPr>
            <w:t xml:space="preserve">13.3.2. relação dos pagamentos já efetuados e ainda devidos; </w:t>
          </w:r>
        </w:p>
        <w:p>
          <w:pPr>
            <w:pStyle w:val="Normal"/>
            <w:spacing w:lineRule="auto" w:line="240" w:before="120" w:after="0"/>
            <w:rPr>
              <w:color w:val="auto"/>
              <w:sz w:val="24"/>
              <w:szCs w:val="24"/>
            </w:rPr>
          </w:pPr>
          <w:r>
            <w:rPr>
              <w:color w:val="auto"/>
              <w:sz w:val="24"/>
              <w:szCs w:val="24"/>
            </w:rPr>
            <w:t>13.3.3. apuração de indenizações e multas; e</w:t>
          </w:r>
        </w:p>
        <w:p>
          <w:pPr>
            <w:pStyle w:val="Normal"/>
            <w:spacing w:lineRule="auto" w:line="240" w:before="120" w:after="0"/>
            <w:rPr>
              <w:color w:val="auto"/>
              <w:sz w:val="24"/>
              <w:szCs w:val="24"/>
            </w:rPr>
          </w:pPr>
          <w:r>
            <w:rPr>
              <w:color w:val="auto"/>
              <w:sz w:val="24"/>
              <w:szCs w:val="24"/>
            </w:rPr>
            <w:t>13.3.4. notificação dos emitentes da garantia prevista na cláusula quinta deste contrato, quando cabível.</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QUARTA - DAS VEDAÇÕES</w:t>
          </w:r>
        </w:p>
        <w:p>
          <w:pPr>
            <w:pStyle w:val="Normal"/>
            <w:spacing w:lineRule="auto" w:line="240" w:before="120" w:after="0"/>
            <w:rPr>
              <w:color w:val="auto"/>
              <w:sz w:val="24"/>
              <w:szCs w:val="24"/>
            </w:rPr>
          </w:pPr>
          <w:r>
            <w:rPr>
              <w:b/>
              <w:color w:val="auto"/>
              <w:sz w:val="24"/>
              <w:szCs w:val="24"/>
            </w:rPr>
            <w:t xml:space="preserve">14.1. </w:t>
          </w:r>
          <w:r>
            <w:rPr>
              <w:color w:val="auto"/>
              <w:sz w:val="24"/>
              <w:szCs w:val="24"/>
            </w:rPr>
            <w:t>É vedado ao contratado:</w:t>
          </w:r>
        </w:p>
        <w:p>
          <w:pPr>
            <w:pStyle w:val="Normal"/>
            <w:spacing w:lineRule="auto" w:line="240" w:before="120" w:after="0"/>
            <w:rPr>
              <w:color w:val="auto"/>
              <w:sz w:val="24"/>
              <w:szCs w:val="24"/>
            </w:rPr>
          </w:pPr>
          <w:r>
            <w:rPr>
              <w:color w:val="auto"/>
              <w:sz w:val="24"/>
              <w:szCs w:val="24"/>
            </w:rPr>
            <w:t>14.1.1. caucionar ou utilizar este Contrato para qualquer operação financeira;</w:t>
          </w:r>
        </w:p>
        <w:p>
          <w:pPr>
            <w:pStyle w:val="Normal"/>
            <w:spacing w:lineRule="auto" w:line="240" w:before="120" w:after="0"/>
            <w:rPr>
              <w:color w:val="auto"/>
              <w:sz w:val="24"/>
              <w:szCs w:val="24"/>
            </w:rPr>
          </w:pPr>
          <w:r>
            <w:rPr>
              <w:color w:val="auto"/>
              <w:sz w:val="24"/>
              <w:szCs w:val="24"/>
            </w:rPr>
            <w:t>14.1.2. interromper a execução dos serviços, sob alegação de inadimplemento por parte do contratante, salvo nos casos previstos em lei.</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QUINTA – DAS ALTERAÇÕES</w:t>
          </w:r>
        </w:p>
        <w:p>
          <w:pPr>
            <w:pStyle w:val="Normal"/>
            <w:spacing w:lineRule="auto" w:line="240" w:before="120" w:after="0"/>
            <w:rPr>
              <w:strike/>
              <w:color w:val="auto"/>
              <w:sz w:val="24"/>
              <w:szCs w:val="24"/>
            </w:rPr>
          </w:pPr>
          <w:r>
            <w:rPr>
              <w:b/>
              <w:color w:val="auto"/>
              <w:sz w:val="24"/>
              <w:szCs w:val="24"/>
            </w:rPr>
            <w:t>15.1.</w:t>
          </w:r>
          <w:r>
            <w:rPr>
              <w:color w:val="auto"/>
              <w:sz w:val="24"/>
              <w:szCs w:val="24"/>
            </w:rPr>
            <w:t xml:space="preserve"> Eventuais alterações contratuais reger-se-ão pela disciplina dos arts. 124 a 136 da Lei Federal nº 14.133/2021. </w:t>
          </w:r>
        </w:p>
        <w:p>
          <w:pPr>
            <w:pStyle w:val="Normal"/>
            <w:spacing w:lineRule="auto" w:line="240" w:before="120" w:after="0"/>
            <w:rPr>
              <w:color w:val="auto"/>
              <w:sz w:val="24"/>
              <w:szCs w:val="24"/>
            </w:rPr>
          </w:pPr>
          <w:r>
            <w:rPr>
              <w:b/>
              <w:color w:val="auto"/>
              <w:sz w:val="24"/>
              <w:szCs w:val="24"/>
            </w:rPr>
            <w:t>15.2.</w:t>
          </w:r>
          <w:r>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pPr>
            <w:pStyle w:val="Normal"/>
            <w:spacing w:lineRule="auto" w:line="240" w:before="120" w:after="0"/>
            <w:rPr>
              <w:color w:val="auto"/>
              <w:sz w:val="24"/>
              <w:szCs w:val="24"/>
            </w:rPr>
          </w:pPr>
          <w:r>
            <w:rPr>
              <w:b/>
              <w:color w:val="auto"/>
              <w:sz w:val="24"/>
              <w:szCs w:val="24"/>
            </w:rPr>
            <w:t>15.3.</w:t>
          </w:r>
          <w:r>
            <w:rPr>
              <w:color w:val="auto"/>
              <w:sz w:val="24"/>
              <w:szCs w:val="24"/>
            </w:rPr>
            <w:t xml:space="preserve"> As supressões resultantes de acordo celebrado entre as partes contratantes poderão exceder o limite de 25% (vinte e cinco por cento) do valor inicial atualizado do contrato.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SEXTA – DOS CASOS OMISSOS</w:t>
          </w:r>
        </w:p>
        <w:p>
          <w:pPr>
            <w:pStyle w:val="Normal"/>
            <w:spacing w:lineRule="auto" w:line="240" w:before="120" w:after="0"/>
            <w:rPr>
              <w:color w:val="auto"/>
              <w:sz w:val="24"/>
              <w:szCs w:val="24"/>
            </w:rPr>
          </w:pPr>
          <w:r>
            <w:rPr>
              <w:b/>
              <w:color w:val="auto"/>
              <w:sz w:val="24"/>
              <w:szCs w:val="24"/>
            </w:rPr>
            <w:t>16.1.</w:t>
          </w:r>
          <w:r>
            <w:rPr>
              <w:color w:val="auto"/>
              <w:sz w:val="24"/>
              <w:szCs w:val="24"/>
            </w:rPr>
            <w:t xml:space="preserve"> Os casos omissos serão decididos pelo contratante, segundo as disposições contidas na Lei Federal nº 14.133/2021 e demais normas aplicáveis.</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SÉTIMA – DAS DISPOSIÇÕES ESPECIAIS </w:t>
          </w:r>
        </w:p>
        <w:p>
          <w:pPr>
            <w:pStyle w:val="Normal"/>
            <w:spacing w:lineRule="auto" w:line="240" w:before="120" w:after="0"/>
            <w:rPr>
              <w:color w:val="auto"/>
              <w:sz w:val="24"/>
              <w:szCs w:val="24"/>
            </w:rPr>
          </w:pPr>
          <w:r>
            <w:rPr>
              <w:b/>
              <w:color w:val="auto"/>
              <w:sz w:val="24"/>
              <w:szCs w:val="24"/>
            </w:rPr>
            <w:t xml:space="preserve">17.1. </w:t>
          </w:r>
          <w:r>
            <w:rPr>
              <w:color w:val="auto"/>
              <w:sz w:val="24"/>
              <w:szCs w:val="24"/>
            </w:rPr>
            <w:t>Se qualquer das partes relevar eventual falta relacionada com a execução deste contrato, tal fato não significa liberação ou desoneração a qualquer delas.</w:t>
          </w:r>
        </w:p>
        <w:p>
          <w:pPr>
            <w:pStyle w:val="Normal"/>
            <w:spacing w:lineRule="auto" w:line="240" w:before="120" w:after="0"/>
            <w:rPr>
              <w:b/>
              <w:color w:val="auto"/>
              <w:sz w:val="24"/>
              <w:szCs w:val="24"/>
            </w:rPr>
          </w:pPr>
          <w:r>
            <w:rPr>
              <w:b/>
              <w:color w:val="auto"/>
              <w:sz w:val="24"/>
              <w:szCs w:val="24"/>
            </w:rPr>
            <w:t>17.2.</w:t>
          </w:r>
          <w:r>
            <w:rPr>
              <w:color w:val="auto"/>
              <w:sz w:val="24"/>
              <w:szCs w:val="24"/>
            </w:rPr>
            <w:t xml:space="preserve"> No caso de ocorrer greve de caráter reivindicatório entre os empregados do contratado ou de seus subcontratados, cabe a ele resolver imediatamente a pendência.</w:t>
          </w:r>
        </w:p>
        <w:p>
          <w:pPr>
            <w:pStyle w:val="Normal"/>
            <w:spacing w:lineRule="auto" w:line="240" w:before="120" w:after="0"/>
            <w:rPr>
              <w:color w:val="auto"/>
              <w:sz w:val="24"/>
              <w:szCs w:val="24"/>
            </w:rPr>
          </w:pPr>
          <w:r>
            <w:rPr>
              <w:b/>
              <w:color w:val="auto"/>
              <w:sz w:val="24"/>
              <w:szCs w:val="24"/>
            </w:rPr>
            <w:t>17.3.</w:t>
          </w:r>
          <w:r>
            <w:rPr>
              <w:color w:val="auto"/>
              <w:sz w:val="24"/>
              <w:szCs w:val="24"/>
            </w:rPr>
            <w:t xml:space="preserve"> As partes considerarão cumprido o contrato no momento em que todas as obrigações aqui estipuladas estiverem efetivamente satisfeitas, nos termos de direito e aceitas pelo contratante.</w:t>
          </w:r>
        </w:p>
        <w:p>
          <w:pPr>
            <w:pStyle w:val="Normal"/>
            <w:spacing w:lineRule="auto" w:line="240" w:before="120" w:after="0"/>
            <w:rPr>
              <w:color w:val="auto"/>
              <w:sz w:val="24"/>
              <w:szCs w:val="24"/>
            </w:rPr>
          </w:pPr>
          <w:r>
            <w:rPr>
              <w:b/>
              <w:color w:val="auto"/>
              <w:sz w:val="24"/>
              <w:szCs w:val="24"/>
            </w:rPr>
            <w:t>17.4.</w:t>
          </w:r>
          <w:r>
            <w:rPr>
              <w:color w:val="auto"/>
              <w:sz w:val="24"/>
              <w:szCs w:val="24"/>
            </w:rPr>
            <w:t xml:space="preserve"> Haverá consulta prévia ao CADIN/RS, pelo órgão ou entidade competente, nos termos da Lei nº 10.697/1996, regulamentada pelo Decreto nº 36.888/1996.</w:t>
          </w:r>
        </w:p>
        <w:p>
          <w:pPr>
            <w:pStyle w:val="Normal"/>
            <w:spacing w:lineRule="auto" w:line="240" w:before="120" w:after="0"/>
            <w:rPr>
              <w:color w:val="auto"/>
              <w:sz w:val="24"/>
              <w:szCs w:val="24"/>
            </w:rPr>
          </w:pPr>
          <w:r>
            <w:rPr>
              <w:b/>
              <w:color w:val="auto"/>
              <w:sz w:val="24"/>
              <w:szCs w:val="24"/>
            </w:rPr>
            <w:t>17.5.</w:t>
          </w:r>
          <w:r>
            <w:rPr>
              <w:color w:val="auto"/>
              <w:sz w:val="24"/>
              <w:szCs w:val="24"/>
            </w:rPr>
            <w:t xml:space="preserve"> O presente contrato somente terá eficácia após a assinatura das partes e divulgação no Portal Nacional de Contratações Públicas.</w:t>
          </w:r>
        </w:p>
        <w:p>
          <w:pPr>
            <w:pStyle w:val="Normal"/>
            <w:spacing w:lineRule="auto" w:line="240" w:before="120" w:after="0"/>
            <w:rPr>
              <w:color w:val="auto"/>
              <w:sz w:val="24"/>
              <w:szCs w:val="24"/>
            </w:rPr>
          </w:pPr>
          <w:r>
            <w:rPr>
              <w:b/>
              <w:bCs/>
              <w:color w:val="auto"/>
              <w:sz w:val="24"/>
              <w:szCs w:val="24"/>
            </w:rPr>
            <w:t xml:space="preserve">17.5.1. </w:t>
          </w:r>
          <w:r>
            <w:rPr>
              <w:color w:val="auto"/>
              <w:sz w:val="24"/>
              <w:szCs w:val="24"/>
            </w:rPr>
            <w:t>Nos casos de urgência, a eficácia se dará a partir da assinatura das partes, permanecendo a exigência da divulgação no PNCP no prazo de 10 dias úteis.</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OITAVA - DAS DISPOSIÇÕES </w:t>
          </w:r>
          <w:r>
            <w:rPr>
              <w:bCs/>
              <w:color w:val="auto"/>
              <w:sz w:val="24"/>
              <w:szCs w:val="24"/>
            </w:rPr>
            <w:t>FINAIS</w:t>
          </w:r>
        </w:p>
        <w:p>
          <w:pPr>
            <w:pStyle w:val="Normal"/>
            <w:spacing w:lineRule="auto" w:line="240" w:before="120" w:after="0"/>
            <w:rPr>
              <w:color w:val="auto"/>
              <w:sz w:val="24"/>
              <w:szCs w:val="24"/>
            </w:rPr>
          </w:pPr>
          <w:r>
            <w:rPr>
              <w:b/>
              <w:color w:val="auto"/>
              <w:sz w:val="24"/>
              <w:szCs w:val="24"/>
            </w:rPr>
            <w:t xml:space="preserve">18.1. </w:t>
          </w:r>
          <w:r>
            <w:rPr>
              <w:color w:val="auto"/>
              <w:sz w:val="24"/>
              <w:szCs w:val="24"/>
            </w:rPr>
            <w:t xml:space="preserve">Fica eleito o Foro de Porto Alegre, como o competente para dirimir quaisquer questões advindas deste contrato, com renúncia expressa a qualquer outro.  </w:t>
          </w:r>
        </w:p>
        <w:p>
          <w:pPr>
            <w:pStyle w:val="Normal"/>
            <w:spacing w:lineRule="auto" w:line="240" w:before="120" w:after="0"/>
            <w:rPr>
              <w:color w:val="auto"/>
              <w:sz w:val="24"/>
              <w:szCs w:val="24"/>
            </w:rPr>
          </w:pPr>
          <w:r>
            <w:rPr>
              <w:b/>
              <w:color w:val="auto"/>
              <w:sz w:val="24"/>
              <w:szCs w:val="24"/>
            </w:rPr>
            <w:t xml:space="preserve">18.2. </w:t>
          </w:r>
          <w:r>
            <w:rPr>
              <w:color w:val="auto"/>
              <w:sz w:val="24"/>
              <w:szCs w:val="24"/>
            </w:rPr>
            <w:t>E, assim, por estarem as partes ajustadas e acordadas, lavram e assinam este contrato, na presença de 02 (duas) testemunhas, para que produza seus jurídicos efeitos.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b/>
              <w:color w:val="auto"/>
              <w:sz w:val="24"/>
              <w:szCs w:val="24"/>
            </w:rPr>
          </w:pPr>
          <w:r>
            <w:rPr>
              <w:color w:val="auto"/>
              <w:sz w:val="24"/>
              <w:szCs w:val="24"/>
            </w:rPr>
            <w:t>_____________________, ____ de _____________ de ____.</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
              <w:color w:val="auto"/>
              <w:sz w:val="24"/>
              <w:szCs w:val="24"/>
            </w:rPr>
          </w:pPr>
          <w:r>
            <w:rPr>
              <w:color w:val="auto"/>
              <w:sz w:val="24"/>
              <w:szCs w:val="24"/>
            </w:rPr>
            <w:t xml:space="preserve">                  </w:t>
          </w:r>
          <w:r>
            <w:rPr>
              <w:color w:val="auto"/>
              <w:sz w:val="24"/>
              <w:szCs w:val="24"/>
            </w:rPr>
            <w:t xml:space="preserve">CONTRATANTE </w:t>
            <w:tab/>
            <w:tab/>
            <w:tab/>
            <w:tab/>
            <w:t xml:space="preserve">     CONTRATADO</w:t>
          </w:r>
        </w:p>
        <w:p>
          <w:pPr>
            <w:pStyle w:val="Normal"/>
            <w:spacing w:lineRule="auto" w:line="240" w:before="120" w:after="0"/>
            <w:rPr>
              <w:b/>
              <w:color w:val="auto"/>
              <w:sz w:val="24"/>
              <w:szCs w:val="24"/>
            </w:rPr>
          </w:pPr>
          <w:r>
            <w:rPr>
              <w:color w:val="auto"/>
              <w:sz w:val="24"/>
              <w:szCs w:val="24"/>
            </w:rPr>
            <w:t xml:space="preserve">        </w:t>
          </w:r>
          <w:r>
            <w:rPr>
              <w:color w:val="auto"/>
              <w:sz w:val="24"/>
              <w:szCs w:val="24"/>
            </w:rPr>
            <w:t>[Nome da autoridade competente]                                 [Representante]</w:t>
          </w:r>
        </w:p>
        <w:p>
          <w:pPr>
            <w:pStyle w:val="Normal"/>
            <w:spacing w:lineRule="auto" w:line="240" w:before="120" w:after="0"/>
            <w:rPr>
              <w:color w:val="auto"/>
              <w:sz w:val="24"/>
              <w:szCs w:val="24"/>
            </w:rPr>
          </w:pPr>
          <w:r>
            <w:rPr>
              <w:color w:val="auto"/>
              <w:sz w:val="24"/>
              <w:szCs w:val="24"/>
            </w:rPr>
            <w:t xml:space="preserve">                   </w:t>
          </w:r>
          <w:r>
            <w:rPr>
              <w:color w:val="auto"/>
              <w:sz w:val="24"/>
              <w:szCs w:val="24"/>
            </w:rPr>
            <w:t>[Nome do cargo]                                               [Procurador/cargo]</w:t>
          </w:r>
        </w:p>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II – PLANILHA DE CUSTOS E FORMAÇÃO DE PREÇOS</w:t>
          </w:r>
        </w:p>
        <w:p>
          <w:pPr>
            <w:pStyle w:val="Normal"/>
            <w:spacing w:lineRule="auto" w:line="240" w:before="120" w:after="0"/>
            <w:jc w:val="center"/>
            <w:rPr>
              <w:b/>
              <w:color w:val="auto"/>
              <w:sz w:val="24"/>
              <w:szCs w:val="24"/>
            </w:rPr>
          </w:pPr>
          <w:r>
            <w:rPr>
              <w:b/>
              <w:color w:val="auto"/>
              <w:sz w:val="24"/>
              <w:szCs w:val="24"/>
            </w:rPr>
          </w:r>
        </w:p>
        <w:p>
          <w:pPr>
            <w:pStyle w:val="Normal"/>
            <w:spacing w:lineRule="auto" w:line="240" w:before="120" w:after="0"/>
            <w:rPr>
              <w:i/>
              <w:i/>
              <w:color w:val="auto"/>
              <w:sz w:val="24"/>
              <w:szCs w:val="24"/>
            </w:rPr>
          </w:pPr>
          <w:r>
            <w:rPr>
              <w:i/>
              <w:color w:val="auto"/>
              <w:sz w:val="24"/>
              <w:szCs w:val="24"/>
            </w:rPr>
            <w:t>Nota (1): Esta planilha poderá ser adaptada às características do serviço contratado, a serem estabelecidas no Termo de Referência.</w:t>
          </w:r>
        </w:p>
        <w:p>
          <w:pPr>
            <w:pStyle w:val="Normal"/>
            <w:spacing w:lineRule="auto" w:line="240" w:before="120" w:after="0"/>
            <w:rPr>
              <w:i/>
              <w:i/>
              <w:color w:val="auto"/>
              <w:sz w:val="24"/>
              <w:szCs w:val="24"/>
            </w:rPr>
          </w:pPr>
          <w:r>
            <w:rPr>
              <w:i/>
              <w:color w:val="auto"/>
              <w:sz w:val="24"/>
              <w:szCs w:val="24"/>
            </w:rPr>
            <w:t>Nota (2): Deverá acompanhar esta planilha a relação dos materiais e equipamentos que serão utilizados na execução dos serviços indicando quantitativo e sua especificação.</w:t>
          </w:r>
        </w:p>
        <w:p>
          <w:pPr>
            <w:pStyle w:val="Normal"/>
            <w:spacing w:lineRule="auto" w:line="240" w:before="120" w:after="0"/>
            <w:rPr>
              <w:i/>
              <w:i/>
              <w:color w:val="auto"/>
              <w:sz w:val="24"/>
              <w:szCs w:val="24"/>
            </w:rPr>
          </w:pPr>
          <w:r>
            <w:rPr>
              <w:i/>
              <w:color w:val="auto"/>
              <w:sz w:val="24"/>
              <w:szCs w:val="24"/>
            </w:rPr>
            <w:t>Nota (3): Quando o contrato não abranger o pagamento mensal, mas for vinculado a etapas, ou realização integral do objeto, esta planilha deverá ser adaptada a essa realidade.</w:t>
          </w:r>
        </w:p>
      </w:sdtContent>
    </w:sdt>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6"/>
        <w:gridCol w:w="5047"/>
        <w:gridCol w:w="3842"/>
      </w:tblGrid>
      <w:tr>
        <w:trPr/>
        <w:tc>
          <w:tcPr>
            <w:tcW w:w="48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504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w:t>
            </w:r>
            <w:r>
              <w:rPr>
                <w:strike/>
                <w:color w:val="auto"/>
                <w:sz w:val="24"/>
                <w:szCs w:val="24"/>
              </w:rPr>
              <w:t>º</w:t>
            </w:r>
            <w:r>
              <w:rPr>
                <w:color w:val="auto"/>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504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Dispensa de Licitação N</w:t>
            </w:r>
            <w:r>
              <w:rPr>
                <w:strike/>
                <w:color w:val="auto"/>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rPr>
          <w:color w:val="auto"/>
          <w:sz w:val="24"/>
          <w:szCs w:val="24"/>
        </w:rPr>
      </w:pPr>
      <w:r>
        <w:rPr>
          <w:color w:val="auto"/>
          <w:sz w:val="24"/>
          <w:szCs w:val="24"/>
        </w:rPr>
        <w:t>Dia ___/___/_____ às ___:___ horas</w:t>
      </w:r>
    </w:p>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color w:val="auto"/>
          <w:sz w:val="24"/>
          <w:szCs w:val="24"/>
        </w:rPr>
      </w:pPr>
      <w:r>
        <w:rPr>
          <w:b/>
          <w:color w:val="auto"/>
          <w:sz w:val="24"/>
          <w:szCs w:val="24"/>
        </w:rPr>
        <w:t>Discriminação dos Serviços (dados referentes à contratação)</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8"/>
        <w:gridCol w:w="6535"/>
        <w:gridCol w:w="2352"/>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de apresentação da proposta (dia/mês/ano)</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Município (s)</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Serviço</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D</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Unidade de medida</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E</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 xml:space="preserve">Quantidade </w:t>
            </w:r>
            <w:r>
              <w:rPr>
                <w:color w:val="auto"/>
                <w:sz w:val="24"/>
                <w:szCs w:val="24"/>
                <w:u w:val="single"/>
              </w:rPr>
              <w:t>(total)</w:t>
            </w:r>
            <w:r>
              <w:rPr>
                <w:color w:val="auto"/>
                <w:sz w:val="24"/>
                <w:szCs w:val="24"/>
              </w:rPr>
              <w:t xml:space="preserve"> a contratar (em função da unidade de medida)</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F</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w:t>
            </w:r>
            <w:r>
              <w:rPr>
                <w:strike/>
                <w:color w:val="auto"/>
                <w:sz w:val="24"/>
                <w:szCs w:val="24"/>
              </w:rPr>
              <w:t>º</w:t>
            </w:r>
            <w:r>
              <w:rPr>
                <w:color w:val="auto"/>
                <w:sz w:val="24"/>
                <w:szCs w:val="24"/>
              </w:rPr>
              <w:t xml:space="preserve"> de meses de execução contratual</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color w:val="auto"/>
          <w:sz w:val="24"/>
          <w:szCs w:val="24"/>
        </w:rPr>
      </w:pPr>
      <w:r>
        <w:rPr>
          <w:b/>
          <w:color w:val="auto"/>
          <w:sz w:val="24"/>
          <w:szCs w:val="24"/>
        </w:rPr>
        <w:t>Custo por Unidade de medida – tipos e quantidades</w:t>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8"/>
        <w:gridCol w:w="3613"/>
        <w:gridCol w:w="2978"/>
        <w:gridCol w:w="2400"/>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1</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b/>
                <w:color w:val="auto"/>
                <w:sz w:val="24"/>
                <w:szCs w:val="24"/>
              </w:rPr>
              <w:t>Tipo de serviço (mesmo serviço com características distintas)</w:t>
            </w:r>
            <w:r>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R$</w:t>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rPr>
          <w:i/>
          <w:i/>
          <w:color w:val="auto"/>
          <w:sz w:val="24"/>
          <w:szCs w:val="24"/>
        </w:rPr>
      </w:pPr>
      <w:r>
        <w:rPr>
          <w:i/>
          <w:color w:val="auto"/>
          <w:sz w:val="24"/>
          <w:szCs w:val="24"/>
        </w:rPr>
        <w:t>Nota (4) A unidade de medida deverá corresponder ao valor básico para a composição dos preços do serviço prestado (mensal/hora trabalhada/ponto de função/emissão de bilhete/desconto concedido/etc.)</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9"/>
        <w:gridCol w:w="3723"/>
        <w:gridCol w:w="1272"/>
        <w:gridCol w:w="3640"/>
      </w:tblGrid>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I</w:t>
            </w:r>
          </w:p>
        </w:tc>
        <w:tc>
          <w:tcPr>
            <w:tcW w:w="372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Mobilização</w:t>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w:t>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Valor (R$)</w:t>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color w:val="auto"/>
                <w:sz w:val="24"/>
                <w:szCs w:val="24"/>
              </w:rPr>
            </w:pPr>
            <w:r>
              <w:rPr>
                <w:color w:val="auto"/>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color w:val="auto"/>
                <w:sz w:val="24"/>
                <w:szCs w:val="24"/>
              </w:rPr>
            </w:pPr>
            <w:r>
              <w:rPr>
                <w:color w:val="auto"/>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bl>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5"/>
        <w:gridCol w:w="4015"/>
        <w:gridCol w:w="1225"/>
        <w:gridCol w:w="3649"/>
      </w:tblGrid>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Tributos (especificar)</w:t>
            </w:r>
          </w:p>
        </w:tc>
        <w:tc>
          <w:tcPr>
            <w:tcW w:w="122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w:t>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Valor Mensal</w:t>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widowControl w:val="false"/>
        <w:spacing w:lineRule="auto" w:line="240" w:before="120" w:after="0"/>
        <w:jc w:val="left"/>
        <w:rPr>
          <w:color w:val="auto"/>
          <w:sz w:val="24"/>
          <w:szCs w:val="24"/>
        </w:rPr>
      </w:pPr>
      <w:r>
        <w:rPr>
          <w:color w:val="auto"/>
          <w:sz w:val="24"/>
          <w:szCs w:val="24"/>
        </w:rPr>
      </w:r>
    </w:p>
    <w:p>
      <w:pPr>
        <w:pStyle w:val="Normal"/>
        <w:widowControl w:val="false"/>
        <w:spacing w:lineRule="auto" w:line="240" w:before="120" w:after="0"/>
        <w:jc w:val="left"/>
        <w:rPr>
          <w:color w:val="auto"/>
          <w:sz w:val="24"/>
          <w:szCs w:val="24"/>
        </w:rPr>
      </w:pPr>
      <w:r>
        <w:rPr>
          <w:color w:val="auto"/>
          <w:sz w:val="24"/>
          <w:szCs w:val="24"/>
        </w:rPr>
      </w:r>
    </w:p>
    <w:tbl>
      <w:tblPr>
        <w:tblW w:w="934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2260"/>
        <w:gridCol w:w="2268"/>
        <w:gridCol w:w="2126"/>
        <w:gridCol w:w="2693"/>
      </w:tblGrid>
      <w:tr>
        <w:trPr/>
        <w:tc>
          <w:tcPr>
            <w:tcW w:w="9347" w:type="dxa"/>
            <w:gridSpan w:val="4"/>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QUADRO RESUMO DO CONTRATO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por Unidade de Serviço</w:t>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do serviço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6654" w:type="dxa"/>
            <w:gridSpan w:val="3"/>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bl>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left="0" w:right="-1"/>
        <w:rPr>
          <w:sz w:val="24"/>
          <w:szCs w:val="24"/>
        </w:rPr>
      </w:pPr>
      <w:r>
        <w:rPr>
          <w:sz w:val="24"/>
          <w:szCs w:val="24"/>
        </w:rPr>
        <w:t>ANEXO iII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Pr>
          <w:color w:val="auto"/>
          <w:sz w:val="24"/>
          <w:szCs w:val="24"/>
        </w:rPr>
        <w:t>da dispensa de licitação – ex.: PE nº xx/ano], firmado entre a afiançada e o(a)[órgão/entidade]para [objeto da licitação</w:t>
      </w:r>
      <w:r>
        <w:rPr>
          <w:sz w:val="24"/>
          <w:szCs w:val="24"/>
        </w:rPr>
        <w:t xml:space="preserve">]. </w:t>
      </w:r>
    </w:p>
    <w:p>
      <w:pPr>
        <w:pStyle w:val="Normal"/>
        <w:spacing w:lineRule="auto" w:line="240" w:before="120" w:after="0"/>
        <w:rPr>
          <w:sz w:val="24"/>
          <w:szCs w:val="24"/>
        </w:rPr>
      </w:pPr>
      <w:r>
        <w:rPr>
          <w:sz w:val="24"/>
          <w:szCs w:val="24"/>
        </w:rPr>
      </w:r>
    </w:p>
    <w:p>
      <w:pPr>
        <w:pStyle w:val="paragraph"/>
        <w:spacing w:beforeAutospacing="0" w:before="120" w:afterAutospacing="0" w:after="0"/>
        <w:textAlignment w:val="baseline"/>
        <w:rPr>
          <w:rFonts w:eastAsia="Calibri"/>
          <w:color w:val="000000"/>
        </w:rPr>
      </w:pPr>
      <w:r>
        <w:rPr/>
        <w:t>2</w:t>
      </w:r>
      <w:r>
        <w:rPr>
          <w:rFonts w:eastAsia="Calibri"/>
          <w:color w:themeColor="text1"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textAlignment w:val="baseline"/>
        <w:rPr>
          <w:rFonts w:eastAsia="Calibri"/>
          <w:color w:val="000000"/>
        </w:rPr>
      </w:pPr>
      <w:r>
        <w:rPr>
          <w:rFonts w:eastAsia="Calibri"/>
          <w:color w:themeColor="text1" w:val="000000"/>
        </w:rPr>
        <w:t>a) prejuízos advindos do não cumprimento do contrato; </w:t>
      </w:r>
    </w:p>
    <w:p>
      <w:pPr>
        <w:pStyle w:val="paragraph"/>
        <w:spacing w:beforeAutospacing="0" w:before="120" w:afterAutospacing="0" w:after="0"/>
        <w:textAlignment w:val="baseline"/>
        <w:rPr>
          <w:rFonts w:eastAsia="Calibri"/>
          <w:color w:val="000000"/>
        </w:rPr>
      </w:pPr>
      <w:r>
        <w:rPr>
          <w:rFonts w:eastAsia="Calibri"/>
          <w:color w:themeColor="text1" w:val="000000"/>
        </w:rPr>
        <w:t>b) multas moratórias e punitivas aplicadas pela Administração ao contratado;  </w:t>
      </w:r>
    </w:p>
    <w:p>
      <w:pPr>
        <w:pStyle w:val="paragraph"/>
        <w:spacing w:beforeAutospacing="0" w:before="120" w:afterAutospacing="0" w:after="0"/>
        <w:textAlignment w:val="baseline"/>
        <w:rPr>
          <w:rFonts w:eastAsia="Calibri"/>
          <w:color w:val="000000"/>
        </w:rPr>
      </w:pPr>
      <w:r>
        <w:rPr>
          <w:rFonts w:eastAsia="Calibri"/>
          <w:color w:themeColor="text1" w:val="000000"/>
        </w:rPr>
        <w:t>c) prejuízos causados ao contratante ou a terceiro decorrentes de culpa ou dolo durante a execução do contrato; e </w:t>
      </w:r>
    </w:p>
    <w:p>
      <w:pPr>
        <w:pStyle w:val="paragraph"/>
        <w:spacing w:beforeAutospacing="0" w:before="120" w:afterAutospacing="0" w:after="0"/>
        <w:textAlignment w:val="baseline"/>
        <w:rPr>
          <w:rFonts w:eastAsia="Calibri"/>
          <w:color w:val="000000"/>
        </w:rPr>
      </w:pPr>
      <w:r>
        <w:rPr>
          <w:rFonts w:eastAsia="Calibri"/>
          <w:color w:themeColor="text1"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IV - FOLHA DE DADOS</w:t>
      </w:r>
    </w:p>
    <w:p>
      <w:pPr>
        <w:pStyle w:val="Normal"/>
        <w:spacing w:lineRule="auto" w:line="240" w:before="120" w:after="0"/>
        <w:jc w:val="center"/>
        <w:rPr>
          <w:b/>
          <w:bCs/>
          <w:color w:val="auto"/>
          <w:sz w:val="24"/>
          <w:szCs w:val="24"/>
        </w:rPr>
      </w:pPr>
      <w:r>
        <w:rPr>
          <w:b/>
          <w:bCs/>
          <w:color w:val="auto"/>
          <w:sz w:val="24"/>
          <w:szCs w:val="24"/>
        </w:rPr>
        <w:t>CGDL - Condições Gerais de Dispensa de Licitação</w:t>
      </w:r>
    </w:p>
    <w:p>
      <w:pPr>
        <w:pStyle w:val="Normal"/>
        <w:spacing w:lineRule="auto" w:line="240" w:before="120" w:after="0"/>
        <w:rPr>
          <w:b/>
          <w:color w:val="auto"/>
          <w:sz w:val="24"/>
          <w:szCs w:val="24"/>
        </w:rPr>
      </w:pPr>
      <w:r>
        <w:rPr>
          <w:b/>
          <w:color w:val="auto"/>
          <w:sz w:val="24"/>
          <w:szCs w:val="24"/>
        </w:rPr>
      </w:r>
    </w:p>
    <w:tbl>
      <w:tblPr>
        <w:tblW w:w="9781" w:type="dxa"/>
        <w:jc w:val="left"/>
        <w:tblInd w:w="-8" w:type="dxa"/>
        <w:tblLayout w:type="fixed"/>
        <w:tblCellMar>
          <w:top w:w="0" w:type="dxa"/>
          <w:left w:w="115" w:type="dxa"/>
          <w:bottom w:w="0" w:type="dxa"/>
          <w:right w:w="115" w:type="dxa"/>
        </w:tblCellMar>
        <w:tblLook w:firstRow="0" w:noVBand="0" w:lastRow="0" w:firstColumn="0" w:lastColumn="0" w:noHBand="0" w:val="0000"/>
      </w:tblPr>
      <w:tblGrid>
        <w:gridCol w:w="1560"/>
        <w:gridCol w:w="8220"/>
      </w:tblGrid>
      <w:tr>
        <w:trPr>
          <w:trHeight w:val="415" w:hRule="atLeast"/>
          <w:cantSplit w:val="true"/>
        </w:trPr>
        <w:tc>
          <w:tcPr>
            <w:tcW w:w="9780" w:type="dxa"/>
            <w:gridSpan w:val="2"/>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Complemento ou Modificação</w:t>
            </w:r>
          </w:p>
        </w:tc>
      </w:tr>
      <w:tr>
        <w:trPr>
          <w:trHeight w:val="28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highlight w:val="yellow"/>
              </w:rPr>
            </w:pPr>
            <w:r>
              <w:rPr>
                <w:color w:val="auto"/>
                <w:sz w:val="24"/>
                <w:szCs w:val="24"/>
              </w:rPr>
              <w:t>Preâmbulo</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Estado do Rio Grande do Sul, por intermédio da Secretaria Estadual da Agricultura, Pecuária, Produção Sustentável e Irrigação.</w:t>
            </w:r>
          </w:p>
        </w:tc>
      </w:tr>
      <w:tr>
        <w:trPr>
          <w:trHeight w:val="308"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Contratação de serviço reforma e reparo do prédio onde estava lotado o Escritório de Defesa Animal (EDA) de Butiá, com mão de obra e materiais necessários inclusos.</w:t>
            </w:r>
          </w:p>
        </w:tc>
      </w:tr>
      <w:tr>
        <w:trPr>
          <w:trHeight w:val="57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Site: www.compras.rs.gov.br e www.gov.br/pncp/pt-br</w:t>
            </w:r>
          </w:p>
        </w:tc>
      </w:tr>
      <w:tr>
        <w:trPr>
          <w:trHeight w:val="22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Endereço eletrônico do ambiente de disputa: www.compras.rs.gov.br</w:t>
            </w:r>
          </w:p>
        </w:tc>
      </w:tr>
      <w:tr>
        <w:trPr>
          <w:trHeight w:val="48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3.1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 xml:space="preserve">Data: 10/02/2025 </w:t>
            </w:r>
          </w:p>
          <w:p>
            <w:pPr>
              <w:pStyle w:val="Normal"/>
              <w:spacing w:lineRule="auto" w:line="240" w:before="120" w:after="0"/>
              <w:rPr>
                <w:color w:val="auto"/>
                <w:sz w:val="24"/>
                <w:szCs w:val="24"/>
                <w:highlight w:val="yellow"/>
              </w:rPr>
            </w:pPr>
            <w:r>
              <w:rPr>
                <w:color w:val="auto"/>
                <w:sz w:val="24"/>
                <w:szCs w:val="24"/>
              </w:rPr>
              <w:t xml:space="preserve">Horário: </w:t>
            </w:r>
            <w:r>
              <w:rPr>
                <w:color w:val="000000"/>
                <w:sz w:val="24"/>
                <w:szCs w:val="24"/>
                <w:shd w:fill="auto" w:val="clear"/>
              </w:rPr>
              <w:t>09:10</w:t>
            </w:r>
          </w:p>
        </w:tc>
      </w:tr>
      <w:tr>
        <w:trPr>
          <w:trHeight w:val="48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4.1.1</w:t>
            </w:r>
          </w:p>
        </w:tc>
        <w:tc>
          <w:tcPr>
            <w:tcW w:w="8220" w:type="dxa"/>
            <w:tcBorders>
              <w:top w:val="single" w:sz="6" w:space="0" w:color="000000"/>
              <w:left w:val="single" w:sz="6" w:space="0" w:color="000000"/>
              <w:bottom w:val="single" w:sz="6" w:space="0" w:color="000000"/>
              <w:right w:val="single" w:sz="6" w:space="0" w:color="000000"/>
            </w:tcBorders>
          </w:tcPr>
          <w:p>
            <w:pPr>
              <w:pStyle w:val="paragraph"/>
              <w:spacing w:beforeAutospacing="0" w:before="120" w:afterAutospacing="0" w:after="0"/>
              <w:jc w:val="both"/>
              <w:textAlignment w:val="baseline"/>
              <w:rPr>
                <w:rStyle w:val="eop"/>
                <w:rFonts w:eastAsia="Calibri"/>
              </w:rPr>
            </w:pPr>
            <w:r>
              <w:rPr>
                <w:rStyle w:val="normaltextrun"/>
                <w:rFonts w:eastAsia="Calibri"/>
              </w:rPr>
              <w:t>[Caso necessário, informar em cada uma das alternativas o lote a que se aplica]</w:t>
            </w:r>
          </w:p>
          <w:p>
            <w:pPr>
              <w:pStyle w:val="paragraph"/>
              <w:spacing w:beforeAutospacing="0" w:before="120" w:afterAutospacing="0" w:after="0"/>
              <w:jc w:val="both"/>
              <w:textAlignment w:val="baseline"/>
              <w:rPr/>
            </w:pPr>
            <w:r>
              <w:rPr/>
            </w:r>
          </w:p>
          <w:p>
            <w:pPr>
              <w:pStyle w:val="paragraph"/>
              <w:spacing w:beforeAutospacing="0" w:before="120" w:afterAutospacing="0" w:after="0"/>
              <w:jc w:val="both"/>
              <w:textAlignment w:val="baseline"/>
              <w:rPr/>
            </w:pPr>
            <w:r>
              <w:rPr>
                <w:rStyle w:val="normaltextrun"/>
                <w:rFonts w:eastAsia="Calibri"/>
              </w:rPr>
              <w:t>(  ) Participação preferencial de microempresa</w:t>
            </w:r>
            <w:r>
              <w:rPr>
                <w:rStyle w:val="normaltextrun"/>
              </w:rPr>
              <w:t xml:space="preserve"> e </w:t>
            </w:r>
            <w:r>
              <w:rPr>
                <w:rStyle w:val="normaltextrun"/>
                <w:rFonts w:eastAsia="Calibri"/>
              </w:rPr>
              <w:t>empresa</w:t>
            </w:r>
            <w:r>
              <w:rPr>
                <w:rStyle w:val="normaltextrun"/>
              </w:rPr>
              <w:t xml:space="preserve"> de pequeno porte</w:t>
            </w:r>
            <w:r>
              <w:rPr>
                <w:rStyle w:val="normaltextrun"/>
                <w:rFonts w:eastAsia="Calibri"/>
              </w:rPr>
              <w:t>.</w:t>
            </w:r>
          </w:p>
          <w:p>
            <w:pPr>
              <w:pStyle w:val="paragraph"/>
              <w:spacing w:beforeAutospacing="0" w:before="120" w:afterAutospacing="0" w:after="0"/>
              <w:jc w:val="both"/>
              <w:textAlignment w:val="baseline"/>
              <w:rPr>
                <w:rStyle w:val="normaltextrun"/>
                <w:rFonts w:eastAsia="Calibri"/>
              </w:rPr>
            </w:pPr>
            <w:r>
              <w:rPr/>
            </w:r>
          </w:p>
          <w:p>
            <w:pPr>
              <w:pStyle w:val="paragraph"/>
              <w:spacing w:beforeAutospacing="0" w:before="120" w:afterAutospacing="0" w:after="0"/>
              <w:jc w:val="both"/>
              <w:textAlignment w:val="baseline"/>
              <w:rPr/>
            </w:pPr>
            <w:r>
              <w:rPr>
                <w:rStyle w:val="normaltextrun"/>
                <w:rFonts w:eastAsia="Calibri"/>
              </w:rPr>
              <w:t>(X) Participação exclusiva de microempresa e empresa de pequeno porte.</w:t>
            </w:r>
          </w:p>
          <w:p>
            <w:pPr>
              <w:pStyle w:val="paragraph"/>
              <w:spacing w:beforeAutospacing="0" w:before="120" w:afterAutospacing="0" w:after="0"/>
              <w:jc w:val="both"/>
              <w:textAlignment w:val="baseline"/>
              <w:rPr>
                <w:rStyle w:val="normaltextrun"/>
                <w:rFonts w:eastAsia="Calibri"/>
              </w:rPr>
            </w:pPr>
            <w:r>
              <w:rPr/>
            </w:r>
          </w:p>
          <w:p>
            <w:pPr>
              <w:pStyle w:val="paragraph"/>
              <w:spacing w:beforeAutospacing="0" w:before="120" w:afterAutospacing="0" w:after="0"/>
              <w:jc w:val="both"/>
              <w:textAlignment w:val="baseline"/>
              <w:rPr/>
            </w:pPr>
            <w:r>
              <w:rPr>
                <w:rStyle w:val="normaltextrun"/>
                <w:rFonts w:eastAsia="Calibri"/>
              </w:rPr>
              <w:t>(  ) Participação preferencial ou exclusiva de microempresa e empresa de pequeno porte, conforme definido em cada lote do Termo de referência.</w:t>
            </w:r>
          </w:p>
          <w:p>
            <w:pPr>
              <w:pStyle w:val="paragraph"/>
              <w:spacing w:beforeAutospacing="0" w:before="120" w:afterAutospacing="0" w:after="0"/>
              <w:jc w:val="both"/>
              <w:textAlignment w:val="baseline"/>
              <w:rPr>
                <w:rStyle w:val="eop"/>
                <w:rFonts w:eastAsia="Calibri"/>
              </w:rPr>
            </w:pPr>
            <w:r>
              <w:rPr/>
            </w:r>
          </w:p>
          <w:p>
            <w:pPr>
              <w:pStyle w:val="paragraph"/>
              <w:spacing w:beforeAutospacing="0" w:before="120" w:afterAutospacing="0" w:after="0"/>
              <w:jc w:val="both"/>
              <w:textAlignment w:val="baseline"/>
              <w:rPr>
                <w:rStyle w:val="eop"/>
                <w:rFonts w:eastAsia="Calibri"/>
              </w:rPr>
            </w:pPr>
            <w:r>
              <w:rPr>
                <w:rStyle w:val="normaltextrun"/>
                <w:rFonts w:eastAsia="Calibri"/>
              </w:rPr>
              <w:t xml:space="preserve">(  ) Sem tratamento preferencial conforme </w:t>
            </w:r>
            <w:r>
              <w:rPr>
                <w:rStyle w:val="normaltextrun"/>
                <w:rFonts w:eastAsia="Calibri"/>
                <w:b/>
                <w:bCs/>
              </w:rPr>
              <w:t>subitem 5.10</w:t>
            </w:r>
            <w:r>
              <w:rPr>
                <w:rStyle w:val="normaltextrun"/>
              </w:rPr>
              <w:t xml:space="preserve"> do Termo.</w:t>
            </w:r>
          </w:p>
          <w:p>
            <w:pPr>
              <w:pStyle w:val="Normal"/>
              <w:spacing w:lineRule="auto" w:line="240" w:before="120" w:after="0"/>
              <w:rPr>
                <w:color w:val="auto"/>
                <w:sz w:val="24"/>
                <w:szCs w:val="24"/>
              </w:rPr>
            </w:pPr>
            <w:r>
              <w:rPr>
                <w:color w:val="auto"/>
                <w:sz w:val="24"/>
                <w:szCs w:val="24"/>
              </w:rPr>
            </w:r>
          </w:p>
        </w:tc>
      </w:tr>
      <w:tr>
        <w:trPr>
          <w:trHeight w:val="235"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4.1.3</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Será permitida participação de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 – Será permitida a participação de Consórcio, nas seguintes condições: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 Impedimento de participação de empresa consorciada, na mesma licitação, através de mais de um consórcio ou isoladamente;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 Responsabilidade solidária dos integrantes pelos atos praticados em consórcio, tanto na fase de dispensa de licitação, quanto na de execução do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II – Para fins de Habilitação, os Consórcios deverão apresentar os seguintes documentos: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 Comprovação do compromisso público ou particular de constituição, subscrito pelos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 Indicação da empresa líder do consórcio, que deverá:</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b.1) responsabilizar-se por todas as comunicações e informações perante o contratante;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b.3) ter poderes expressos para receber citação e responder administrativa e judicialmente pelo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pPr>
              <w:pStyle w:val="Normal"/>
              <w:spacing w:lineRule="auto" w:line="240" w:before="120" w:after="0"/>
              <w:rPr>
                <w:color w:val="auto"/>
                <w:sz w:val="24"/>
                <w:szCs w:val="24"/>
              </w:rPr>
            </w:pPr>
            <w:r>
              <w:rPr>
                <w:color w:val="auto"/>
                <w:sz w:val="24"/>
                <w:szCs w:val="24"/>
              </w:rPr>
            </w:r>
          </w:p>
        </w:tc>
      </w:tr>
      <w:tr>
        <w:trPr>
          <w:trHeight w:val="52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4.1.4</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tabs>
                <w:tab w:val="clear" w:pos="720"/>
                <w:tab w:val="left" w:pos="8187" w:leader="none"/>
              </w:tabs>
              <w:spacing w:lineRule="auto" w:line="240" w:before="120" w:after="0"/>
              <w:rPr>
                <w:color w:val="auto"/>
                <w:sz w:val="24"/>
                <w:szCs w:val="24"/>
              </w:rPr>
            </w:pPr>
            <w:r>
              <w:rPr>
                <w:color w:val="auto"/>
                <w:sz w:val="24"/>
                <w:szCs w:val="24"/>
              </w:rPr>
              <w:t>Não será permitida a participação de Cooperativa de Trabalho.</w:t>
            </w:r>
          </w:p>
        </w:tc>
      </w:tr>
      <w:tr>
        <w:trPr>
          <w:trHeight w:val="295"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7.2</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A proposta terá prazo de validade de 60 (sessenta) dias.</w:t>
            </w:r>
          </w:p>
        </w:tc>
      </w:tr>
      <w:tr>
        <w:trPr>
          <w:trHeight w:val="18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7.12</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Não será permitida a subcontratação.</w:t>
            </w:r>
          </w:p>
        </w:tc>
      </w:tr>
      <w:tr>
        <w:trPr>
          <w:trHeight w:val="18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7.13</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Não será exigida a subcontratação de Microempresas e Empresas de Pequeno Porte</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uppressAutoHyphens w:val="true"/>
              <w:spacing w:lineRule="auto" w:line="240" w:before="120" w:after="0"/>
              <w:rPr>
                <w:color w:val="auto"/>
                <w:sz w:val="24"/>
                <w:szCs w:val="24"/>
              </w:rPr>
            </w:pPr>
            <w:r>
              <w:rPr>
                <w:color w:val="auto"/>
                <w:sz w:val="24"/>
                <w:szCs w:val="24"/>
              </w:rPr>
              <w:t>CGDL 10.3</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Menor preço global.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10.5.1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Decremento mínimo: 0,01%</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12.6.1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Serviços Não Padronizados – definido no Decreto nº 52.768/2015.</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12.9</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aplicável.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13.5.1.2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rFonts w:eastAsia="Arial"/>
                <w:color w:val="auto"/>
                <w:sz w:val="24"/>
                <w:szCs w:val="24"/>
              </w:rPr>
              <w:t xml:space="preserve">Além dos documentos obrigatórios previstos no TDL 13.3 </w:t>
            </w:r>
            <w:r>
              <w:rPr>
                <w:color w:val="auto"/>
                <w:sz w:val="24"/>
                <w:szCs w:val="24"/>
              </w:rPr>
              <w:t>e TDL 13.4 e no Termo de Referência, se houver,</w:t>
            </w:r>
            <w:r>
              <w:rPr>
                <w:rFonts w:eastAsia="Arial"/>
                <w:color w:val="auto"/>
                <w:sz w:val="24"/>
                <w:szCs w:val="24"/>
              </w:rPr>
              <w:t xml:space="preserve"> serão exigidos:</w:t>
            </w:r>
          </w:p>
          <w:p>
            <w:pPr>
              <w:pStyle w:val="Normal"/>
              <w:spacing w:lineRule="auto" w:line="240" w:before="120" w:after="0"/>
              <w:rPr>
                <w:color w:val="auto"/>
                <w:sz w:val="24"/>
                <w:szCs w:val="24"/>
              </w:rPr>
            </w:pPr>
            <w:r>
              <w:rPr/>
            </w:r>
          </w:p>
          <w:p>
            <w:pPr>
              <w:pStyle w:val="Normal"/>
              <w:spacing w:lineRule="auto" w:line="240" w:before="120" w:after="0"/>
              <w:rPr>
                <w:color w:val="auto"/>
                <w:sz w:val="24"/>
                <w:szCs w:val="24"/>
              </w:rPr>
            </w:pPr>
            <w:r>
              <w:rPr>
                <w:rFonts w:eastAsia="Arial"/>
                <w:color w:val="auto"/>
                <w:sz w:val="24"/>
                <w:szCs w:val="24"/>
              </w:rPr>
              <w:t>1.</w:t>
            </w:r>
            <w:r>
              <w:rPr>
                <w:rFonts w:eastAsia="Arial"/>
                <w:b/>
                <w:bCs/>
                <w:color w:val="auto"/>
                <w:sz w:val="24"/>
                <w:szCs w:val="24"/>
              </w:rPr>
              <w:t xml:space="preserve"> Documentos Relativos à Qualificação Técnica:</w:t>
            </w:r>
          </w:p>
          <w:p>
            <w:pPr>
              <w:pStyle w:val="Normal"/>
              <w:spacing w:lineRule="auto" w:line="240" w:before="120" w:after="0"/>
              <w:rPr>
                <w:rFonts w:eastAsia="Arial"/>
                <w:color w:val="auto"/>
                <w:sz w:val="24"/>
                <w:szCs w:val="24"/>
              </w:rPr>
            </w:pPr>
            <w:r>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pPr>
              <w:pStyle w:val="Normal"/>
              <w:spacing w:lineRule="auto" w:line="240" w:before="120" w:after="0"/>
              <w:rPr>
                <w:color w:val="auto"/>
                <w:sz w:val="24"/>
                <w:szCs w:val="24"/>
              </w:rPr>
            </w:pPr>
            <w:r>
              <w:rPr>
                <w:rFonts w:eastAsia="Arial"/>
                <w:color w:val="auto"/>
                <w:sz w:val="24"/>
                <w:szCs w:val="24"/>
              </w:rPr>
              <w:t>1.2. os atestados deverão referir-se a serviços prestados no âmbito de sua atividade econômica principal ou secundária especificadas no contrato social vigente.</w:t>
            </w:r>
          </w:p>
          <w:p>
            <w:pPr>
              <w:pStyle w:val="Normal"/>
              <w:spacing w:lineRule="auto" w:line="240" w:before="120" w:after="0"/>
              <w:rPr>
                <w:color w:val="auto"/>
                <w:sz w:val="24"/>
                <w:szCs w:val="24"/>
              </w:rPr>
            </w:pPr>
            <w:r>
              <w:rPr/>
            </w:r>
          </w:p>
          <w:p>
            <w:pPr>
              <w:pStyle w:val="Normal"/>
              <w:spacing w:lineRule="auto" w:line="240" w:before="120" w:after="0"/>
              <w:rPr>
                <w:color w:val="auto"/>
                <w:sz w:val="24"/>
                <w:szCs w:val="24"/>
              </w:rPr>
            </w:pPr>
            <w:r>
              <w:rPr>
                <w:rFonts w:eastAsia="Arial"/>
                <w:color w:val="auto"/>
                <w:sz w:val="24"/>
                <w:szCs w:val="24"/>
              </w:rPr>
              <w:t xml:space="preserve">2. </w:t>
            </w:r>
            <w:r>
              <w:rPr>
                <w:rFonts w:eastAsia="Arial"/>
                <w:b/>
                <w:bCs/>
                <w:color w:val="auto"/>
                <w:sz w:val="24"/>
                <w:szCs w:val="24"/>
              </w:rPr>
              <w:t>Documentos Relativos à Qualificação Econômico-Financeira</w:t>
            </w:r>
            <w:r>
              <w:rPr>
                <w:rFonts w:eastAsia="Arial"/>
                <w:b/>
                <w:bCs/>
                <w:color w:themeColor="text1" w:val="000000"/>
                <w:sz w:val="24"/>
                <w:szCs w:val="24"/>
              </w:rPr>
              <w:t>, em conformidade com o Decreto nº 57.154, de 22 de agosto de 2023, e com a Instrução Normativa CAGE Nº 11, de 4 de dezembro de 2023, a saber</w:t>
            </w:r>
            <w:r>
              <w:rPr>
                <w:rFonts w:eastAsia="Arial"/>
                <w:color w:themeColor="text1" w:val="000000"/>
                <w:sz w:val="24"/>
                <w:szCs w:val="24"/>
              </w:rPr>
              <w:t>:</w:t>
            </w:r>
          </w:p>
          <w:p>
            <w:pPr>
              <w:pStyle w:val="Normal"/>
              <w:spacing w:lineRule="auto" w:line="240" w:before="120" w:after="0"/>
              <w:rPr>
                <w:rFonts w:eastAsia="Arial"/>
                <w:color w:val="auto"/>
                <w:sz w:val="24"/>
                <w:szCs w:val="24"/>
              </w:rPr>
            </w:pPr>
            <w:r>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w:t>
            </w:r>
          </w:p>
          <w:p>
            <w:pPr>
              <w:pStyle w:val="Normal"/>
              <w:spacing w:lineRule="auto" w:line="240" w:before="120" w:after="0"/>
              <w:rPr>
                <w:rFonts w:eastAsia="Segoe UI"/>
                <w:color w:val="auto"/>
                <w:sz w:val="24"/>
                <w:szCs w:val="24"/>
              </w:rPr>
            </w:pPr>
            <w:r>
              <w:rPr>
                <w:rFonts w:eastAsia="Arial"/>
                <w:color w:val="auto"/>
                <w:sz w:val="24"/>
                <w:szCs w:val="24"/>
              </w:rPr>
              <w:t>2.1.1</w:t>
            </w:r>
            <w:r>
              <w:rPr>
                <w:rStyle w:val="normaltextrun"/>
                <w:rFonts w:eastAsia="Calibri"/>
                <w:color w:val="auto"/>
                <w:sz w:val="24"/>
                <w:szCs w:val="24"/>
              </w:rPr>
              <w:t xml:space="preserve">. </w:t>
            </w:r>
            <w:r>
              <w:rPr>
                <w:rStyle w:val="normaltextrun"/>
                <w:rFonts w:eastAsia="Arial"/>
                <w:color w:val="auto"/>
                <w:sz w:val="24"/>
                <w:szCs w:val="24"/>
              </w:rPr>
              <w:t>em se tratando de sociedade simples e pessoa física, deverá ser apresentada a certidão negativa de insolvência civil</w:t>
            </w:r>
            <w:r>
              <w:rPr>
                <w:rStyle w:val="cf01"/>
                <w:rFonts w:eastAsia="Segoe UI" w:cs="Times New Roman"/>
                <w:color w:val="auto"/>
                <w:sz w:val="24"/>
                <w:szCs w:val="24"/>
              </w:rPr>
              <w:t>.</w:t>
            </w:r>
          </w:p>
          <w:p>
            <w:pPr>
              <w:pStyle w:val="Normal"/>
              <w:spacing w:lineRule="auto" w:line="240" w:before="120" w:after="0"/>
              <w:ind w:right="113"/>
              <w:rPr>
                <w:rFonts w:eastAsia="Arial"/>
                <w:color w:val="auto"/>
                <w:sz w:val="24"/>
                <w:szCs w:val="24"/>
              </w:rPr>
            </w:pPr>
            <w:r>
              <w:rPr>
                <w:rStyle w:val="normaltextrun"/>
                <w:rFonts w:eastAsia="Arial"/>
                <w:color w:val="auto"/>
                <w:sz w:val="24"/>
                <w:szCs w:val="24"/>
              </w:rPr>
              <w:t>2.2. balanço patrimonial e demonstração de resultado de exercício dos dois últimos exercícios sociais, comprovando, em relação ao último exercício social:</w:t>
            </w:r>
          </w:p>
          <w:p>
            <w:pPr>
              <w:pStyle w:val="Normal"/>
              <w:spacing w:lineRule="auto" w:line="240" w:before="120" w:after="0"/>
              <w:ind w:right="113"/>
              <w:rPr>
                <w:rFonts w:eastAsia="Arial"/>
                <w:color w:val="auto"/>
                <w:sz w:val="24"/>
                <w:szCs w:val="24"/>
              </w:rPr>
            </w:pPr>
            <w:r>
              <w:rPr>
                <w:rFonts w:eastAsia="Arial"/>
                <w:color w:val="auto"/>
                <w:sz w:val="24"/>
                <w:szCs w:val="24"/>
              </w:rPr>
              <w:t>2.2.1. índices de liquidez geral - ILG, de solvência geral - ISG, e de liquidez corrente - ILC, superiores a 1 (um);</w:t>
            </w:r>
          </w:p>
          <w:p>
            <w:pPr>
              <w:pStyle w:val="Normal"/>
              <w:spacing w:lineRule="auto" w:line="240" w:before="120" w:after="0"/>
              <w:rPr>
                <w:rFonts w:eastAsia="Arial"/>
                <w:color w:val="auto"/>
                <w:sz w:val="24"/>
                <w:szCs w:val="24"/>
              </w:rPr>
            </w:pPr>
            <w:r>
              <w:rPr>
                <w:rStyle w:val="normaltextrun"/>
                <w:rFonts w:eastAsia="Arial"/>
                <w:color w:val="auto"/>
                <w:sz w:val="24"/>
                <w:szCs w:val="24"/>
              </w:rPr>
              <w:t>2.2.1.1. caso qualquer um dos índices referidos no item 2.2.1. apresente resultado inferior ou igual a 1 (um), será exigido, em relação ao valor da proposta final do licitante, patrimônio líquido mínimo de XX% (percentual por extenso) do valor da proposta final do licitante.</w:t>
            </w:r>
          </w:p>
          <w:p>
            <w:pPr>
              <w:pStyle w:val="Normal"/>
              <w:spacing w:lineRule="auto" w:line="240" w:before="120" w:after="0"/>
              <w:rPr>
                <w:rFonts w:eastAsia="Arial"/>
                <w:color w:val="auto"/>
                <w:sz w:val="24"/>
                <w:szCs w:val="24"/>
              </w:rPr>
            </w:pPr>
            <w:r>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4">
              <w:r>
                <w:rPr>
                  <w:rStyle w:val="Hyperlink"/>
                  <w:rFonts w:eastAsia="Arial"/>
                  <w:color w:val="auto"/>
                  <w:sz w:val="24"/>
                  <w:szCs w:val="24"/>
                  <w:u w:val="none"/>
                </w:rPr>
                <w:t>www.sisacf.sefaz.rs.gov.br</w:t>
              </w:r>
            </w:hyperlink>
            <w:r>
              <w:rPr>
                <w:rStyle w:val="normaltextrun"/>
                <w:rFonts w:eastAsia="Arial"/>
                <w:color w:val="auto"/>
                <w:sz w:val="24"/>
                <w:szCs w:val="24"/>
              </w:rPr>
              <w:t>.</w:t>
            </w:r>
          </w:p>
          <w:p>
            <w:pPr>
              <w:pStyle w:val="Normal"/>
              <w:spacing w:lineRule="auto" w:line="240" w:before="120" w:after="0"/>
              <w:rPr>
                <w:rFonts w:eastAsia="Arial"/>
                <w:color w:val="auto"/>
                <w:sz w:val="24"/>
                <w:szCs w:val="24"/>
              </w:rPr>
            </w:pPr>
            <w:r>
              <w:rPr>
                <w:rStyle w:val="normaltextrun"/>
                <w:rFonts w:eastAsia="Arial"/>
                <w:color w:val="auto"/>
                <w:sz w:val="24"/>
                <w:szCs w:val="24"/>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13.11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 xml:space="preserve">Família(s) de fornecedores a serem aceitas na apresentação do Certificado de Fornecedor do Estado – CFE: </w:t>
            </w:r>
            <w:r>
              <w:rPr>
                <w:color w:val="auto"/>
                <w:sz w:val="24"/>
                <w:szCs w:val="24"/>
              </w:rPr>
              <w:t>0007 e 0037</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adjudicatário terá o prazo de 05 (cinco) dias, após formalmente convocado, para assinar o contrato.</w:t>
            </w:r>
          </w:p>
        </w:tc>
      </w:tr>
      <w:tr>
        <w:trPr>
          <w:trHeight w:val="227"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16.4</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prazo de execução dos serviços contratados é de 30 (trinta) dias, a contar da emissão da ordem de início dos serviços.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16.5</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Rua Aldo Pagani, 118, Centro, na cidade de Butiá/ RS.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16.12</w:t>
            </w:r>
          </w:p>
        </w:tc>
        <w:tc>
          <w:tcPr>
            <w:tcW w:w="822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color w:val="auto"/>
                <w:sz w:val="24"/>
                <w:szCs w:val="24"/>
              </w:rPr>
            </w:pPr>
            <w:r>
              <w:rPr>
                <w:color w:val="auto"/>
                <w:sz w:val="24"/>
                <w:szCs w:val="24"/>
              </w:rPr>
              <w:t>Serão designados por esta SEAPI após assinatura do contrato.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17.1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aplicável.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18.1</w:t>
            </w:r>
          </w:p>
        </w:tc>
        <w:tc>
          <w:tcPr>
            <w:tcW w:w="822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i/>
                <w:i/>
                <w:color w:val="auto"/>
                <w:sz w:val="24"/>
                <w:szCs w:val="24"/>
              </w:rPr>
            </w:pPr>
            <w:r>
              <w:rPr>
                <w:color w:val="auto"/>
                <w:sz w:val="24"/>
                <w:szCs w:val="24"/>
              </w:rPr>
              <w:t>O pagamento deverá ser efetuado no prazo de até 30 (trinta) dias, mediante a apresentação de Nota Fiscal ou da Fatura pelo contratado.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19.1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DO ORÇAMENTO: 26/11/2024, conforme consta à folha nº 41 do PROA 24/1500-0033363-1.</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20.1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Unidade Orçamentária: 15.94 - SEC AGRICULTURA FUNDO DE APOIO AO SETOR PRIMARIO</w:t>
            </w:r>
          </w:p>
          <w:p>
            <w:pPr>
              <w:pStyle w:val="Normal"/>
              <w:spacing w:lineRule="auto" w:line="240" w:before="120" w:after="0"/>
              <w:rPr>
                <w:color w:val="auto"/>
                <w:sz w:val="24"/>
                <w:szCs w:val="24"/>
              </w:rPr>
            </w:pPr>
            <w:r>
              <w:rPr>
                <w:color w:val="auto"/>
                <w:sz w:val="24"/>
                <w:szCs w:val="24"/>
              </w:rPr>
              <w:t>Atividade/Projeto: 6457.00001 - APO ADMINISTRATIVO-FEASP</w:t>
            </w:r>
          </w:p>
          <w:p>
            <w:pPr>
              <w:pStyle w:val="Normal"/>
              <w:spacing w:lineRule="auto" w:line="240" w:before="120" w:after="0"/>
              <w:rPr>
                <w:color w:val="auto"/>
                <w:sz w:val="24"/>
                <w:szCs w:val="24"/>
              </w:rPr>
            </w:pPr>
            <w:r>
              <w:rPr>
                <w:color w:val="auto"/>
                <w:sz w:val="24"/>
                <w:szCs w:val="24"/>
              </w:rPr>
              <w:t>Natureza da Despesa – NAD: 3.3.90.39 - OUTROS SERV. DE TERCEIROS</w:t>
            </w:r>
          </w:p>
          <w:p>
            <w:pPr>
              <w:pStyle w:val="Normal"/>
              <w:spacing w:lineRule="auto" w:line="240" w:before="120" w:after="0"/>
              <w:rPr>
                <w:color w:val="auto"/>
                <w:sz w:val="24"/>
                <w:szCs w:val="24"/>
              </w:rPr>
            </w:pPr>
            <w:r>
              <w:rPr>
                <w:color w:val="auto"/>
                <w:sz w:val="24"/>
                <w:szCs w:val="24"/>
              </w:rPr>
              <w:t>Recurso: 0141 - REC OPERAC-FEASP</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Atender integralmente o Termo de Referência – Anexo V do Edital.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22.1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será solicitada garantia de cumprimento do contrato.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23.2.2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INSTRUÇÃO NORMATIVA CELIC/SPGG Nº 02/2023, publicada no DOE do Rio Grande do Sul em 29 de setembro de 2023</w:t>
            </w:r>
          </w:p>
          <w:p>
            <w:pPr>
              <w:pStyle w:val="Normal"/>
              <w:spacing w:lineRule="auto" w:line="240" w:before="120" w:after="0"/>
              <w:rPr>
                <w:color w:val="auto"/>
                <w:sz w:val="24"/>
                <w:szCs w:val="24"/>
              </w:rPr>
            </w:pPr>
            <w:r>
              <w:rPr>
                <w:sz w:val="24"/>
                <w:szCs w:val="24"/>
              </w:rPr>
              <w:t>(https://www.diariooficial.rs.gov.br/materia?id=908247).</w:t>
            </w:r>
          </w:p>
        </w:tc>
      </w:tr>
    </w:tbl>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V – TERMO DE REFERÊNCIA</w:t>
      </w:r>
    </w:p>
    <w:p>
      <w:pPr>
        <w:pStyle w:val="Normal"/>
        <w:spacing w:lineRule="auto" w:line="240" w:before="120" w:after="0"/>
        <w:jc w:val="center"/>
        <w:rPr>
          <w:b/>
          <w:bCs/>
          <w:color w:val="auto"/>
          <w:sz w:val="24"/>
          <w:szCs w:val="24"/>
        </w:rPr>
      </w:pPr>
      <w:r>
        <w:rPr>
          <w:b/>
          <w:bCs/>
          <w:color w:val="auto"/>
          <w:sz w:val="24"/>
          <w:szCs w:val="24"/>
        </w:rPr>
      </w:r>
    </w:p>
    <w:p>
      <w:pPr>
        <w:pStyle w:val="Normal"/>
        <w:spacing w:lineRule="auto" w:line="240" w:before="120" w:after="0"/>
        <w:rPr>
          <w:color w:val="auto"/>
          <w:sz w:val="24"/>
          <w:szCs w:val="24"/>
        </w:rPr>
      </w:pPr>
      <w:r>
        <w:rPr>
          <w:b/>
          <w:bCs/>
          <w:color w:val="auto"/>
          <w:sz w:val="24"/>
          <w:szCs w:val="24"/>
        </w:rPr>
        <w:t>N º Processo:</w:t>
      </w:r>
      <w:r>
        <w:rPr>
          <w:color w:val="auto"/>
          <w:sz w:val="24"/>
          <w:szCs w:val="24"/>
        </w:rPr>
        <w:t xml:space="preserve"> 24/1500-0033363-1</w:t>
      </w:r>
    </w:p>
    <w:p>
      <w:pPr>
        <w:pStyle w:val="Normal"/>
        <w:spacing w:lineRule="auto" w:line="240" w:before="120" w:after="0"/>
        <w:rPr>
          <w:color w:val="auto"/>
          <w:sz w:val="24"/>
          <w:szCs w:val="24"/>
        </w:rPr>
      </w:pPr>
      <w:r>
        <w:rPr>
          <w:b/>
          <w:bCs/>
          <w:color w:val="auto"/>
          <w:sz w:val="24"/>
          <w:szCs w:val="24"/>
        </w:rPr>
        <w:t>Serviço:</w:t>
      </w:r>
      <w:r>
        <w:rPr>
          <w:color w:val="auto"/>
          <w:sz w:val="24"/>
          <w:szCs w:val="24"/>
        </w:rPr>
        <w:t xml:space="preserve"> Reforma e reparo</w:t>
      </w:r>
    </w:p>
    <w:p>
      <w:pPr>
        <w:pStyle w:val="Normal"/>
        <w:spacing w:lineRule="auto" w:line="240" w:before="120" w:after="0"/>
        <w:rPr>
          <w:bCs/>
          <w:color w:val="auto"/>
          <w:sz w:val="24"/>
          <w:szCs w:val="24"/>
        </w:rPr>
      </w:pPr>
      <w:r>
        <w:rPr>
          <w:b/>
          <w:bCs/>
          <w:color w:val="auto"/>
          <w:sz w:val="24"/>
          <w:szCs w:val="24"/>
        </w:rPr>
        <w:t>Orgão Gestor:</w:t>
      </w:r>
      <w:r>
        <w:rPr>
          <w:bCs/>
          <w:color w:val="auto"/>
          <w:sz w:val="24"/>
          <w:szCs w:val="24"/>
        </w:rPr>
        <w:t xml:space="preserve"> Secretaria da Agricultura, Pecuária, Produção Sustentável e Irrigação – SEAPI.</w:t>
      </w:r>
    </w:p>
    <w:p>
      <w:pPr>
        <w:pStyle w:val="Normal"/>
        <w:spacing w:lineRule="auto" w:line="240" w:before="120" w:after="0"/>
        <w:rPr>
          <w:color w:val="auto"/>
          <w:sz w:val="24"/>
          <w:szCs w:val="24"/>
        </w:rPr>
      </w:pPr>
      <w:r>
        <w:rPr>
          <w:b/>
          <w:bCs/>
          <w:color w:val="auto"/>
          <w:sz w:val="24"/>
          <w:szCs w:val="24"/>
        </w:rPr>
        <w:t>Local:</w:t>
      </w:r>
      <w:r>
        <w:rPr>
          <w:color w:val="auto"/>
          <w:sz w:val="24"/>
          <w:szCs w:val="24"/>
        </w:rPr>
        <w:t xml:space="preserve"> Escritório da EDA Butiá.</w:t>
      </w:r>
    </w:p>
    <w:p>
      <w:pPr>
        <w:pStyle w:val="Normal"/>
        <w:spacing w:lineRule="auto" w:line="240" w:before="120" w:after="0"/>
        <w:rPr>
          <w:color w:val="auto"/>
          <w:sz w:val="24"/>
          <w:szCs w:val="24"/>
        </w:rPr>
      </w:pPr>
      <w:r>
        <w:rPr>
          <w:b/>
          <w:bCs/>
          <w:color w:val="auto"/>
          <w:sz w:val="24"/>
          <w:szCs w:val="24"/>
        </w:rPr>
        <w:t>Endereço:</w:t>
      </w:r>
      <w:r>
        <w:rPr>
          <w:color w:val="auto"/>
          <w:sz w:val="24"/>
          <w:szCs w:val="24"/>
        </w:rPr>
        <w:t xml:space="preserve"> Rua Aldo Pagani, 118, Centro.</w:t>
      </w:r>
    </w:p>
    <w:p>
      <w:pPr>
        <w:pStyle w:val="Normal"/>
        <w:spacing w:lineRule="auto" w:line="240" w:before="120" w:after="0"/>
        <w:rPr>
          <w:color w:val="auto"/>
          <w:sz w:val="24"/>
          <w:szCs w:val="24"/>
        </w:rPr>
      </w:pPr>
      <w:r>
        <w:rPr>
          <w:b/>
          <w:bCs/>
          <w:color w:val="auto"/>
          <w:sz w:val="24"/>
          <w:szCs w:val="24"/>
        </w:rPr>
        <w:t>Município:</w:t>
      </w:r>
      <w:r>
        <w:rPr>
          <w:color w:val="auto"/>
          <w:sz w:val="24"/>
          <w:szCs w:val="24"/>
        </w:rPr>
        <w:t xml:space="preserve"> Butiá, RS</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CONSIDERAÇÕES INICIAIS</w:t>
      </w:r>
    </w:p>
    <w:p>
      <w:pPr>
        <w:pStyle w:val="Normal"/>
        <w:spacing w:lineRule="auto" w:line="240" w:before="120" w:after="0"/>
        <w:ind w:firstLine="720"/>
        <w:rPr>
          <w:color w:val="auto"/>
          <w:sz w:val="24"/>
          <w:szCs w:val="24"/>
        </w:rPr>
      </w:pPr>
      <w:r>
        <w:rPr>
          <w:color w:themeColor="text1" w:val="000000"/>
          <w:sz w:val="24"/>
          <w:szCs w:val="24"/>
        </w:rPr>
        <w:t>Este termo de referência é parte do processo n° 24/1500-0033363-1, visa especificar requisitos necessários para contratação de empresa para realizar os serviços de reforma do prédio no qual estava lotada a EDA Butiá, localizado na Aldo Pagani, 118, Centro, na cidade de Butiá - RS</w:t>
      </w:r>
      <w:r>
        <w:rPr>
          <w:color w:val="auto"/>
          <w:sz w:val="24"/>
          <w:szCs w:val="24"/>
        </w:rPr>
        <w:t>.</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1.</w:t>
      </w:r>
      <w:r>
        <w:rPr>
          <w:bCs/>
          <w:color w:val="auto"/>
          <w:sz w:val="24"/>
          <w:szCs w:val="24"/>
        </w:rPr>
        <w:tab/>
      </w:r>
      <w:r>
        <w:rPr>
          <w:b/>
          <w:bCs/>
          <w:color w:val="auto"/>
          <w:sz w:val="24"/>
          <w:szCs w:val="24"/>
        </w:rPr>
        <w:t>OBJETO DA PRESTAÇÃO DOS SERVIÇOS</w:t>
      </w:r>
    </w:p>
    <w:p>
      <w:pPr>
        <w:pStyle w:val="Normal"/>
        <w:spacing w:lineRule="auto" w:line="240" w:before="120" w:after="0"/>
        <w:ind w:firstLine="720"/>
        <w:rPr>
          <w:color w:val="auto"/>
          <w:sz w:val="24"/>
          <w:szCs w:val="24"/>
        </w:rPr>
      </w:pPr>
      <w:r>
        <w:rPr>
          <w:color w:val="auto"/>
          <w:sz w:val="24"/>
          <w:szCs w:val="24"/>
        </w:rPr>
        <w:t>Contratação de serviço de reforma e reparo do prédio onde estava lotado o Escritório de Defesa Animal - EDA de Butiá, com mão de obra e material necessário inclusos, considerando o escopo contido no item 04.</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Cs/>
          <w:color w:val="auto"/>
          <w:sz w:val="24"/>
          <w:szCs w:val="24"/>
        </w:rPr>
      </w:pPr>
      <w:r>
        <w:rPr>
          <w:b/>
          <w:bCs/>
          <w:color w:val="auto"/>
          <w:sz w:val="24"/>
          <w:szCs w:val="24"/>
        </w:rPr>
        <w:t>2.</w:t>
        <w:tab/>
        <w:t>JUSTIFICATIVA</w:t>
      </w:r>
    </w:p>
    <w:p>
      <w:pPr>
        <w:pStyle w:val="Normal"/>
        <w:spacing w:lineRule="auto" w:line="240" w:before="120" w:after="0"/>
        <w:ind w:firstLine="709"/>
        <w:rPr>
          <w:color w:val="auto"/>
          <w:sz w:val="24"/>
          <w:szCs w:val="24"/>
        </w:rPr>
      </w:pPr>
      <w:r>
        <w:rPr>
          <w:color w:val="auto"/>
          <w:sz w:val="24"/>
          <w:szCs w:val="24"/>
        </w:rPr>
        <w:t>Justifica-se a presente contratação tendo em vista a necessidade da reforma para entrega do prédio ao proprietário devido a rescisão do contrato, sendo que em vistoria in loco averiguou-se existência de danos causados pelo uso e degradação do tempo na edificação</w:t>
      </w:r>
      <w:r>
        <w:rPr>
          <w:bCs/>
          <w:color w:val="auto"/>
          <w:sz w:val="24"/>
          <w:szCs w:val="24"/>
        </w:rPr>
        <w:tab/>
      </w:r>
      <w:r>
        <w:rPr>
          <w:color w:val="auto"/>
          <w:sz w:val="24"/>
          <w:szCs w:val="24"/>
        </w:rPr>
        <w:t>.</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3.</w:t>
      </w:r>
      <w:r>
        <w:rPr/>
        <w:tab/>
      </w:r>
      <w:r>
        <w:rPr>
          <w:b/>
          <w:bCs/>
          <w:color w:val="auto"/>
          <w:sz w:val="24"/>
          <w:szCs w:val="24"/>
        </w:rPr>
        <w:t>HORÁRIOS DA PRESTAÇÃO DOS SERVIÇOS</w:t>
      </w:r>
    </w:p>
    <w:p>
      <w:pPr>
        <w:pStyle w:val="Normal"/>
        <w:spacing w:lineRule="auto" w:line="240" w:before="120" w:after="0"/>
        <w:ind w:firstLine="720"/>
        <w:rPr>
          <w:color w:val="auto"/>
          <w:sz w:val="24"/>
          <w:szCs w:val="24"/>
        </w:rPr>
      </w:pPr>
      <w:r>
        <w:rPr>
          <w:color w:val="auto"/>
          <w:sz w:val="24"/>
          <w:szCs w:val="24"/>
        </w:rPr>
        <w:t>Os serviços deverão ser realizados de segunda-feira a sexta-feira, das 08h30min às 12h00min, e das 13h30min às 18h00min.Serviços após estes horários e nos sábados e domingos devem ser requeridos e liberados pelo fiscal.</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4.</w:t>
      </w:r>
      <w:r>
        <w:rPr>
          <w:bCs/>
          <w:color w:val="auto"/>
          <w:sz w:val="24"/>
          <w:szCs w:val="24"/>
        </w:rPr>
        <w:tab/>
      </w:r>
      <w:r>
        <w:rPr>
          <w:b/>
          <w:bCs/>
          <w:color w:val="auto"/>
          <w:sz w:val="24"/>
          <w:szCs w:val="24"/>
        </w:rPr>
        <w:t>DESCRIÇÃO DOS SERVIÇOS E ESPECIFICAÇÃO TÉCNICA</w:t>
      </w:r>
    </w:p>
    <w:p>
      <w:pPr>
        <w:pStyle w:val="Normal"/>
        <w:spacing w:lineRule="auto" w:line="240" w:before="120" w:after="0"/>
        <w:ind w:firstLine="720"/>
        <w:rPr>
          <w:color w:val="auto"/>
          <w:sz w:val="24"/>
          <w:szCs w:val="24"/>
        </w:rPr>
      </w:pPr>
      <w:r>
        <w:rPr>
          <w:color w:val="auto"/>
          <w:sz w:val="24"/>
          <w:szCs w:val="24"/>
        </w:rPr>
      </w:r>
    </w:p>
    <w:p>
      <w:pPr>
        <w:pStyle w:val="ListParagraph"/>
        <w:numPr>
          <w:ilvl w:val="0"/>
          <w:numId w:val="3"/>
        </w:numPr>
        <w:spacing w:before="120" w:after="0"/>
        <w:ind w:firstLine="1080" w:left="0"/>
        <w:rPr>
          <w:color w:val="auto"/>
        </w:rPr>
      </w:pPr>
      <w:r>
        <w:rPr>
          <w:b/>
          <w:color w:val="auto"/>
        </w:rPr>
        <w:t>Manutenção das Aberturas Portas e Janelas</w:t>
      </w:r>
      <w:r>
        <w:rPr>
          <w:color w:val="auto"/>
        </w:rPr>
        <w:t xml:space="preserve"> – Na reforma, além da pintura serão trocadas 02 (duas) portas e mais pintura vão ser usados 04 (quatro) galões de tinta esmalte e sintética, 01 (uma) lata de solvente, lixas e pinceis.</w:t>
      </w:r>
    </w:p>
    <w:p>
      <w:pPr>
        <w:pStyle w:val="ListParagraph"/>
        <w:numPr>
          <w:ilvl w:val="0"/>
          <w:numId w:val="3"/>
        </w:numPr>
        <w:spacing w:before="120" w:after="0"/>
        <w:ind w:firstLine="720" w:left="0"/>
        <w:rPr>
          <w:color w:val="auto"/>
        </w:rPr>
      </w:pPr>
      <w:r>
        <w:rPr>
          <w:b/>
          <w:color w:val="auto"/>
        </w:rPr>
        <w:t>Manutenção do piso, forro e telhado – N</w:t>
      </w:r>
      <w:r>
        <w:rPr>
          <w:color w:val="auto"/>
        </w:rPr>
        <w:t>a reforma será usado o m² de piso 5 cola  AC11, 3kg de rejuntes, lixar parque e 6 galões de verniz, 6 metros de forro e tinta para pintura forro, substituição de 10 telhas romanas.</w:t>
      </w:r>
    </w:p>
    <w:p>
      <w:pPr>
        <w:pStyle w:val="ListParagraph"/>
        <w:numPr>
          <w:ilvl w:val="0"/>
          <w:numId w:val="3"/>
        </w:numPr>
        <w:spacing w:before="120" w:after="0"/>
        <w:ind w:firstLine="720" w:left="0"/>
        <w:rPr>
          <w:color w:val="auto"/>
        </w:rPr>
      </w:pPr>
      <w:r>
        <w:rPr>
          <w:b/>
          <w:color w:val="auto"/>
        </w:rPr>
        <w:t xml:space="preserve">Manutenção das Paredes Internas e Externas </w:t>
      </w:r>
      <w:r>
        <w:rPr>
          <w:color w:val="auto"/>
        </w:rPr>
        <w:t>- Para reforma necessária serão utilizados os seguintes materiais: 04 (quatro) latas de 18 Lts. Tinta Acrílica, 03 (três) galões 3,6 Lts. Massa corrida, 10 (dez) metros de lixa, 6 litros de solvente, 6 pinceis, 3 rolos, 3 bandejas, 04 (quatro) sacos de argamassa, 3 selador de 18 lts.</w:t>
      </w:r>
    </w:p>
    <w:p>
      <w:pPr>
        <w:pStyle w:val="ListParagraph"/>
        <w:numPr>
          <w:ilvl w:val="0"/>
          <w:numId w:val="3"/>
        </w:numPr>
        <w:spacing w:before="120" w:after="0"/>
        <w:ind w:firstLine="1080" w:left="0"/>
        <w:rPr>
          <w:color w:val="auto"/>
        </w:rPr>
      </w:pPr>
      <w:r>
        <w:rPr>
          <w:b/>
          <w:color w:val="auto"/>
        </w:rPr>
        <w:t>Mão de Obra e reforma –</w:t>
      </w:r>
      <w:r>
        <w:rPr>
          <w:color w:val="auto"/>
        </w:rPr>
        <w:t xml:space="preserve"> Todo preparo das paredes e aberturas, piso para realizar a reforma e pintura interna e externa numa edificação de 69,92 m², troca forro, troca de telhas, troca de portas.</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5.</w:t>
        <w:tab/>
        <w:t>CONDIÇÕES E PRAZOS DE PAGAMENTO</w:t>
      </w:r>
    </w:p>
    <w:p>
      <w:pPr>
        <w:pStyle w:val="Normal"/>
        <w:spacing w:lineRule="auto" w:line="240" w:before="120" w:after="0"/>
        <w:ind w:firstLine="720"/>
        <w:rPr>
          <w:color w:val="auto"/>
          <w:sz w:val="24"/>
          <w:szCs w:val="24"/>
        </w:rPr>
      </w:pPr>
      <w:r>
        <w:rPr>
          <w:color w:val="auto"/>
          <w:sz w:val="24"/>
          <w:szCs w:val="24"/>
        </w:rPr>
        <w:t>Forma de Pagamento: empenho único com pagamento em uma parcela.</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6.</w:t>
      </w:r>
      <w:r>
        <w:rPr/>
        <w:tab/>
      </w:r>
      <w:r>
        <w:rPr>
          <w:b/>
          <w:bCs/>
          <w:color w:val="auto"/>
          <w:sz w:val="24"/>
          <w:szCs w:val="24"/>
        </w:rPr>
        <w:t>OBRIGAÇÕES E RESPONSABILIDADES DO CONTRATANTE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OBRIGAÇÕES DA CONTRATANTE se obriga facilitar todos os meios de acesso ao objeto deste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pPr>
      <w:r>
        <w:rPr>
          <w:color w:val="auto"/>
          <w:sz w:val="24"/>
          <w:szCs w:val="24"/>
        </w:rPr>
        <w:t>1 - Acompanhar e Fiscalizar a execução dos trabalhos pelo fiscal.</w:t>
      </w:r>
    </w:p>
    <w:p>
      <w:pPr>
        <w:pStyle w:val="Normal"/>
        <w:spacing w:lineRule="auto" w:line="240" w:before="120" w:after="0"/>
        <w:rPr/>
      </w:pPr>
      <w:r>
        <w:rPr>
          <w:color w:val="auto"/>
          <w:sz w:val="24"/>
          <w:szCs w:val="24"/>
        </w:rPr>
        <w:t>2 - Comunicar a contratada, quando identificar qualquer irregularidade na execução dos trabalhos.</w:t>
      </w:r>
    </w:p>
    <w:p>
      <w:pPr>
        <w:pStyle w:val="Normal"/>
        <w:spacing w:lineRule="auto" w:line="240" w:before="120" w:after="0"/>
        <w:rPr/>
      </w:pPr>
      <w:r>
        <w:rPr>
          <w:color w:val="auto"/>
          <w:sz w:val="24"/>
          <w:szCs w:val="24"/>
        </w:rPr>
        <w:t>3 - Prestar as informações e os esclarecimentos que venham ser solicitados.</w:t>
      </w:r>
    </w:p>
    <w:p>
      <w:pPr>
        <w:pStyle w:val="Normal"/>
        <w:spacing w:lineRule="auto" w:line="240" w:before="120" w:after="0"/>
        <w:rPr/>
      </w:pPr>
      <w:r>
        <w:rPr>
          <w:color w:val="auto"/>
          <w:sz w:val="24"/>
          <w:szCs w:val="24"/>
        </w:rPr>
        <w:t>4 - Efetuar os pagamentos devidos conforme estabelecido pelo contrato.</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7.</w:t>
      </w:r>
      <w:r>
        <w:rPr/>
        <w:tab/>
      </w:r>
      <w:r>
        <w:rPr>
          <w:b/>
          <w:bCs/>
          <w:color w:val="auto"/>
          <w:sz w:val="24"/>
          <w:szCs w:val="24"/>
        </w:rPr>
        <w:t>OBRIGAÇÕES DO CONTRATADO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OBRIGAÇÕES DA CONTRATADA segue um padrão conforme abaixo descrito, podendo ser alterado, se necessário.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pPr>
      <w:r>
        <w:rPr>
          <w:color w:val="auto"/>
          <w:sz w:val="24"/>
          <w:szCs w:val="24"/>
        </w:rPr>
        <w:t>1 - Assumir inteira responsabilidade pelas obrigações fiscais e trabalhistas decorrentes da presente contratação.</w:t>
      </w:r>
    </w:p>
    <w:p>
      <w:pPr>
        <w:pStyle w:val="Normal"/>
        <w:spacing w:lineRule="auto" w:line="240" w:before="120" w:after="0"/>
        <w:rPr/>
      </w:pPr>
      <w:r>
        <w:rPr>
          <w:color w:val="auto"/>
          <w:sz w:val="24"/>
          <w:szCs w:val="24"/>
        </w:rPr>
        <w:t>2 - Assumir inteira responsabilidade pela execução dos serviços, em conformidade com a Legislação Vigente de Segurança e Saúde do Trabalho, em particular as Normas Regulamentadoras do Ministério do Trabalho, instituídas pela Portaria n° 3.214/78 e suas alterações posteriores.</w:t>
      </w:r>
    </w:p>
    <w:p>
      <w:pPr>
        <w:pStyle w:val="Normal"/>
        <w:spacing w:lineRule="auto" w:line="240" w:before="120" w:after="0"/>
        <w:rPr/>
      </w:pPr>
      <w:r>
        <w:rPr>
          <w:color w:val="auto"/>
          <w:sz w:val="24"/>
          <w:szCs w:val="24"/>
        </w:rPr>
        <w:t>3 - Fornecer material de EPIs conforme legislação, segundo sua função.</w:t>
      </w:r>
    </w:p>
    <w:p>
      <w:pPr>
        <w:pStyle w:val="Normal"/>
        <w:spacing w:lineRule="auto" w:line="240" w:before="120" w:after="0"/>
        <w:rPr/>
      </w:pPr>
      <w:r>
        <w:rPr>
          <w:color w:val="auto"/>
          <w:sz w:val="24"/>
          <w:szCs w:val="24"/>
        </w:rPr>
        <w:t>4 - Entregar o local completamente limpo ao final dos serviços.</w:t>
      </w:r>
    </w:p>
    <w:p>
      <w:pPr>
        <w:pStyle w:val="Normal"/>
        <w:spacing w:lineRule="auto" w:line="240" w:before="120" w:after="0"/>
        <w:rPr/>
      </w:pPr>
      <w:r>
        <w:rPr>
          <w:color w:val="auto"/>
          <w:sz w:val="24"/>
          <w:szCs w:val="24"/>
        </w:rPr>
        <w:t>5 - Executar o objeto de acordo com o presente Termo de Referência.</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
          <w:bCs/>
          <w:color w:val="auto"/>
          <w:sz w:val="24"/>
          <w:szCs w:val="24"/>
        </w:rPr>
      </w:pPr>
      <w:r>
        <w:rPr>
          <w:b/>
          <w:bCs/>
          <w:color w:val="auto"/>
          <w:sz w:val="24"/>
          <w:szCs w:val="24"/>
        </w:rPr>
        <w:t>8.</w:t>
      </w:r>
      <w:r>
        <w:rPr/>
        <w:tab/>
      </w:r>
      <w:r>
        <w:rPr>
          <w:b/>
          <w:bCs/>
          <w:color w:val="auto"/>
          <w:sz w:val="24"/>
          <w:szCs w:val="24"/>
        </w:rPr>
        <w:t>FORNECIMENTO DE MATERIAIS E EQUIPAMENTOS</w:t>
      </w:r>
    </w:p>
    <w:p>
      <w:pPr>
        <w:pStyle w:val="Normal"/>
        <w:spacing w:lineRule="auto" w:line="240" w:before="120" w:after="0"/>
        <w:ind w:firstLine="720"/>
        <w:rPr>
          <w:color w:val="auto"/>
          <w:sz w:val="24"/>
          <w:szCs w:val="24"/>
        </w:rPr>
      </w:pPr>
      <w:r>
        <w:rPr>
          <w:color w:val="auto"/>
          <w:sz w:val="24"/>
          <w:szCs w:val="24"/>
        </w:rPr>
        <w:t>A CONTRATADA fornecerá todo o material e mão de obra técnica, ferramental e instrumentos necessários à execução dos serviços.</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9.</w:t>
      </w:r>
      <w:r>
        <w:rPr/>
        <w:tab/>
      </w:r>
      <w:r>
        <w:rPr>
          <w:b/>
          <w:bCs/>
          <w:color w:val="auto"/>
          <w:sz w:val="24"/>
          <w:szCs w:val="24"/>
        </w:rPr>
        <w:t>PRAZO</w:t>
      </w:r>
    </w:p>
    <w:p>
      <w:pPr>
        <w:pStyle w:val="Normal"/>
        <w:spacing w:lineRule="auto" w:line="240" w:before="120" w:after="0"/>
        <w:ind w:firstLine="720"/>
        <w:rPr>
          <w:color w:val="auto"/>
          <w:sz w:val="24"/>
          <w:szCs w:val="24"/>
        </w:rPr>
      </w:pPr>
      <w:r>
        <w:rPr>
          <w:color w:val="auto"/>
          <w:sz w:val="24"/>
          <w:szCs w:val="24"/>
        </w:rPr>
        <w:t>O prazo total dos serviços será de no mínimo 30 dias a contar da emissão da ordem de inicio dos serviços.</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10.</w:t>
      </w:r>
      <w:r>
        <w:rPr/>
        <w:tab/>
      </w:r>
      <w:r>
        <w:rPr>
          <w:b/>
          <w:bCs/>
          <w:color w:val="auto"/>
          <w:sz w:val="24"/>
          <w:szCs w:val="24"/>
        </w:rPr>
        <w:t>FISCAL DO CONTRATO</w:t>
      </w:r>
    </w:p>
    <w:p>
      <w:pPr>
        <w:pStyle w:val="Normal"/>
        <w:spacing w:lineRule="auto" w:line="240" w:before="120" w:after="0"/>
        <w:rPr>
          <w:color w:val="auto"/>
          <w:sz w:val="24"/>
          <w:szCs w:val="24"/>
        </w:rPr>
      </w:pPr>
      <w:r>
        <w:rPr>
          <w:bCs/>
          <w:color w:val="auto"/>
          <w:sz w:val="24"/>
          <w:szCs w:val="24"/>
        </w:rPr>
        <w:tab/>
      </w:r>
      <w:r>
        <w:rPr>
          <w:color w:val="auto"/>
          <w:sz w:val="24"/>
          <w:szCs w:val="24"/>
        </w:rPr>
        <w:t>A elaboração dos trabalhos será acompanhada por equipe devidamente nomeada em Ordem de início de Serviço após a assinatura do contrato.</w:t>
      </w:r>
    </w:p>
    <w:p>
      <w:pPr>
        <w:pStyle w:val="Normal"/>
        <w:spacing w:lineRule="auto" w:line="240" w:before="120" w:after="0"/>
        <w:rPr>
          <w:color w:val="auto"/>
          <w:sz w:val="24"/>
          <w:szCs w:val="24"/>
        </w:rPr>
      </w:pPr>
      <w:r>
        <w:rPr>
          <w:color w:val="auto"/>
          <w:sz w:val="24"/>
          <w:szCs w:val="24"/>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418" w:right="851" w:gutter="0" w:header="170" w:top="567" w:footer="45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Calibri">
    <w:charset w:val="00"/>
    <w:family w:val="roman"/>
    <w:pitch w:val="variable"/>
  </w:font>
  <w:font w:name="Ecofont_Spranq_eco_Sans">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swiss"/>
    <w:pitch w:val="variable"/>
  </w:font>
  <w:font w:name="Sans Serif PS">
    <w:charset w:val="00"/>
    <w:family w:val="roman"/>
    <w:pitch w:val="variable"/>
  </w:font>
  <w:font w:name="Arial Nov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sz w:val="16"/>
        <w:szCs w:val="16"/>
      </w:rPr>
    </w:pPr>
    <w:r>
      <w:rPr>
        <w:sz w:val="16"/>
        <w:szCs w:val="16"/>
      </w:rPr>
      <w:t>Subsecretaria da Administração Central de Licitações – CELIC RS</w:t>
    </w:r>
  </w:p>
  <w:p>
    <w:pPr>
      <w:pStyle w:val="Normal"/>
      <w:jc w:val="center"/>
      <w:rPr>
        <w:sz w:val="16"/>
        <w:szCs w:val="16"/>
      </w:rPr>
    </w:pPr>
    <w:r>
      <w:rPr>
        <w:sz w:val="16"/>
        <w:szCs w:val="16"/>
      </w:rPr>
      <w:t>Av. Borges De Medeiros, 1501 – 2º Andar – CEP: 90110-150 Fone: (51) 3288-1160</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2305050" cy="102743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2305050" cy="1027430"/>
                  </a:xfrm>
                  <a:prstGeom prst="rect">
                    <a:avLst/>
                  </a:prstGeom>
                </pic:spPr>
              </pic:pic>
            </a:graphicData>
          </a:graphic>
        </wp:inline>
      </w:drawing>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page">
            <wp:align>center</wp:align>
          </wp:positionH>
          <wp:positionV relativeFrom="paragraph">
            <wp:posOffset>1720215</wp:posOffset>
          </wp:positionV>
          <wp:extent cx="6628765" cy="8006715"/>
          <wp:effectExtent l="0" t="0" r="0" b="0"/>
          <wp:wrapNone/>
          <wp:docPr id="3"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966978294"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43">
          <wp:simplePos x="0" y="0"/>
          <wp:positionH relativeFrom="page">
            <wp:posOffset>0</wp:posOffset>
          </wp:positionH>
          <wp:positionV relativeFrom="paragraph">
            <wp:posOffset>-447675</wp:posOffset>
          </wp:positionV>
          <wp:extent cx="230505" cy="10893425"/>
          <wp:effectExtent l="0" t="0" r="0" b="0"/>
          <wp:wrapNone/>
          <wp:docPr id="4"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00491921"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pic:spPr>
              </pic:pic>
            </a:graphicData>
          </a:graphic>
        </wp:anchor>
      </w:drawing>
    </w:r>
  </w:p>
  <w:p>
    <w:pPr>
      <w:pStyle w:val="Header"/>
      <w:jc w:val="center"/>
      <w:rPr/>
    </w:pPr>
    <w:r>
      <w:rPr/>
      <w:drawing>
        <wp:inline distT="0" distB="0" distL="0" distR="0">
          <wp:extent cx="2305050" cy="1027430"/>
          <wp:effectExtent l="0" t="0" r="0" b="0"/>
          <wp:docPr id="5"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3" descr=""/>
                  <pic:cNvPicPr>
                    <a:picLocks noChangeAspect="1" noChangeArrowheads="1"/>
                  </pic:cNvPicPr>
                </pic:nvPicPr>
                <pic:blipFill>
                  <a:blip r:embed="rId3"/>
                  <a:stretch>
                    <a:fillRect/>
                  </a:stretch>
                </pic:blipFill>
                <pic:spPr bwMode="auto">
                  <a:xfrm>
                    <a:off x="0" y="0"/>
                    <a:ext cx="2305050" cy="10274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3">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6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e2636"/>
    <w:pPr>
      <w:widowControl/>
      <w:bidi w:val="0"/>
      <w:spacing w:lineRule="auto" w:line="360" w:before="0" w:after="0"/>
      <w:jc w:val="both"/>
    </w:pPr>
    <w:rPr>
      <w:rFonts w:ascii="Times New Roman" w:hAnsi="Times New Roman" w:eastAsia="Times New Roman" w:cs="Times New Roman"/>
      <w:color w:val="000000"/>
      <w:kern w:val="0"/>
      <w:sz w:val="22"/>
      <w:szCs w:val="22"/>
      <w:lang w:val="pt-BR" w:eastAsia="pt-BR" w:bidi="ar-SA"/>
    </w:rPr>
  </w:style>
  <w:style w:type="paragraph" w:styleId="Heading1">
    <w:name w:val="Heading 1"/>
    <w:basedOn w:val="Normal"/>
    <w:next w:val="Normal"/>
    <w:link w:val="Ttulo1Char"/>
    <w:uiPriority w:val="9"/>
    <w:qFormat/>
    <w:rsid w:val="00bc6858"/>
    <w:pPr>
      <w:keepNext w:val="true"/>
      <w:keepLines/>
      <w:spacing w:before="240" w:after="0"/>
      <w:contextualSpacing/>
      <w:jc w:val="center"/>
      <w:outlineLvl w:val="0"/>
    </w:pPr>
    <w:rPr>
      <w:rFonts w:eastAsia="ＭＳ ゴシック" w:eastAsiaTheme="majorEastAsia"/>
      <w:b/>
      <w:bCs/>
    </w:rPr>
  </w:style>
  <w:style w:type="paragraph" w:styleId="Heading2">
    <w:name w:val="Heading 2"/>
    <w:basedOn w:val="Normal"/>
    <w:next w:val="Normal"/>
    <w:link w:val="Ttulo2Char"/>
    <w:uiPriority w:val="9"/>
    <w:unhideWhenUsed/>
    <w:qFormat/>
    <w:rsid w:val="00140c81"/>
    <w:pPr>
      <w:widowControl w:val="false"/>
      <w:ind w:left="851" w:right="849"/>
      <w:jc w:val="center"/>
      <w:outlineLvl w:val="1"/>
    </w:pPr>
    <w:rPr>
      <w:b/>
      <w:bCs/>
      <w:caps/>
    </w:rPr>
  </w:style>
  <w:style w:type="paragraph" w:styleId="Heading3">
    <w:name w:val="Heading 3"/>
    <w:basedOn w:val="Normal"/>
    <w:next w:val="Normal"/>
    <w:link w:val="Ttulo3Char"/>
    <w:uiPriority w:val="9"/>
    <w:unhideWhenUsed/>
    <w:qFormat/>
    <w:rsid w:val="00140c81"/>
    <w:pPr>
      <w:keepNext w:val="true"/>
      <w:keepLines/>
      <w:spacing w:before="200" w:after="0"/>
      <w:outlineLvl w:val="2"/>
    </w:pPr>
    <w:rPr>
      <w:rFonts w:ascii="Cambria" w:hAnsi="Cambria" w:eastAsia="ＭＳ ゴシック" w:cs="Times New Roman" w:asciiTheme="majorHAnsi" w:cstheme="majorBidi" w:eastAsiaTheme="majorEastAsia" w:hAnsiTheme="majorHAnsi"/>
      <w:b/>
      <w:bCs/>
      <w:color w:themeColor="accent1" w:val="4F81BD"/>
    </w:rPr>
  </w:style>
  <w:style w:type="paragraph" w:styleId="Heading4">
    <w:name w:val="Heading 4"/>
    <w:basedOn w:val="Normal"/>
    <w:next w:val="Normal"/>
    <w:link w:val="Ttulo4Char"/>
    <w:uiPriority w:val="9"/>
    <w:unhideWhenUsed/>
    <w:qFormat/>
    <w:rsid w:val="00140c81"/>
    <w:pPr>
      <w:keepNext w:val="true"/>
      <w:keepLines/>
      <w:spacing w:before="200" w:after="0"/>
      <w:outlineLvl w:val="3"/>
    </w:pPr>
    <w:rPr>
      <w:rFonts w:ascii="Cambria" w:hAnsi="Cambria" w:eastAsia="ＭＳ ゴシック" w:cs="Times New Roman" w:asciiTheme="majorHAnsi" w:cstheme="majorBidi" w:eastAsiaTheme="majorEastAsia" w:hAnsiTheme="majorHAnsi"/>
      <w:b/>
      <w:bCs/>
      <w:i/>
      <w:iCs/>
      <w:color w:themeColor="accent1" w:val="4F81BD"/>
    </w:rPr>
  </w:style>
  <w:style w:type="paragraph" w:styleId="Heading5">
    <w:name w:val="Heading 5"/>
    <w:basedOn w:val="Normal"/>
    <w:next w:val="Normal"/>
    <w:link w:val="Ttulo5Char"/>
    <w:uiPriority w:val="9"/>
    <w:unhideWhenUsed/>
    <w:qFormat/>
    <w:rsid w:val="00140c81"/>
    <w:pPr>
      <w:keepNext w:val="true"/>
      <w:spacing w:before="0" w:after="60"/>
      <w:outlineLvl w:val="4"/>
    </w:pPr>
    <w:rPr>
      <w:b/>
    </w:rPr>
  </w:style>
  <w:style w:type="paragraph" w:styleId="Heading6">
    <w:name w:val="Heading 6"/>
    <w:basedOn w:val="paragraph"/>
    <w:next w:val="Normal"/>
    <w:link w:val="Ttulo6Char"/>
    <w:uiPriority w:val="9"/>
    <w:unhideWhenUsed/>
    <w:qFormat/>
    <w:rsid w:val="00e15096"/>
    <w:pPr>
      <w:spacing w:lineRule="auto" w:line="360" w:beforeAutospacing="0" w:before="0" w:afterAutospacing="0" w:after="0"/>
      <w:jc w:val="both"/>
      <w:textAlignment w:val="baseline"/>
      <w:outlineLvl w:val="5"/>
    </w:pPr>
    <w:rPr>
      <w:rFonts w:eastAsia="Calibri"/>
      <w:b/>
      <w:bCs/>
      <w:sz w:val="22"/>
      <w:szCs w:val="22"/>
    </w:rPr>
  </w:style>
  <w:style w:type="paragraph" w:styleId="Heading7">
    <w:name w:val="Heading 7"/>
    <w:basedOn w:val="Normal"/>
    <w:next w:val="Normal"/>
    <w:link w:val="Ttulo7Char"/>
    <w:uiPriority w:val="99"/>
    <w:qFormat/>
    <w:rsid w:val="009b7678"/>
    <w:pPr>
      <w:keepNext w:val="true"/>
      <w:tabs>
        <w:tab w:val="clear" w:pos="720"/>
        <w:tab w:val="left" w:pos="284" w:leader="none"/>
        <w:tab w:val="left" w:pos="426" w:leader="none"/>
      </w:tabs>
      <w:suppressAutoHyphens w:val="true"/>
      <w:spacing w:lineRule="auto" w:line="240" w:before="240" w:after="0"/>
      <w:ind w:hanging="1296" w:left="1296"/>
      <w:outlineLvl w:val="6"/>
    </w:pPr>
    <w:rPr>
      <w:b/>
      <w:sz w:val="20"/>
      <w:szCs w:val="20"/>
      <w:lang w:eastAsia="zh-CN"/>
    </w:rPr>
  </w:style>
  <w:style w:type="paragraph" w:styleId="Heading8">
    <w:name w:val="Heading 8"/>
    <w:basedOn w:val="Normal"/>
    <w:next w:val="Normal"/>
    <w:link w:val="Ttulo8Char"/>
    <w:uiPriority w:val="99"/>
    <w:qFormat/>
    <w:rsid w:val="009b7678"/>
    <w:pPr>
      <w:keepNext w:val="true"/>
      <w:tabs>
        <w:tab w:val="clear" w:pos="720"/>
        <w:tab w:val="left" w:pos="284" w:leader="none"/>
        <w:tab w:val="left" w:pos="426" w:leader="none"/>
      </w:tabs>
      <w:spacing w:lineRule="auto" w:line="240" w:before="240" w:after="0"/>
      <w:ind w:hanging="1440" w:left="1440"/>
      <w:outlineLvl w:val="7"/>
    </w:pPr>
    <w:rPr>
      <w:b/>
      <w:i/>
      <w:sz w:val="20"/>
      <w:szCs w:val="20"/>
      <w:lang w:eastAsia="zh-CN"/>
    </w:rPr>
  </w:style>
  <w:style w:type="paragraph" w:styleId="Heading9">
    <w:name w:val="Heading 9"/>
    <w:basedOn w:val="Normal"/>
    <w:next w:val="Normal"/>
    <w:link w:val="Ttulo9Char"/>
    <w:uiPriority w:val="99"/>
    <w:qFormat/>
    <w:rsid w:val="009b7678"/>
    <w:pPr>
      <w:keepNext w:val="true"/>
      <w:spacing w:lineRule="auto" w:line="240"/>
      <w:ind w:hanging="1584" w:left="1584"/>
      <w:outlineLvl w:val="8"/>
    </w:pPr>
    <w:rPr>
      <w:rFonts w:ascii="Arial" w:hAnsi="Arial" w:cs="Arial"/>
      <w:b/>
      <w:i/>
      <w:sz w:val="20"/>
      <w:szCs w:val="20"/>
      <w:lang w:eastAsia="zh-CN"/>
    </w:rPr>
  </w:style>
  <w:style w:type="character" w:styleId="DefaultParagraphFont" w:default="1">
    <w:name w:val="Default Paragraph Font"/>
    <w:uiPriority w:val="1"/>
    <w:unhideWhenUsed/>
    <w:qFormat/>
    <w:rPr/>
  </w:style>
  <w:style w:type="character" w:styleId="Ttulo1Char" w:customStyle="1">
    <w:name w:val="Título 1 Char"/>
    <w:basedOn w:val="DefaultParagraphFont"/>
    <w:uiPriority w:val="9"/>
    <w:qFormat/>
    <w:rsid w:val="00140c81"/>
    <w:rPr>
      <w:rFonts w:eastAsia="ＭＳ ゴシック" w:eastAsiaTheme="majorEastAsia"/>
      <w:b/>
      <w:bCs/>
      <w:color w:val="000000"/>
    </w:rPr>
  </w:style>
  <w:style w:type="character" w:styleId="Ttulo2Char" w:customStyle="1">
    <w:name w:val="Título 2 Char"/>
    <w:basedOn w:val="DefaultParagraphFont"/>
    <w:uiPriority w:val="9"/>
    <w:qFormat/>
    <w:rsid w:val="00140c81"/>
    <w:rPr>
      <w:rFonts w:ascii="Times New Roman" w:hAnsi="Times New Roman" w:cs="Times New Roman"/>
      <w:b/>
      <w:bCs/>
      <w:caps/>
      <w:color w:val="000000"/>
    </w:rPr>
  </w:style>
  <w:style w:type="character" w:styleId="Ttulo3Char" w:customStyle="1">
    <w:name w:val="Título 3 Char"/>
    <w:basedOn w:val="DefaultParagraphFont"/>
    <w:qFormat/>
    <w:rsid w:val="00140c81"/>
    <w:rPr>
      <w:rFonts w:ascii="Cambria" w:hAnsi="Cambria" w:eastAsia="ＭＳ ゴシック" w:cs="Times New Roman" w:asciiTheme="majorHAnsi" w:cstheme="majorBidi" w:eastAsiaTheme="majorEastAsia" w:hAnsiTheme="majorHAnsi"/>
      <w:b/>
      <w:bCs/>
      <w:color w:themeColor="accent1" w:val="4F81BD"/>
    </w:rPr>
  </w:style>
  <w:style w:type="character" w:styleId="Ttulo4Char" w:customStyle="1">
    <w:name w:val="Título 4 Char"/>
    <w:basedOn w:val="DefaultParagraphFont"/>
    <w:qFormat/>
    <w:rsid w:val="00140c81"/>
    <w:rPr>
      <w:rFonts w:ascii="Cambria" w:hAnsi="Cambria" w:eastAsia="ＭＳ ゴシック" w:cs="Times New Roman" w:asciiTheme="majorHAnsi" w:cstheme="majorBidi" w:eastAsiaTheme="majorEastAsia" w:hAnsiTheme="majorHAnsi"/>
      <w:b/>
      <w:bCs/>
      <w:i/>
      <w:iCs/>
      <w:color w:themeColor="accent1" w:val="4F81BD"/>
    </w:rPr>
  </w:style>
  <w:style w:type="character" w:styleId="Ttulo5Char" w:customStyle="1">
    <w:name w:val="Título 5 Char"/>
    <w:basedOn w:val="DefaultParagraphFont"/>
    <w:uiPriority w:val="9"/>
    <w:qFormat/>
    <w:rsid w:val="00140c81"/>
    <w:rPr>
      <w:rFonts w:ascii="Times New Roman" w:hAnsi="Times New Roman" w:cs="Times New Roman"/>
      <w:b/>
      <w:color w:val="000000"/>
    </w:rPr>
  </w:style>
  <w:style w:type="character" w:styleId="Ttulo6Char" w:customStyle="1">
    <w:name w:val="Título 6 Char"/>
    <w:basedOn w:val="DefaultParagraphFont"/>
    <w:uiPriority w:val="9"/>
    <w:qFormat/>
    <w:rsid w:val="00e15096"/>
    <w:rPr>
      <w:rFonts w:eastAsia="Calibri"/>
      <w:b/>
      <w:bCs/>
    </w:rPr>
  </w:style>
  <w:style w:type="character" w:styleId="Ttulo7Char" w:customStyle="1">
    <w:name w:val="Título 7 Char"/>
    <w:basedOn w:val="DefaultParagraphFont"/>
    <w:uiPriority w:val="99"/>
    <w:qFormat/>
    <w:rsid w:val="00140c81"/>
    <w:rPr>
      <w:b/>
      <w:color w:val="000000"/>
      <w:sz w:val="20"/>
      <w:szCs w:val="20"/>
      <w:lang w:eastAsia="zh-CN"/>
    </w:rPr>
  </w:style>
  <w:style w:type="character" w:styleId="Ttulo8Char" w:customStyle="1">
    <w:name w:val="Título 8 Char"/>
    <w:basedOn w:val="DefaultParagraphFont"/>
    <w:uiPriority w:val="99"/>
    <w:qFormat/>
    <w:rsid w:val="00140c81"/>
    <w:rPr>
      <w:b/>
      <w:i/>
      <w:color w:val="000000"/>
      <w:sz w:val="20"/>
      <w:szCs w:val="20"/>
      <w:lang w:eastAsia="zh-CN"/>
    </w:rPr>
  </w:style>
  <w:style w:type="character" w:styleId="Ttulo9Char" w:customStyle="1">
    <w:name w:val="Título 9 Char"/>
    <w:basedOn w:val="DefaultParagraphFont"/>
    <w:uiPriority w:val="99"/>
    <w:qFormat/>
    <w:rsid w:val="00140c81"/>
    <w:rPr>
      <w:rFonts w:ascii="Arial" w:hAnsi="Arial" w:cs="Arial"/>
      <w:b/>
      <w:i/>
      <w:color w:val="000000"/>
      <w:sz w:val="20"/>
      <w:szCs w:val="20"/>
      <w:lang w:eastAsia="zh-CN"/>
    </w:rPr>
  </w:style>
  <w:style w:type="character" w:styleId="TtuloChar" w:customStyle="1">
    <w:name w:val="Título Char"/>
    <w:basedOn w:val="DefaultParagraphFont"/>
    <w:uiPriority w:val="10"/>
    <w:qFormat/>
    <w:rsid w:val="00140c81"/>
    <w:rPr>
      <w:rFonts w:ascii="Cambria" w:hAnsi="Cambria" w:eastAsia="ＭＳ ゴシック" w:cs="Times New Roman" w:asciiTheme="majorHAnsi" w:cstheme="majorBidi" w:eastAsiaTheme="majorEastAsia" w:hAnsiTheme="majorHAnsi"/>
      <w:color w:themeColor="text2" w:themeShade="bf" w:val="17365D"/>
      <w:spacing w:val="5"/>
      <w:kern w:val="2"/>
      <w:sz w:val="52"/>
      <w:szCs w:val="52"/>
    </w:rPr>
  </w:style>
  <w:style w:type="character" w:styleId="InternetLink">
    <w:name w:val="Internet Link"/>
    <w:basedOn w:val="DefaultParagraphFont"/>
    <w:uiPriority w:val="99"/>
    <w:unhideWhenUsed/>
    <w:qFormat/>
    <w:rsid w:val="00140c81"/>
    <w:rPr>
      <w:color w:val="0000FF"/>
      <w:u w:val="single"/>
    </w:rPr>
  </w:style>
  <w:style w:type="character" w:styleId="TextodebaloChar" w:customStyle="1">
    <w:name w:val="Texto de balão Char"/>
    <w:basedOn w:val="DefaultParagraphFont"/>
    <w:link w:val="BalloonText"/>
    <w:uiPriority w:val="99"/>
    <w:qFormat/>
    <w:rsid w:val="00140c81"/>
    <w:rPr>
      <w:rFonts w:ascii="Tahoma" w:hAnsi="Tahoma" w:cs="Tahoma"/>
      <w:color w:val="000000"/>
      <w:sz w:val="16"/>
      <w:szCs w:val="16"/>
    </w:rPr>
  </w:style>
  <w:style w:type="character" w:styleId="CabealhoChar" w:customStyle="1">
    <w:name w:val="Cabeçalho Char"/>
    <w:basedOn w:val="DefaultParagraphFont"/>
    <w:uiPriority w:val="99"/>
    <w:qFormat/>
    <w:rsid w:val="00140c81"/>
    <w:rPr>
      <w:rFonts w:ascii="Times New Roman" w:hAnsi="Times New Roman" w:cs="Times New Roman"/>
      <w:color w:val="000000"/>
    </w:rPr>
  </w:style>
  <w:style w:type="character" w:styleId="RodapChar" w:customStyle="1">
    <w:name w:val="Rodapé Char"/>
    <w:basedOn w:val="DefaultParagraphFont"/>
    <w:uiPriority w:val="99"/>
    <w:qFormat/>
    <w:rsid w:val="00140c81"/>
    <w:rPr>
      <w:color w:val="000000"/>
      <w:sz w:val="18"/>
      <w:szCs w:val="18"/>
    </w:rPr>
  </w:style>
  <w:style w:type="character" w:styleId="Emphasis">
    <w:name w:val="Emphasis"/>
    <w:basedOn w:val="DefaultParagraphFont"/>
    <w:uiPriority w:val="20"/>
    <w:qFormat/>
    <w:rsid w:val="00140c81"/>
    <w:rPr>
      <w:i/>
      <w:iCs/>
    </w:rPr>
  </w:style>
  <w:style w:type="character" w:styleId="MenoPendente1" w:customStyle="1">
    <w:name w:val="Menção Pendente1"/>
    <w:basedOn w:val="DefaultParagraphFont"/>
    <w:uiPriority w:val="99"/>
    <w:semiHidden/>
    <w:unhideWhenUsed/>
    <w:qFormat/>
    <w:rsid w:val="00140c81"/>
    <w:rPr>
      <w:color w:val="605E5C"/>
      <w:shd w:fill="E1DFDD" w:val="clear"/>
    </w:rPr>
  </w:style>
  <w:style w:type="character" w:styleId="SubttuloChar" w:customStyle="1">
    <w:name w:val="Subtítulo Char"/>
    <w:basedOn w:val="DefaultParagraphFont"/>
    <w:uiPriority w:val="11"/>
    <w:qFormat/>
    <w:rsid w:val="00140c81"/>
    <w:rPr>
      <w:rFonts w:ascii="Cambria" w:hAnsi="Cambria" w:eastAsia="ＭＳ ゴシック" w:cs="Times New Roman" w:asciiTheme="majorHAnsi" w:cstheme="majorBidi" w:eastAsiaTheme="majorEastAsia" w:hAnsiTheme="majorHAnsi"/>
      <w:i/>
      <w:iCs/>
      <w:color w:themeColor="accent1" w:val="4F81BD"/>
      <w:spacing w:val="15"/>
      <w:sz w:val="24"/>
      <w:szCs w:val="24"/>
    </w:rPr>
  </w:style>
  <w:style w:type="character" w:styleId="WW8Num7z0" w:customStyle="1">
    <w:name w:val="WW8Num7z0"/>
    <w:qFormat/>
    <w:rsid w:val="00140c81"/>
    <w:rPr>
      <w:sz w:val="24"/>
    </w:rPr>
  </w:style>
  <w:style w:type="character" w:styleId="WW8Num8z0" w:customStyle="1">
    <w:name w:val="WW8Num8z0"/>
    <w:qFormat/>
    <w:rsid w:val="00140c81"/>
    <w:rPr>
      <w:sz w:val="24"/>
    </w:rPr>
  </w:style>
  <w:style w:type="character" w:styleId="Fontepargpadro2" w:customStyle="1">
    <w:name w:val="Fonte parág. padrão2"/>
    <w:qFormat/>
    <w:rsid w:val="00140c81"/>
    <w:rPr/>
  </w:style>
  <w:style w:type="character" w:styleId="CharChar22" w:customStyle="1">
    <w:name w:val="Char Char22"/>
    <w:qFormat/>
    <w:rsid w:val="00140c81"/>
    <w:rPr>
      <w:rFonts w:ascii="Times New Roman" w:hAnsi="Times New Roman" w:eastAsia="Times New Roman" w:cs="Times New Roman"/>
      <w:b/>
      <w:bCs/>
      <w:sz w:val="24"/>
      <w:szCs w:val="24"/>
    </w:rPr>
  </w:style>
  <w:style w:type="character" w:styleId="CharChar21" w:customStyle="1">
    <w:name w:val="Char Char21"/>
    <w:qFormat/>
    <w:rsid w:val="00140c81"/>
    <w:rPr>
      <w:rFonts w:ascii="Times New Roman" w:hAnsi="Times New Roman" w:eastAsia="Times New Roman" w:cs="Times New Roman"/>
      <w:b/>
      <w:bCs/>
      <w:sz w:val="24"/>
      <w:szCs w:val="24"/>
    </w:rPr>
  </w:style>
  <w:style w:type="character" w:styleId="CharChar20" w:customStyle="1">
    <w:name w:val="Char Char20"/>
    <w:qFormat/>
    <w:rsid w:val="00140c81"/>
    <w:rPr>
      <w:rFonts w:ascii="Times New Roman" w:hAnsi="Times New Roman" w:eastAsia="Times New Roman" w:cs="Times New Roman"/>
      <w:b/>
      <w:bCs/>
      <w:sz w:val="24"/>
      <w:szCs w:val="24"/>
    </w:rPr>
  </w:style>
  <w:style w:type="character" w:styleId="CharChar19" w:customStyle="1">
    <w:name w:val="Char Char19"/>
    <w:qFormat/>
    <w:rsid w:val="00140c81"/>
    <w:rPr>
      <w:rFonts w:ascii="Times New Roman" w:hAnsi="Times New Roman" w:eastAsia="Times New Roman" w:cs="Times New Roman"/>
      <w:b/>
      <w:bCs/>
      <w:sz w:val="24"/>
      <w:szCs w:val="24"/>
    </w:rPr>
  </w:style>
  <w:style w:type="character" w:styleId="CharChar18" w:customStyle="1">
    <w:name w:val="Char Char18"/>
    <w:qFormat/>
    <w:rsid w:val="00140c81"/>
    <w:rPr>
      <w:rFonts w:ascii="Times New Roman" w:hAnsi="Times New Roman" w:eastAsia="Times New Roman" w:cs="Times New Roman"/>
      <w:b/>
      <w:color w:val="000000"/>
      <w:sz w:val="24"/>
      <w:szCs w:val="20"/>
    </w:rPr>
  </w:style>
  <w:style w:type="character" w:styleId="CharChar17" w:customStyle="1">
    <w:name w:val="Char Char17"/>
    <w:qFormat/>
    <w:rsid w:val="00140c81"/>
    <w:rPr>
      <w:rFonts w:ascii="Times New Roman" w:hAnsi="Times New Roman" w:eastAsia="Times New Roman" w:cs="Times New Roman"/>
      <w:b/>
      <w:i/>
      <w:color w:val="000000"/>
      <w:szCs w:val="20"/>
    </w:rPr>
  </w:style>
  <w:style w:type="character" w:styleId="CharChar16" w:customStyle="1">
    <w:name w:val="Char Char16"/>
    <w:qFormat/>
    <w:rsid w:val="00140c81"/>
    <w:rPr>
      <w:rFonts w:ascii="Times New Roman" w:hAnsi="Times New Roman" w:eastAsia="Times New Roman" w:cs="Times New Roman"/>
      <w:b/>
      <w:color w:val="000000"/>
      <w:sz w:val="20"/>
      <w:szCs w:val="20"/>
    </w:rPr>
  </w:style>
  <w:style w:type="character" w:styleId="CharChar15" w:customStyle="1">
    <w:name w:val="Char Char15"/>
    <w:qFormat/>
    <w:rsid w:val="00140c81"/>
    <w:rPr>
      <w:rFonts w:ascii="Times New Roman" w:hAnsi="Times New Roman" w:eastAsia="Times New Roman" w:cs="Times New Roman"/>
      <w:b/>
      <w:i/>
      <w:color w:val="000000"/>
      <w:sz w:val="20"/>
      <w:szCs w:val="20"/>
    </w:rPr>
  </w:style>
  <w:style w:type="character" w:styleId="CharChar14" w:customStyle="1">
    <w:name w:val="Char Char14"/>
    <w:qFormat/>
    <w:rsid w:val="00140c81"/>
    <w:rPr>
      <w:rFonts w:ascii="Arial" w:hAnsi="Arial" w:eastAsia="Times New Roman" w:cs="Times New Roman"/>
      <w:b/>
      <w:i/>
      <w:color w:val="000000"/>
      <w:sz w:val="20"/>
      <w:szCs w:val="20"/>
    </w:rPr>
  </w:style>
  <w:style w:type="character" w:styleId="CharChar13" w:customStyle="1">
    <w:name w:val="Char Char13"/>
    <w:qFormat/>
    <w:rsid w:val="00140c81"/>
    <w:rPr>
      <w:rFonts w:ascii="Times New Roman" w:hAnsi="Times New Roman" w:eastAsia="Times New Roman" w:cs="Times New Roman"/>
      <w:sz w:val="24"/>
      <w:szCs w:val="24"/>
    </w:rPr>
  </w:style>
  <w:style w:type="character" w:styleId="CharChar12" w:customStyle="1">
    <w:name w:val="Char Char12"/>
    <w:qFormat/>
    <w:rsid w:val="00140c81"/>
    <w:rPr>
      <w:rFonts w:ascii="Times New Roman" w:hAnsi="Times New Roman" w:eastAsia="Times New Roman" w:cs="Times New Roman"/>
      <w:sz w:val="24"/>
      <w:szCs w:val="24"/>
    </w:rPr>
  </w:style>
  <w:style w:type="character" w:styleId="PageNumber">
    <w:name w:val="Page Number"/>
    <w:basedOn w:val="Fontepargpadro2"/>
    <w:qFormat/>
    <w:rsid w:val="00140c81"/>
    <w:rPr/>
  </w:style>
  <w:style w:type="character" w:styleId="CharChar11" w:customStyle="1">
    <w:name w:val="Char Char11"/>
    <w:qFormat/>
    <w:rsid w:val="00140c81"/>
    <w:rPr>
      <w:rFonts w:ascii="Times New Roman" w:hAnsi="Times New Roman" w:eastAsia="Times New Roman" w:cs="Times New Roman"/>
      <w:sz w:val="24"/>
      <w:szCs w:val="20"/>
    </w:rPr>
  </w:style>
  <w:style w:type="character" w:styleId="CharChar10" w:customStyle="1">
    <w:name w:val="Char Char10"/>
    <w:qFormat/>
    <w:rsid w:val="00140c81"/>
    <w:rPr>
      <w:rFonts w:ascii="Times New Roman" w:hAnsi="Times New Roman" w:eastAsia="Times New Roman" w:cs="Times New Roman"/>
      <w:sz w:val="24"/>
      <w:szCs w:val="24"/>
    </w:rPr>
  </w:style>
  <w:style w:type="character" w:styleId="CharChar9" w:customStyle="1">
    <w:name w:val="Char Char9"/>
    <w:qFormat/>
    <w:rsid w:val="00140c81"/>
    <w:rPr>
      <w:rFonts w:ascii="Times New Roman" w:hAnsi="Times New Roman" w:eastAsia="Times New Roman" w:cs="Times New Roman"/>
      <w:color w:val="FF0000"/>
      <w:sz w:val="24"/>
      <w:szCs w:val="24"/>
    </w:rPr>
  </w:style>
  <w:style w:type="character" w:styleId="CharChar8" w:customStyle="1">
    <w:name w:val="Char Char8"/>
    <w:qFormat/>
    <w:rsid w:val="00140c81"/>
    <w:rPr>
      <w:rFonts w:ascii="Times New Roman" w:hAnsi="Times New Roman" w:eastAsia="Times New Roman" w:cs="Times New Roman"/>
      <w:sz w:val="24"/>
      <w:szCs w:val="24"/>
    </w:rPr>
  </w:style>
  <w:style w:type="character" w:styleId="CharChar7" w:customStyle="1">
    <w:name w:val="Char Char7"/>
    <w:qFormat/>
    <w:rsid w:val="00140c81"/>
    <w:rPr>
      <w:rFonts w:ascii="Times New Roman" w:hAnsi="Times New Roman" w:eastAsia="Times New Roman" w:cs="Times New Roman"/>
      <w:color w:val="000000"/>
      <w:sz w:val="24"/>
      <w:szCs w:val="20"/>
    </w:rPr>
  </w:style>
  <w:style w:type="character" w:styleId="Hyperlink" w:customStyle="1">
    <w:name w:val="Hyperlink"/>
    <w:rsid w:val="00140c81"/>
    <w:rPr>
      <w:color w:val="0000FF"/>
      <w:u w:val="single"/>
    </w:rPr>
  </w:style>
  <w:style w:type="character" w:styleId="CharChar6" w:customStyle="1">
    <w:name w:val="Char Char6"/>
    <w:qFormat/>
    <w:rsid w:val="00140c81"/>
    <w:rPr>
      <w:rFonts w:ascii="Tahoma" w:hAnsi="Tahoma" w:eastAsia="Times New Roman" w:cs="Tahoma"/>
      <w:i/>
      <w:color w:val="000000"/>
      <w:sz w:val="24"/>
      <w:szCs w:val="20"/>
      <w:shd w:fill="000080" w:val="clear"/>
    </w:rPr>
  </w:style>
  <w:style w:type="character" w:styleId="CharChar5" w:customStyle="1">
    <w:name w:val="Char Char5"/>
    <w:qFormat/>
    <w:rsid w:val="00140c81"/>
    <w:rPr>
      <w:rFonts w:ascii="Times New Roman" w:hAnsi="Times New Roman" w:eastAsia="Times New Roman" w:cs="Times New Roman"/>
      <w:sz w:val="24"/>
      <w:szCs w:val="24"/>
    </w:rPr>
  </w:style>
  <w:style w:type="character" w:styleId="CharChar4" w:customStyle="1">
    <w:name w:val="Char Char4"/>
    <w:qFormat/>
    <w:rsid w:val="00140c81"/>
    <w:rPr>
      <w:rFonts w:ascii="Times New Roman" w:hAnsi="Times New Roman" w:eastAsia="Times New Roman" w:cs="Times New Roman"/>
      <w:sz w:val="20"/>
      <w:szCs w:val="20"/>
    </w:rPr>
  </w:style>
  <w:style w:type="character" w:styleId="FollowedHyperlink">
    <w:name w:val="FollowedHyperlink"/>
    <w:rsid w:val="009b7678"/>
    <w:rPr>
      <w:color w:themeColor="followedHyperlink" w:val="800080"/>
      <w:u w:val="single"/>
    </w:rPr>
  </w:style>
  <w:style w:type="character" w:styleId="CharChar3" w:customStyle="1">
    <w:name w:val="Char Char3"/>
    <w:qFormat/>
    <w:rsid w:val="00140c81"/>
    <w:rPr>
      <w:rFonts w:ascii="Times New Roman" w:hAnsi="Times New Roman" w:eastAsia="Times New Roman" w:cs="Times New Roman"/>
      <w:sz w:val="20"/>
      <w:szCs w:val="20"/>
    </w:rPr>
  </w:style>
  <w:style w:type="character" w:styleId="CharChar2" w:customStyle="1">
    <w:name w:val="Char Char2"/>
    <w:qFormat/>
    <w:rsid w:val="00140c81"/>
    <w:rPr>
      <w:rFonts w:ascii="Arial" w:hAnsi="Arial" w:eastAsia="Times New Roman" w:cs="Arial"/>
      <w:sz w:val="24"/>
      <w:szCs w:val="20"/>
    </w:rPr>
  </w:style>
  <w:style w:type="character" w:styleId="CharChar1" w:customStyle="1">
    <w:name w:val="Char Char1"/>
    <w:qFormat/>
    <w:rsid w:val="00140c81"/>
    <w:rPr>
      <w:rFonts w:ascii="Tahoma" w:hAnsi="Tahoma" w:eastAsia="Times New Roman" w:cs="Tahoma"/>
      <w:sz w:val="16"/>
      <w:szCs w:val="16"/>
    </w:rPr>
  </w:style>
  <w:style w:type="character" w:styleId="style41" w:customStyle="1">
    <w:name w:val="style41"/>
    <w:qFormat/>
    <w:rsid w:val="00140c81"/>
    <w:rPr>
      <w:b/>
      <w:bCs/>
      <w:sz w:val="20"/>
      <w:szCs w:val="20"/>
    </w:rPr>
  </w:style>
  <w:style w:type="character" w:styleId="Refdecomentrio1" w:customStyle="1">
    <w:name w:val="Ref. de comentário1"/>
    <w:qFormat/>
    <w:rsid w:val="00140c81"/>
    <w:rPr>
      <w:sz w:val="16"/>
      <w:szCs w:val="16"/>
    </w:rPr>
  </w:style>
  <w:style w:type="character" w:styleId="CharChar" w:customStyle="1">
    <w:name w:val="Char Char"/>
    <w:qFormat/>
    <w:rsid w:val="00140c81"/>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140c81"/>
    <w:rPr/>
  </w:style>
  <w:style w:type="character" w:styleId="CorpodetextoChar" w:customStyle="1">
    <w:name w:val="Corpo de texto Char"/>
    <w:basedOn w:val="DefaultParagraphFont"/>
    <w:uiPriority w:val="99"/>
    <w:qFormat/>
    <w:rsid w:val="00140c81"/>
    <w:rPr>
      <w:sz w:val="24"/>
      <w:szCs w:val="24"/>
      <w:lang w:eastAsia="zh-CN"/>
    </w:rPr>
  </w:style>
  <w:style w:type="character" w:styleId="CorpodetextoChar1" w:customStyle="1">
    <w:name w:val="Corpo de texto Char1"/>
    <w:basedOn w:val="DefaultParagraphFont"/>
    <w:uiPriority w:val="99"/>
    <w:semiHidden/>
    <w:qFormat/>
    <w:rsid w:val="00140c81"/>
    <w:rPr>
      <w:rFonts w:ascii="Times New Roman" w:hAnsi="Times New Roman" w:cs="Times New Roman"/>
      <w:color w:val="000000"/>
    </w:rPr>
  </w:style>
  <w:style w:type="character" w:styleId="RecuodecorpodetextoChar" w:customStyle="1">
    <w:name w:val="Recuo de corpo de texto Char"/>
    <w:basedOn w:val="DefaultParagraphFont"/>
    <w:link w:val="BodyTextIndented"/>
    <w:uiPriority w:val="99"/>
    <w:qFormat/>
    <w:rsid w:val="00140c81"/>
    <w:rPr>
      <w:sz w:val="24"/>
      <w:szCs w:val="20"/>
      <w:lang w:eastAsia="zh-CN"/>
    </w:rPr>
  </w:style>
  <w:style w:type="character" w:styleId="RecuodecorpodetextoChar1" w:customStyle="1">
    <w:name w:val="Recuo de corpo de texto Char1"/>
    <w:basedOn w:val="DefaultParagraphFont"/>
    <w:uiPriority w:val="99"/>
    <w:semiHidden/>
    <w:qFormat/>
    <w:rsid w:val="00140c81"/>
    <w:rPr>
      <w:rFonts w:ascii="Times New Roman" w:hAnsi="Times New Roman" w:cs="Times New Roman"/>
      <w:color w:val="000000"/>
    </w:rPr>
  </w:style>
  <w:style w:type="character" w:styleId="TextodenotaderodapChar" w:customStyle="1">
    <w:name w:val="Texto de nota de rodapé Char"/>
    <w:basedOn w:val="DefaultParagraphFont"/>
    <w:uiPriority w:val="99"/>
    <w:qFormat/>
    <w:rsid w:val="00140c81"/>
    <w:rPr>
      <w:szCs w:val="20"/>
      <w:lang w:eastAsia="zh-CN"/>
    </w:rPr>
  </w:style>
  <w:style w:type="character" w:styleId="TextodenotaderodapChar1" w:customStyle="1">
    <w:name w:val="Texto de nota de rodapé Char1"/>
    <w:basedOn w:val="DefaultParagraphFont"/>
    <w:uiPriority w:val="99"/>
    <w:semiHidden/>
    <w:qFormat/>
    <w:rsid w:val="00140c81"/>
    <w:rPr>
      <w:rFonts w:ascii="Times New Roman" w:hAnsi="Times New Roman" w:cs="Times New Roman"/>
      <w:color w:val="000000"/>
      <w:sz w:val="20"/>
      <w:szCs w:val="20"/>
    </w:rPr>
  </w:style>
  <w:style w:type="character" w:styleId="TextodecomentrioChar" w:customStyle="1">
    <w:name w:val="Texto de comentário Char"/>
    <w:basedOn w:val="DefaultParagraphFont"/>
    <w:uiPriority w:val="99"/>
    <w:qFormat/>
    <w:rsid w:val="00140c81"/>
    <w:rPr>
      <w:szCs w:val="20"/>
      <w:lang w:eastAsia="zh-CN"/>
    </w:rPr>
  </w:style>
  <w:style w:type="character" w:styleId="TextodecomentrioChar1" w:customStyle="1">
    <w:name w:val="Texto de comentário Char1"/>
    <w:basedOn w:val="DefaultParagraphFont"/>
    <w:uiPriority w:val="99"/>
    <w:semiHidden/>
    <w:qFormat/>
    <w:rsid w:val="00140c81"/>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140c81"/>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140c81"/>
    <w:rPr>
      <w:rFonts w:ascii="Times New Roman" w:hAnsi="Times New Roman" w:cs="Times New Roman"/>
      <w:b/>
      <w:bCs/>
      <w:color w:val="000000"/>
      <w:sz w:val="20"/>
      <w:szCs w:val="20"/>
    </w:rPr>
  </w:style>
  <w:style w:type="character" w:styleId="Strong">
    <w:name w:val="Strong"/>
    <w:uiPriority w:val="22"/>
    <w:qFormat/>
    <w:rsid w:val="00140c81"/>
    <w:rPr>
      <w:b/>
      <w:bCs/>
    </w:rPr>
  </w:style>
  <w:style w:type="character" w:styleId="annotationreference">
    <w:name w:val="annotation reference"/>
    <w:uiPriority w:val="99"/>
    <w:unhideWhenUsed/>
    <w:qFormat/>
    <w:rsid w:val="00140c81"/>
    <w:rPr>
      <w:sz w:val="16"/>
      <w:szCs w:val="16"/>
    </w:rPr>
  </w:style>
  <w:style w:type="character" w:styleId="PlaceholderText">
    <w:name w:val="Placeholder Text"/>
    <w:uiPriority w:val="99"/>
    <w:semiHidden/>
    <w:qFormat/>
    <w:rsid w:val="00140c81"/>
    <w:rPr>
      <w:color w:val="808080"/>
    </w:rPr>
  </w:style>
  <w:style w:type="character" w:styleId="PadroChar" w:customStyle="1">
    <w:name w:val="Padrão Char"/>
    <w:link w:val="Padro"/>
    <w:qFormat/>
    <w:rsid w:val="00140c81"/>
    <w:rPr>
      <w:rFonts w:ascii="Calibri" w:hAnsi="Calibri" w:eastAsia="Calibri"/>
      <w:color w:val="00000A"/>
    </w:rPr>
  </w:style>
  <w:style w:type="character" w:styleId="CabealhoChar1" w:customStyle="1">
    <w:name w:val="Cabeçalho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140c81"/>
    <w:rPr>
      <w:rFonts w:ascii="Tahoma" w:hAnsi="Tahoma" w:eastAsia="Times New Roman" w:cs="Tahoma"/>
      <w:sz w:val="16"/>
      <w:szCs w:val="16"/>
      <w:lang w:eastAsia="zh-CN"/>
    </w:rPr>
  </w:style>
  <w:style w:type="character" w:styleId="font-familyverdana" w:customStyle="1">
    <w:name w:val="font-family:verdana"/>
    <w:basedOn w:val="DefaultParagraphFont"/>
    <w:qFormat/>
    <w:rsid w:val="00140c81"/>
    <w:rPr/>
  </w:style>
  <w:style w:type="character" w:styleId="Corpodetexto2Char" w:customStyle="1">
    <w:name w:val="Corpo de texto 2 Char"/>
    <w:basedOn w:val="DefaultParagraphFont"/>
    <w:link w:val="BodyText2"/>
    <w:uiPriority w:val="99"/>
    <w:semiHidden/>
    <w:qFormat/>
    <w:rsid w:val="00140c81"/>
    <w:rPr>
      <w:b/>
      <w:bCs/>
      <w:sz w:val="24"/>
      <w:szCs w:val="20"/>
    </w:rPr>
  </w:style>
  <w:style w:type="character" w:styleId="Recuodecorpodetexto2Char" w:customStyle="1">
    <w:name w:val="Recuo de corpo de texto 2 Char"/>
    <w:basedOn w:val="DefaultParagraphFont"/>
    <w:link w:val="BodyTextIndent2"/>
    <w:uiPriority w:val="99"/>
    <w:semiHidden/>
    <w:qFormat/>
    <w:rsid w:val="00140c81"/>
    <w:rPr>
      <w:sz w:val="24"/>
      <w:szCs w:val="20"/>
    </w:rPr>
  </w:style>
  <w:style w:type="character" w:styleId="Recuodecorpodetexto3Char" w:customStyle="1">
    <w:name w:val="Recuo de corpo de texto 3 Char"/>
    <w:basedOn w:val="DefaultParagraphFont"/>
    <w:link w:val="BodyTextIndent3"/>
    <w:uiPriority w:val="99"/>
    <w:semiHidden/>
    <w:qFormat/>
    <w:rsid w:val="00140c81"/>
    <w:rPr>
      <w:sz w:val="24"/>
      <w:szCs w:val="20"/>
    </w:rPr>
  </w:style>
  <w:style w:type="character" w:styleId="MapadoDocumentoChar" w:customStyle="1">
    <w:name w:val="Mapa do Documento Char"/>
    <w:basedOn w:val="DefaultParagraphFont"/>
    <w:link w:val="DocumentMap"/>
    <w:uiPriority w:val="99"/>
    <w:semiHidden/>
    <w:qFormat/>
    <w:rsid w:val="00140c81"/>
    <w:rPr>
      <w:rFonts w:ascii="Tahoma" w:hAnsi="Tahoma" w:eastAsia="Times New Roman" w:cs="Times New Roman"/>
      <w:sz w:val="20"/>
      <w:szCs w:val="20"/>
      <w:shd w:fill="000080" w:val="clear"/>
    </w:rPr>
  </w:style>
  <w:style w:type="character" w:styleId="CitaoChar" w:customStyle="1">
    <w:name w:val="Citação Char"/>
    <w:basedOn w:val="DefaultParagraphFont"/>
    <w:link w:val="Quote"/>
    <w:uiPriority w:val="99"/>
    <w:qFormat/>
    <w:rsid w:val="00140c81"/>
    <w:rPr>
      <w:rFonts w:ascii="Ecofont_Spranq_eco_Sans" w:hAnsi="Ecofont_Spranq_eco_Sans" w:eastAsia="Calibri" w:cs="Tahoma"/>
      <w:i/>
      <w:iCs/>
      <w:color w:val="000000"/>
      <w:sz w:val="20"/>
      <w:szCs w:val="24"/>
      <w:shd w:fill="FFFFCC" w:val="clear"/>
      <w:lang w:eastAsia="en-US"/>
    </w:rPr>
  </w:style>
  <w:style w:type="character" w:styleId="Nivel2Char" w:customStyle="1">
    <w:name w:val="Nivel 2 Char"/>
    <w:basedOn w:val="DefaultParagraphFont"/>
    <w:link w:val="Nivel2"/>
    <w:uiPriority w:val="99"/>
    <w:qFormat/>
    <w:locked/>
    <w:rsid w:val="00140c81"/>
    <w:rPr>
      <w:rFonts w:ascii="Ecofont_Spranq_eco_Sans" w:hAnsi="Ecofont_Spranq_eco_Sans" w:eastAsia="Arial Unicode MS"/>
      <w:sz w:val="20"/>
      <w:szCs w:val="20"/>
    </w:rPr>
  </w:style>
  <w:style w:type="character" w:styleId="Nivel4Char" w:customStyle="1">
    <w:name w:val="Nivel 4 Char"/>
    <w:basedOn w:val="DefaultParagraphFont"/>
    <w:link w:val="Nivel4"/>
    <w:qFormat/>
    <w:locked/>
    <w:rsid w:val="00140c81"/>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140c81"/>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140c81"/>
    <w:rPr/>
  </w:style>
  <w:style w:type="character" w:styleId="reference" w:customStyle="1">
    <w:name w:val="reference"/>
    <w:qFormat/>
    <w:rsid w:val="00140c81"/>
    <w:rPr>
      <w:b w:val="false"/>
      <w:bCs w:val="false"/>
      <w:caps w:val="false"/>
      <w:smallCaps w:val="false"/>
      <w:color w:val="FF0000"/>
      <w:sz w:val="19"/>
      <w:szCs w:val="19"/>
    </w:rPr>
  </w:style>
  <w:style w:type="character" w:styleId="identificador6" w:customStyle="1">
    <w:name w:val="identificador6"/>
    <w:basedOn w:val="DefaultParagraphFont"/>
    <w:qFormat/>
    <w:rsid w:val="00140c81"/>
    <w:rPr/>
  </w:style>
  <w:style w:type="character" w:styleId="WW-CaracteresdeNotadeRodap121" w:customStyle="1">
    <w:name w:val="WW-Caracteres de Nota de Rodapé121"/>
    <w:qFormat/>
    <w:rsid w:val="00140c81"/>
    <w:rPr>
      <w:vertAlign w:val="superscript"/>
    </w:rPr>
  </w:style>
  <w:style w:type="character" w:styleId="Manoel" w:customStyle="1">
    <w:name w:val="Manoel"/>
    <w:qFormat/>
    <w:rsid w:val="00140c81"/>
    <w:rPr>
      <w:rFonts w:ascii="Arial" w:hAnsi="Arial" w:cs="Arial"/>
      <w:color w:val="7030A0"/>
      <w:sz w:val="20"/>
    </w:rPr>
  </w:style>
  <w:style w:type="character" w:styleId="WW8Num1z1" w:customStyle="1">
    <w:name w:val="WW8Num1z1"/>
    <w:qFormat/>
    <w:rsid w:val="00140c81"/>
    <w:rPr>
      <w:rFonts w:ascii="Courier New" w:hAnsi="Courier New" w:cs="Courier New"/>
    </w:rPr>
  </w:style>
  <w:style w:type="character" w:styleId="nfase1" w:customStyle="1">
    <w:name w:val="Ênfase1"/>
    <w:uiPriority w:val="20"/>
    <w:qFormat/>
    <w:rsid w:val="00140c81"/>
    <w:rPr>
      <w:i/>
      <w:iCs/>
    </w:rPr>
  </w:style>
  <w:style w:type="character" w:styleId="highlight" w:customStyle="1">
    <w:name w:val="highlight"/>
    <w:qFormat/>
    <w:rsid w:val="00140c81"/>
    <w:rPr/>
  </w:style>
  <w:style w:type="character" w:styleId="Fontepargpadro7" w:customStyle="1">
    <w:name w:val="Fonte parág. padrão7"/>
    <w:qFormat/>
    <w:rsid w:val="00140c81"/>
    <w:rPr/>
  </w:style>
  <w:style w:type="character" w:styleId="Meno1" w:customStyle="1">
    <w:name w:val="Menção1"/>
    <w:basedOn w:val="DefaultParagraphFont"/>
    <w:uiPriority w:val="99"/>
    <w:unhideWhenUsed/>
    <w:qFormat/>
    <w:rsid w:val="00122c59"/>
    <w:rPr>
      <w:color w:val="2B579A"/>
      <w:shd w:fill="E1DFDD" w:val="clear"/>
    </w:rPr>
  </w:style>
  <w:style w:type="character" w:styleId="MenoPendente2" w:customStyle="1">
    <w:name w:val="Menção Pendente2"/>
    <w:basedOn w:val="DefaultParagraphFont"/>
    <w:uiPriority w:val="99"/>
    <w:semiHidden/>
    <w:unhideWhenUsed/>
    <w:qFormat/>
    <w:rsid w:val="00122c59"/>
    <w:rPr>
      <w:color w:val="605E5C"/>
      <w:shd w:fill="E1DFDD" w:val="clear"/>
    </w:rPr>
  </w:style>
  <w:style w:type="character" w:styleId="SubttuloChar1" w:customStyle="1">
    <w:name w:val="Subtítulo Char1"/>
    <w:basedOn w:val="DefaultParagraphFont"/>
    <w:uiPriority w:val="11"/>
    <w:qFormat/>
    <w:rsid w:val="00122c59"/>
    <w:rPr>
      <w:rFonts w:eastAsia="ＭＳ 明朝" w:eastAsiaTheme="minorEastAsia"/>
      <w:color w:themeColor="text1" w:themeTint="a5" w:val="5A5A5A"/>
      <w:spacing w:val="15"/>
      <w:sz w:val="22"/>
    </w:rPr>
  </w:style>
  <w:style w:type="character" w:styleId="RecuodecorpodetextoChar2" w:customStyle="1">
    <w:name w:val="Recuo de corpo de texto Char2"/>
    <w:basedOn w:val="DefaultParagraphFont"/>
    <w:uiPriority w:val="99"/>
    <w:semiHidden/>
    <w:qFormat/>
    <w:rsid w:val="00122c59"/>
    <w:rPr>
      <w:rFonts w:ascii="Times New Roman" w:hAnsi="Times New Roman" w:eastAsia="Calibri" w:cs="Times New Roman"/>
      <w:color w:val="000000"/>
      <w:sz w:val="22"/>
    </w:rPr>
  </w:style>
  <w:style w:type="character" w:styleId="TextodenotaderodapChar2" w:customStyle="1">
    <w:name w:val="Texto de nota de rodapé Char2"/>
    <w:basedOn w:val="DefaultParagraphFont"/>
    <w:uiPriority w:val="99"/>
    <w:semiHidden/>
    <w:qFormat/>
    <w:rsid w:val="00122c59"/>
    <w:rPr>
      <w:rFonts w:ascii="Times New Roman" w:hAnsi="Times New Roman" w:eastAsia="Calibri" w:cs="Times New Roman"/>
      <w:color w:val="000000"/>
      <w:szCs w:val="20"/>
    </w:rPr>
  </w:style>
  <w:style w:type="character" w:styleId="Corpodetexto2Char1" w:customStyle="1">
    <w:name w:val="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2Char1" w:customStyle="1">
    <w:name w:val="Recuo de 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3Char1" w:customStyle="1">
    <w:name w:val="Recuo de corpo de texto 3 Char1"/>
    <w:basedOn w:val="DefaultParagraphFont"/>
    <w:uiPriority w:val="99"/>
    <w:semiHidden/>
    <w:qFormat/>
    <w:rsid w:val="00122c59"/>
    <w:rPr>
      <w:rFonts w:ascii="Times New Roman" w:hAnsi="Times New Roman" w:eastAsia="Calibri" w:cs="Times New Roman"/>
      <w:color w:val="000000"/>
      <w:sz w:val="16"/>
      <w:szCs w:val="16"/>
    </w:rPr>
  </w:style>
  <w:style w:type="character" w:styleId="MapadoDocumentoChar1" w:customStyle="1">
    <w:name w:val="Mapa do Documento Char1"/>
    <w:basedOn w:val="DefaultParagraphFont"/>
    <w:uiPriority w:val="99"/>
    <w:semiHidden/>
    <w:qFormat/>
    <w:rsid w:val="00122c59"/>
    <w:rPr>
      <w:rFonts w:ascii="Segoe UI" w:hAnsi="Segoe UI" w:eastAsia="Calibri" w:cs="Segoe UI"/>
      <w:color w:val="000000"/>
      <w:sz w:val="16"/>
      <w:szCs w:val="16"/>
    </w:rPr>
  </w:style>
  <w:style w:type="character" w:styleId="CitaoChar1" w:customStyle="1">
    <w:name w:val="Citação Char1"/>
    <w:basedOn w:val="DefaultParagraphFont"/>
    <w:uiPriority w:val="29"/>
    <w:qFormat/>
    <w:rsid w:val="00122c59"/>
    <w:rPr>
      <w:rFonts w:ascii="Times New Roman" w:hAnsi="Times New Roman" w:eastAsia="Calibri" w:cs="Times New Roman"/>
      <w:i/>
      <w:iCs/>
      <w:color w:themeColor="text1" w:themeTint="bf" w:val="404040"/>
      <w:sz w:val="22"/>
    </w:rPr>
  </w:style>
  <w:style w:type="character" w:styleId="MenoPendente20" w:customStyle="1">
    <w:name w:val="Menção Pendente20"/>
    <w:basedOn w:val="DefaultParagraphFont"/>
    <w:uiPriority w:val="99"/>
    <w:semiHidden/>
    <w:unhideWhenUsed/>
    <w:qFormat/>
    <w:rsid w:val="00122c59"/>
    <w:rPr>
      <w:color w:val="605E5C"/>
      <w:shd w:fill="E1DFDD" w:val="clear"/>
    </w:rPr>
  </w:style>
  <w:style w:type="character" w:styleId="MenoPendente3" w:customStyle="1">
    <w:name w:val="Menção Pendente3"/>
    <w:basedOn w:val="DefaultParagraphFont"/>
    <w:uiPriority w:val="99"/>
    <w:semiHidden/>
    <w:unhideWhenUsed/>
    <w:qFormat/>
    <w:rsid w:val="00122c59"/>
    <w:rPr>
      <w:color w:val="605E5C"/>
      <w:shd w:fill="E1DFDD" w:val="clear"/>
    </w:rPr>
  </w:style>
  <w:style w:type="character" w:styleId="normaltextrun" w:customStyle="1">
    <w:name w:val="normaltextrun"/>
    <w:basedOn w:val="DefaultParagraphFont"/>
    <w:qFormat/>
    <w:rsid w:val="00122c59"/>
    <w:rPr/>
  </w:style>
  <w:style w:type="character" w:styleId="eop" w:customStyle="1">
    <w:name w:val="eop"/>
    <w:basedOn w:val="DefaultParagraphFont"/>
    <w:qFormat/>
    <w:rsid w:val="00122c59"/>
    <w:rPr/>
  </w:style>
  <w:style w:type="character" w:styleId="findhit" w:customStyle="1">
    <w:name w:val="findhit"/>
    <w:basedOn w:val="DefaultParagraphFont"/>
    <w:qFormat/>
    <w:rsid w:val="00122c59"/>
    <w:rPr/>
  </w:style>
  <w:style w:type="character" w:styleId="Meno2" w:customStyle="1">
    <w:name w:val="Menção2"/>
    <w:basedOn w:val="DefaultParagraphFont"/>
    <w:uiPriority w:val="99"/>
    <w:unhideWhenUsed/>
    <w:qFormat/>
    <w:rsid w:val="009156cb"/>
    <w:rPr>
      <w:color w:val="2B579A"/>
      <w:shd w:fill="E1DFDD" w:val="clear"/>
    </w:rPr>
  </w:style>
  <w:style w:type="character" w:styleId="cf01" w:customStyle="1">
    <w:name w:val="cf01"/>
    <w:basedOn w:val="DefaultParagraphFont"/>
    <w:qFormat/>
    <w:rsid w:val="006f2b0c"/>
    <w:rPr>
      <w:rFonts w:ascii="Segoe UI" w:hAnsi="Segoe UI" w:cs="Segoe UI"/>
      <w:sz w:val="18"/>
      <w:szCs w:val="18"/>
    </w:rPr>
  </w:style>
  <w:style w:type="character" w:styleId="MenoPendente4" w:customStyle="1">
    <w:name w:val="Menção Pendente4"/>
    <w:basedOn w:val="DefaultParagraphFont"/>
    <w:uiPriority w:val="99"/>
    <w:semiHidden/>
    <w:unhideWhenUsed/>
    <w:qFormat/>
    <w:rsid w:val="00c03996"/>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rsid w:val="009b7678"/>
    <w:pPr>
      <w:widowControl w:val="false"/>
      <w:spacing w:lineRule="auto" w:line="240"/>
    </w:pPr>
    <w:rPr>
      <w:color w:val="auto"/>
      <w:sz w:val="24"/>
      <w:szCs w:val="24"/>
      <w:lang w:eastAsia="zh-CN"/>
    </w:rPr>
  </w:style>
  <w:style w:type="paragraph" w:styleId="List">
    <w:name w:val="List"/>
    <w:basedOn w:val="BodyText"/>
    <w:uiPriority w:val="99"/>
    <w:qFormat/>
    <w:rsid w:val="00140c81"/>
    <w:pPr/>
    <w:rPr>
      <w:rFonts w:cs="Mangal"/>
    </w:rPr>
  </w:style>
  <w:style w:type="paragraph" w:styleId="Caption">
    <w:name w:val="Caption"/>
    <w:basedOn w:val="Normal"/>
    <w:next w:val="Normal"/>
    <w:uiPriority w:val="99"/>
    <w:qFormat/>
    <w:rsid w:val="009b7678"/>
    <w:pPr>
      <w:widowControl w:val="false"/>
      <w:tabs>
        <w:tab w:val="clear" w:pos="720"/>
        <w:tab w:val="left" w:pos="142" w:leader="none"/>
      </w:tabs>
      <w:spacing w:lineRule="auto" w:line="240"/>
      <w:jc w:val="center"/>
    </w:pPr>
    <w:rPr>
      <w:b/>
      <w:bCs/>
      <w:sz w:val="20"/>
      <w:szCs w:val="20"/>
      <w:lang w:eastAsia="zh-CN"/>
    </w:rPr>
  </w:style>
  <w:style w:type="paragraph" w:styleId="ndice" w:customStyle="1">
    <w:name w:val="Índice"/>
    <w:basedOn w:val="Normal"/>
    <w:uiPriority w:val="99"/>
    <w:qFormat/>
    <w:rsid w:val="009b7678"/>
    <w:pPr>
      <w:suppressLineNumbers/>
      <w:spacing w:lineRule="auto" w:line="240"/>
    </w:pPr>
    <w:rPr>
      <w:rFonts w:cs="Mangal"/>
      <w:sz w:val="24"/>
      <w:szCs w:val="24"/>
      <w:lang w:eastAsia="zh-CN"/>
    </w:rPr>
  </w:style>
  <w:style w:type="paragraph" w:styleId="Title">
    <w:name w:val="Title"/>
    <w:basedOn w:val="Normal"/>
    <w:next w:val="Normal"/>
    <w:link w:val="TtuloChar"/>
    <w:uiPriority w:val="10"/>
    <w:qFormat/>
    <w:rsid w:val="009b7678"/>
    <w:pPr>
      <w:pBdr>
        <w:bottom w:val="single" w:sz="8" w:space="4" w:color="4F81BD"/>
      </w:pBdr>
      <w:spacing w:lineRule="auto" w:line="240" w:before="0" w:after="300"/>
      <w:contextualSpacing/>
    </w:pPr>
    <w:rPr>
      <w:rFonts w:ascii="Cambria" w:hAnsi="Cambria" w:eastAsia="ＭＳ ゴシック" w:cs="Times New Roman" w:asciiTheme="majorHAnsi" w:cstheme="majorBidi" w:eastAsiaTheme="majorEastAsia" w:hAnsiTheme="majorHAnsi"/>
      <w:color w:themeColor="text2" w:themeShade="bf" w:val="17365D"/>
      <w:spacing w:val="5"/>
      <w:kern w:val="2"/>
      <w:sz w:val="52"/>
      <w:szCs w:val="52"/>
    </w:rPr>
  </w:style>
  <w:style w:type="paragraph" w:styleId="Corpodetextorecuado" w:customStyle="1">
    <w:name w:val="Corpo de texto recuado"/>
    <w:basedOn w:val="Normal"/>
    <w:qFormat/>
    <w:rsid w:val="00140c81"/>
    <w:pPr>
      <w:spacing w:lineRule="atLeast" w:line="100"/>
      <w:ind w:firstLine="4111"/>
    </w:pPr>
    <w:rPr>
      <w:rFonts w:ascii="Arial" w:hAnsi="Arial" w:cs="Arial"/>
    </w:rPr>
  </w:style>
  <w:style w:type="paragraph" w:styleId="Standard" w:customStyle="1">
    <w:name w:val="Standard"/>
    <w:uiPriority w:val="99"/>
    <w:qFormat/>
    <w:rsid w:val="009b7678"/>
    <w:pPr>
      <w:widowControl/>
      <w:bidi w:val="0"/>
      <w:spacing w:lineRule="auto" w:line="360" w:before="0" w:after="0"/>
      <w:jc w:val="both"/>
    </w:pPr>
    <w:rPr>
      <w:rFonts w:ascii="Times New Roman" w:hAnsi="Times New Roman" w:eastAsia="Times New Roman" w:cs="Times New Roman"/>
      <w:color w:val="000000"/>
      <w:kern w:val="0"/>
      <w:sz w:val="24"/>
      <w:szCs w:val="22"/>
      <w:lang w:eastAsia="zh-CN" w:val="pt-BR" w:bidi="ar-SA"/>
    </w:rPr>
  </w:style>
  <w:style w:type="paragraph" w:styleId="NormalWeb">
    <w:name w:val="Normal (Web)"/>
    <w:basedOn w:val="Normal"/>
    <w:uiPriority w:val="99"/>
    <w:unhideWhenUsed/>
    <w:qFormat/>
    <w:rsid w:val="009b7678"/>
    <w:pPr>
      <w:spacing w:beforeAutospacing="1" w:afterAutospacing="1"/>
    </w:pPr>
    <w:rPr>
      <w:color w:val="auto"/>
    </w:rPr>
  </w:style>
  <w:style w:type="paragraph" w:styleId="BalloonText">
    <w:name w:val="Balloon Text"/>
    <w:basedOn w:val="Normal"/>
    <w:link w:val="TextodebaloChar"/>
    <w:uiPriority w:val="99"/>
    <w:unhideWhenUsed/>
    <w:qFormat/>
    <w:rsid w:val="00140c81"/>
    <w:pPr/>
    <w:rPr>
      <w:rFonts w:ascii="Tahoma" w:hAnsi="Tahoma" w:cs="Tahoma"/>
      <w:sz w:val="16"/>
      <w:szCs w:val="16"/>
    </w:rPr>
  </w:style>
  <w:style w:type="paragraph" w:styleId="Cabealhoerodap">
    <w:name w:val="Cabeçalho e rodapé"/>
    <w:basedOn w:val="Normal"/>
    <w:qFormat/>
    <w:pPr/>
    <w:rPr/>
  </w:style>
  <w:style w:type="paragraph" w:styleId="Header">
    <w:name w:val="Header"/>
    <w:basedOn w:val="Normal"/>
    <w:link w:val="CabealhoChar"/>
    <w:uiPriority w:val="99"/>
    <w:unhideWhenUsed/>
    <w:qFormat/>
    <w:rsid w:val="00140c81"/>
    <w:pPr>
      <w:tabs>
        <w:tab w:val="clear" w:pos="720"/>
        <w:tab w:val="center" w:pos="4252" w:leader="none"/>
        <w:tab w:val="right" w:pos="8504" w:leader="none"/>
      </w:tabs>
    </w:pPr>
    <w:rPr/>
  </w:style>
  <w:style w:type="paragraph" w:styleId="Footer">
    <w:name w:val="Footer"/>
    <w:basedOn w:val="Normal"/>
    <w:link w:val="RodapChar"/>
    <w:uiPriority w:val="99"/>
    <w:unhideWhenUsed/>
    <w:qFormat/>
    <w:rsid w:val="009b7678"/>
    <w:pPr>
      <w:tabs>
        <w:tab w:val="clear" w:pos="720"/>
        <w:tab w:val="center" w:pos="4252" w:leader="none"/>
        <w:tab w:val="right" w:pos="8504" w:leader="none"/>
      </w:tabs>
      <w:spacing w:lineRule="auto" w:line="240"/>
      <w:jc w:val="center"/>
    </w:pPr>
    <w:rPr>
      <w:sz w:val="18"/>
      <w:szCs w:val="18"/>
    </w:rPr>
  </w:style>
  <w:style w:type="paragraph" w:styleId="Subtitle">
    <w:name w:val="Subtitle"/>
    <w:basedOn w:val="Normal"/>
    <w:next w:val="Normal"/>
    <w:link w:val="SubttuloChar"/>
    <w:uiPriority w:val="11"/>
    <w:qFormat/>
    <w:pPr/>
    <w:rPr>
      <w:rFonts w:ascii="Cambria" w:hAnsi="Cambria" w:eastAsia="Cambria" w:cs="Cambria"/>
      <w:i/>
      <w:color w:val="4F81BD"/>
      <w:sz w:val="24"/>
      <w:szCs w:val="24"/>
    </w:rPr>
  </w:style>
  <w:style w:type="paragraph" w:styleId="BodyTextIndented">
    <w:name w:val="Body Text, Indented"/>
    <w:basedOn w:val="Normal"/>
    <w:link w:val="RecuodecorpodetextoChar"/>
    <w:uiPriority w:val="99"/>
    <w:qFormat/>
    <w:rsid w:val="009b7678"/>
    <w:pPr>
      <w:spacing w:lineRule="auto" w:line="240"/>
      <w:ind w:hanging="567" w:left="2552"/>
    </w:pPr>
    <w:rPr>
      <w:color w:val="auto"/>
      <w:sz w:val="24"/>
      <w:szCs w:val="20"/>
      <w:lang w:eastAsia="zh-CN"/>
    </w:rPr>
  </w:style>
  <w:style w:type="paragraph" w:styleId="FootnoteText">
    <w:name w:val="Footnote Text"/>
    <w:basedOn w:val="Normal"/>
    <w:link w:val="TextodenotaderodapChar"/>
    <w:uiPriority w:val="99"/>
    <w:qFormat/>
    <w:rsid w:val="009b7678"/>
    <w:pPr>
      <w:spacing w:lineRule="auto" w:line="240"/>
    </w:pPr>
    <w:rPr>
      <w:color w:val="auto"/>
      <w:szCs w:val="20"/>
      <w:lang w:eastAsia="zh-CN"/>
    </w:rPr>
  </w:style>
  <w:style w:type="paragraph" w:styleId="AnnotationText">
    <w:name w:val="Annotation Text"/>
    <w:basedOn w:val="Normal"/>
    <w:link w:val="TextodecomentrioChar"/>
    <w:uiPriority w:val="99"/>
    <w:unhideWhenUsed/>
    <w:qFormat/>
    <w:rsid w:val="009b7678"/>
    <w:pPr>
      <w:spacing w:lineRule="auto" w:line="240"/>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140c81"/>
    <w:pPr/>
    <w:rPr>
      <w:b/>
      <w:bCs/>
      <w:color w:val="auto"/>
      <w:sz w:val="22"/>
    </w:rPr>
  </w:style>
  <w:style w:type="paragraph" w:styleId="Textodecomentrio1" w:customStyle="1">
    <w:name w:val="Texto de comentário1"/>
    <w:basedOn w:val="Normal"/>
    <w:qFormat/>
    <w:rsid w:val="009b7678"/>
    <w:pPr>
      <w:spacing w:lineRule="auto" w:line="240"/>
    </w:pPr>
    <w:rPr>
      <w:sz w:val="20"/>
      <w:szCs w:val="20"/>
      <w:lang w:eastAsia="zh-CN"/>
    </w:rPr>
  </w:style>
  <w:style w:type="paragraph" w:styleId="Padro" w:customStyle="1">
    <w:name w:val="Padrão"/>
    <w:link w:val="PadroChar"/>
    <w:qFormat/>
    <w:rsid w:val="009b7678"/>
    <w:pPr>
      <w:widowControl/>
      <w:tabs>
        <w:tab w:val="clear" w:pos="720"/>
        <w:tab w:val="left" w:pos="708" w:leader="none"/>
      </w:tabs>
      <w:bidi w:val="0"/>
      <w:spacing w:lineRule="auto" w:line="360" w:before="0" w:after="0"/>
      <w:jc w:val="both"/>
    </w:pPr>
    <w:rPr>
      <w:rFonts w:ascii="Calibri" w:hAnsi="Calibri" w:eastAsia="Calibri" w:cs="Times New Roman"/>
      <w:color w:val="00000A"/>
      <w:kern w:val="0"/>
      <w:sz w:val="22"/>
      <w:szCs w:val="22"/>
      <w:lang w:val="pt-BR" w:eastAsia="pt-BR" w:bidi="ar-SA"/>
    </w:rPr>
  </w:style>
  <w:style w:type="paragraph" w:styleId="Ttulo1" w:customStyle="1">
    <w:name w:val="Título1"/>
    <w:basedOn w:val="Normal"/>
    <w:next w:val="BodyText"/>
    <w:qFormat/>
    <w:rsid w:val="009b7678"/>
    <w:pPr>
      <w:keepNext w:val="true"/>
      <w:spacing w:lineRule="auto" w:line="240" w:before="240" w:after="120"/>
    </w:pPr>
    <w:rPr>
      <w:rFonts w:ascii="Arial" w:hAnsi="Arial" w:eastAsia="Microsoft YaHei" w:cs="Mangal"/>
      <w:sz w:val="28"/>
      <w:szCs w:val="28"/>
      <w:lang w:eastAsia="zh-CN"/>
    </w:rPr>
  </w:style>
  <w:style w:type="paragraph" w:styleId="CabealhoeRodap1" w:customStyle="1">
    <w:name w:val="Cabeçalho e Rodapé1"/>
    <w:basedOn w:val="Normal"/>
    <w:uiPriority w:val="99"/>
    <w:qFormat/>
    <w:rsid w:val="009b7678"/>
    <w:pPr>
      <w:spacing w:lineRule="auto" w:line="240"/>
    </w:pPr>
    <w:rPr>
      <w:sz w:val="24"/>
      <w:szCs w:val="24"/>
      <w:lang w:eastAsia="zh-CN"/>
    </w:rPr>
  </w:style>
  <w:style w:type="paragraph" w:styleId="Recuodecorpodetexto21" w:customStyle="1">
    <w:name w:val="Recuo de corpo de texto 21"/>
    <w:basedOn w:val="Normal"/>
    <w:uiPriority w:val="99"/>
    <w:qFormat/>
    <w:rsid w:val="009b7678"/>
    <w:pPr>
      <w:tabs>
        <w:tab w:val="clear" w:pos="720"/>
        <w:tab w:val="left" w:pos="11482" w:leader="none"/>
      </w:tabs>
      <w:spacing w:lineRule="auto" w:line="240"/>
      <w:ind w:hanging="567" w:left="2694"/>
    </w:pPr>
    <w:rPr>
      <w:sz w:val="24"/>
      <w:szCs w:val="24"/>
      <w:lang w:eastAsia="zh-CN"/>
    </w:rPr>
  </w:style>
  <w:style w:type="paragraph" w:styleId="Recuodecorpodetexto31" w:customStyle="1">
    <w:name w:val="Recuo de corpo de texto 31"/>
    <w:basedOn w:val="Normal"/>
    <w:uiPriority w:val="99"/>
    <w:qFormat/>
    <w:rsid w:val="009b7678"/>
    <w:pPr>
      <w:widowControl w:val="false"/>
      <w:spacing w:lineRule="auto" w:line="240"/>
      <w:ind w:hanging="567" w:left="1134"/>
    </w:pPr>
    <w:rPr>
      <w:color w:val="FF0000"/>
      <w:sz w:val="24"/>
      <w:szCs w:val="24"/>
      <w:lang w:eastAsia="zh-CN"/>
    </w:rPr>
  </w:style>
  <w:style w:type="paragraph" w:styleId="Textoembloco1" w:customStyle="1">
    <w:name w:val="Texto em bloco1"/>
    <w:basedOn w:val="Normal"/>
    <w:uiPriority w:val="99"/>
    <w:qFormat/>
    <w:rsid w:val="009b7678"/>
    <w:pPr>
      <w:tabs>
        <w:tab w:val="clear" w:pos="720"/>
        <w:tab w:val="left" w:pos="1418" w:leader="none"/>
      </w:tabs>
      <w:spacing w:lineRule="auto" w:line="240"/>
      <w:ind w:hanging="851" w:left="1418" w:right="-1"/>
    </w:pPr>
    <w:rPr>
      <w:sz w:val="24"/>
      <w:szCs w:val="24"/>
      <w:lang w:eastAsia="zh-CN"/>
    </w:rPr>
  </w:style>
  <w:style w:type="paragraph" w:styleId="A010177" w:customStyle="1">
    <w:name w:val="_A010177"/>
    <w:basedOn w:val="Normal"/>
    <w:uiPriority w:val="99"/>
    <w:qFormat/>
    <w:rsid w:val="009b7678"/>
    <w:pPr>
      <w:spacing w:lineRule="auto" w:line="240"/>
    </w:pPr>
    <w:rPr>
      <w:sz w:val="24"/>
      <w:szCs w:val="20"/>
      <w:lang w:eastAsia="zh-CN"/>
    </w:rPr>
  </w:style>
  <w:style w:type="paragraph" w:styleId="c3" w:customStyle="1">
    <w:name w:val="c3"/>
    <w:basedOn w:val="Normal"/>
    <w:uiPriority w:val="99"/>
    <w:qFormat/>
    <w:rsid w:val="009b7678"/>
    <w:pPr>
      <w:widowControl w:val="false"/>
      <w:spacing w:lineRule="atLeast" w:line="240"/>
      <w:jc w:val="center"/>
    </w:pPr>
    <w:rPr>
      <w:sz w:val="24"/>
      <w:szCs w:val="20"/>
      <w:lang w:val="de-DE" w:eastAsia="zh-CN"/>
    </w:rPr>
  </w:style>
  <w:style w:type="paragraph" w:styleId="rosto" w:customStyle="1">
    <w:name w:val="rosto"/>
    <w:basedOn w:val="Normal"/>
    <w:uiPriority w:val="99"/>
    <w:qFormat/>
    <w:rsid w:val="009b7678"/>
    <w:pPr>
      <w:spacing w:lineRule="auto" w:line="240"/>
    </w:pPr>
    <w:rPr>
      <w:sz w:val="24"/>
      <w:szCs w:val="20"/>
      <w:lang w:eastAsia="zh-CN"/>
    </w:rPr>
  </w:style>
  <w:style w:type="paragraph" w:styleId="Corpodetexto31" w:customStyle="1">
    <w:name w:val="Corpo de texto 31"/>
    <w:basedOn w:val="Normal"/>
    <w:uiPriority w:val="99"/>
    <w:qFormat/>
    <w:rsid w:val="009b7678"/>
    <w:pPr>
      <w:suppressAutoHyphens w:val="true"/>
      <w:spacing w:lineRule="auto" w:line="240"/>
      <w:ind w:right="566"/>
    </w:pPr>
    <w:rPr>
      <w:sz w:val="24"/>
      <w:szCs w:val="20"/>
      <w:lang w:eastAsia="zh-CN"/>
    </w:rPr>
  </w:style>
  <w:style w:type="paragraph" w:styleId="p10" w:customStyle="1">
    <w:name w:val="p10"/>
    <w:basedOn w:val="Normal"/>
    <w:uiPriority w:val="99"/>
    <w:qFormat/>
    <w:rsid w:val="009b7678"/>
    <w:pPr>
      <w:widowControl w:val="false"/>
      <w:spacing w:lineRule="atLeast" w:line="260"/>
    </w:pPr>
    <w:rPr>
      <w:sz w:val="24"/>
      <w:szCs w:val="20"/>
      <w:lang w:val="de-DE" w:eastAsia="zh-CN"/>
    </w:rPr>
  </w:style>
  <w:style w:type="paragraph" w:styleId="p2" w:customStyle="1">
    <w:name w:val="p2"/>
    <w:basedOn w:val="Normal"/>
    <w:uiPriority w:val="99"/>
    <w:qFormat/>
    <w:rsid w:val="009b7678"/>
    <w:pPr>
      <w:widowControl w:val="false"/>
      <w:spacing w:lineRule="atLeast" w:line="260"/>
    </w:pPr>
    <w:rPr>
      <w:sz w:val="24"/>
      <w:szCs w:val="20"/>
      <w:lang w:val="de-DE" w:eastAsia="zh-CN"/>
    </w:rPr>
  </w:style>
  <w:style w:type="paragraph" w:styleId="p3" w:customStyle="1">
    <w:name w:val="p3"/>
    <w:basedOn w:val="Normal"/>
    <w:uiPriority w:val="99"/>
    <w:qFormat/>
    <w:rsid w:val="009b7678"/>
    <w:pPr>
      <w:widowControl w:val="false"/>
      <w:spacing w:lineRule="atLeast" w:line="240"/>
    </w:pPr>
    <w:rPr>
      <w:sz w:val="24"/>
      <w:szCs w:val="20"/>
      <w:lang w:val="de-DE" w:eastAsia="zh-CN"/>
    </w:rPr>
  </w:style>
  <w:style w:type="paragraph" w:styleId="p4" w:customStyle="1">
    <w:name w:val="p4"/>
    <w:basedOn w:val="Normal"/>
    <w:uiPriority w:val="99"/>
    <w:qFormat/>
    <w:rsid w:val="009b7678"/>
    <w:pPr>
      <w:widowControl w:val="false"/>
      <w:spacing w:lineRule="atLeast" w:line="260"/>
      <w:ind w:hanging="288" w:left="864"/>
    </w:pPr>
    <w:rPr>
      <w:sz w:val="24"/>
      <w:szCs w:val="20"/>
      <w:lang w:val="de-DE" w:eastAsia="zh-CN"/>
    </w:rPr>
  </w:style>
  <w:style w:type="paragraph" w:styleId="p5" w:customStyle="1">
    <w:name w:val="p5"/>
    <w:basedOn w:val="Normal"/>
    <w:uiPriority w:val="99"/>
    <w:qFormat/>
    <w:rsid w:val="009b7678"/>
    <w:pPr>
      <w:widowControl w:val="false"/>
      <w:spacing w:lineRule="atLeast" w:line="240"/>
      <w:ind w:left="1120"/>
    </w:pPr>
    <w:rPr>
      <w:sz w:val="24"/>
      <w:szCs w:val="20"/>
      <w:lang w:val="de-DE" w:eastAsia="zh-CN"/>
    </w:rPr>
  </w:style>
  <w:style w:type="paragraph" w:styleId="p14" w:customStyle="1">
    <w:name w:val="p14"/>
    <w:basedOn w:val="Normal"/>
    <w:uiPriority w:val="99"/>
    <w:qFormat/>
    <w:rsid w:val="009b7678"/>
    <w:pPr>
      <w:widowControl w:val="false"/>
      <w:tabs>
        <w:tab w:val="clear" w:pos="720"/>
        <w:tab w:val="left" w:pos="580" w:leader="none"/>
      </w:tabs>
      <w:spacing w:lineRule="atLeast" w:line="300"/>
      <w:ind w:hanging="288" w:left="864"/>
    </w:pPr>
    <w:rPr>
      <w:sz w:val="24"/>
      <w:szCs w:val="20"/>
      <w:lang w:val="de-DE" w:eastAsia="zh-CN"/>
    </w:rPr>
  </w:style>
  <w:style w:type="paragraph" w:styleId="Estruturadodocumento" w:customStyle="1">
    <w:name w:val="Estrutura do documento"/>
    <w:basedOn w:val="Normal"/>
    <w:uiPriority w:val="99"/>
    <w:qFormat/>
    <w:rsid w:val="009b7678"/>
    <w:pPr>
      <w:shd w:val="clear" w:color="auto" w:fill="000080"/>
      <w:spacing w:lineRule="auto" w:line="240"/>
    </w:pPr>
    <w:rPr>
      <w:rFonts w:ascii="Tahoma" w:hAnsi="Tahoma" w:cs="Tahoma"/>
      <w:i/>
      <w:sz w:val="24"/>
      <w:szCs w:val="20"/>
      <w:lang w:eastAsia="zh-CN"/>
    </w:rPr>
  </w:style>
  <w:style w:type="paragraph" w:styleId="Corpodetexto21" w:customStyle="1">
    <w:name w:val="Corpo de texto 21"/>
    <w:basedOn w:val="Normal"/>
    <w:uiPriority w:val="99"/>
    <w:qFormat/>
    <w:rsid w:val="009b7678"/>
    <w:pPr>
      <w:spacing w:lineRule="auto" w:line="240"/>
      <w:ind w:right="340"/>
    </w:pPr>
    <w:rPr>
      <w:sz w:val="24"/>
      <w:szCs w:val="24"/>
      <w:lang w:eastAsia="zh-CN"/>
    </w:rPr>
  </w:style>
  <w:style w:type="paragraph" w:styleId="indice" w:customStyle="1">
    <w:name w:val="indice"/>
    <w:basedOn w:val="Normal"/>
    <w:qFormat/>
    <w:rsid w:val="00140c81"/>
    <w:pPr>
      <w:widowControl w:val="false"/>
      <w:spacing w:lineRule="auto" w:line="276" w:before="80" w:after="0"/>
    </w:pPr>
    <w:rPr>
      <w:b/>
      <w:bCs/>
    </w:rPr>
  </w:style>
  <w:style w:type="paragraph" w:styleId="TextosemFormatao1" w:customStyle="1">
    <w:name w:val="Texto sem Formatação1"/>
    <w:basedOn w:val="Normal"/>
    <w:uiPriority w:val="99"/>
    <w:qFormat/>
    <w:rsid w:val="009b7678"/>
    <w:pPr>
      <w:spacing w:lineRule="auto" w:line="240"/>
    </w:pPr>
    <w:rPr>
      <w:rFonts w:ascii="Arial" w:hAnsi="Arial" w:cs="Arial"/>
      <w:sz w:val="24"/>
      <w:szCs w:val="20"/>
      <w:lang w:eastAsia="zh-CN"/>
    </w:rPr>
  </w:style>
  <w:style w:type="paragraph" w:styleId="Fontepargpadro1" w:customStyle="1">
    <w:name w:val="Fonte parág. padrão1"/>
    <w:next w:val="Normal"/>
    <w:uiPriority w:val="99"/>
    <w:qFormat/>
    <w:rsid w:val="009b7678"/>
    <w:pPr>
      <w:widowControl/>
      <w:bidi w:val="0"/>
      <w:spacing w:lineRule="auto" w:line="360" w:before="0" w:after="0"/>
      <w:jc w:val="both"/>
    </w:pPr>
    <w:rPr>
      <w:rFonts w:ascii="Sans Serif PS" w:hAnsi="Sans Serif PS" w:cs="Sans Serif PS" w:eastAsia="Times New Roman"/>
      <w:color w:val="auto"/>
      <w:kern w:val="0"/>
      <w:sz w:val="24"/>
      <w:szCs w:val="20"/>
      <w:lang w:eastAsia="zh-CN" w:val="pt-BR" w:bidi="ar-SA"/>
    </w:rPr>
  </w:style>
  <w:style w:type="paragraph" w:styleId="A122078" w:customStyle="1">
    <w:name w:val="_A122078"/>
    <w:uiPriority w:val="99"/>
    <w:qFormat/>
    <w:rsid w:val="009b7678"/>
    <w:pPr>
      <w:widowControl/>
      <w:tabs>
        <w:tab w:val="clear" w:pos="720"/>
        <w:tab w:val="left" w:pos="1152" w:leader="none"/>
        <w:tab w:val="decimal" w:pos="1440" w:leader="none"/>
      </w:tabs>
      <w:bidi w:val="0"/>
      <w:spacing w:lineRule="auto" w:line="360" w:before="0" w:after="0"/>
      <w:ind w:hanging="1152" w:left="2880"/>
      <w:jc w:val="both"/>
    </w:pPr>
    <w:rPr>
      <w:rFonts w:ascii="Times New Roman" w:hAnsi="Times New Roman" w:eastAsia="Times New Roman" w:cs="Times New Roman"/>
      <w:color w:val="000000"/>
      <w:kern w:val="0"/>
      <w:sz w:val="24"/>
      <w:szCs w:val="20"/>
      <w:lang w:eastAsia="zh-CN" w:val="pt-BR" w:bidi="ar-SA"/>
    </w:rPr>
  </w:style>
  <w:style w:type="paragraph" w:styleId="font5" w:customStyle="1">
    <w:name w:val="font5"/>
    <w:basedOn w:val="Normal"/>
    <w:uiPriority w:val="99"/>
    <w:qFormat/>
    <w:rsid w:val="009b7678"/>
    <w:pPr>
      <w:spacing w:lineRule="auto" w:line="240" w:before="280" w:after="280"/>
    </w:pPr>
    <w:rPr>
      <w:rFonts w:ascii="Arial" w:hAnsi="Arial" w:eastAsia="Arial Unicode MS" w:cs="Arial"/>
      <w:sz w:val="20"/>
      <w:szCs w:val="20"/>
      <w:lang w:eastAsia="zh-CN"/>
    </w:rPr>
  </w:style>
  <w:style w:type="paragraph" w:styleId="xl27" w:customStyle="1">
    <w:name w:val="xl27"/>
    <w:basedOn w:val="Normal"/>
    <w:uiPriority w:val="99"/>
    <w:qFormat/>
    <w:rsid w:val="009b7678"/>
    <w:pPr>
      <w:pBdr>
        <w:left w:val="single" w:sz="4"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9b7678"/>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29" w:customStyle="1">
    <w:name w:val="xl29"/>
    <w:basedOn w:val="Normal"/>
    <w:uiPriority w:val="99"/>
    <w:qFormat/>
    <w:rsid w:val="009b7678"/>
    <w:pPr>
      <w:spacing w:lineRule="auto" w:line="240" w:before="280" w:after="280"/>
    </w:pPr>
    <w:rPr>
      <w:rFonts w:ascii="Arial" w:hAnsi="Arial" w:eastAsia="Arial Unicode MS" w:cs="Arial"/>
      <w:sz w:val="24"/>
      <w:szCs w:val="24"/>
      <w:lang w:eastAsia="zh-CN"/>
    </w:rPr>
  </w:style>
  <w:style w:type="paragraph" w:styleId="xl30" w:customStyle="1">
    <w:name w:val="xl30"/>
    <w:basedOn w:val="Normal"/>
    <w:uiPriority w:val="99"/>
    <w:qFormat/>
    <w:rsid w:val="009b7678"/>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31" w:customStyle="1">
    <w:name w:val="xl31"/>
    <w:basedOn w:val="Normal"/>
    <w:uiPriority w:val="99"/>
    <w:qFormat/>
    <w:rsid w:val="009b7678"/>
    <w:pPr>
      <w:pBdr>
        <w:top w:val="single" w:sz="8" w:space="0" w:color="000000"/>
        <w:left w:val="single" w:sz="4"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9b7678"/>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9b7678"/>
    <w:pPr>
      <w:spacing w:lineRule="auto" w:line="240" w:before="280" w:after="280"/>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35" w:customStyle="1">
    <w:name w:val="xl35"/>
    <w:basedOn w:val="Normal"/>
    <w:uiPriority w:val="99"/>
    <w:qFormat/>
    <w:rsid w:val="00140c81"/>
    <w:pPr>
      <w:suppressAutoHyphens w:val="true"/>
      <w:spacing w:lineRule="auto" w:line="240" w:before="280" w:after="280"/>
    </w:pPr>
    <w:rPr>
      <w:rFonts w:ascii="Arial" w:hAnsi="Arial" w:eastAsia="Arial Unicode MS" w:cs="Arial"/>
      <w:sz w:val="24"/>
      <w:szCs w:val="24"/>
      <w:lang w:eastAsia="zh-CN"/>
    </w:rPr>
  </w:style>
  <w:style w:type="paragraph" w:styleId="xl36" w:customStyle="1">
    <w:name w:val="xl36"/>
    <w:basedOn w:val="Normal"/>
    <w:uiPriority w:val="99"/>
    <w:qFormat/>
    <w:rsid w:val="00140c81"/>
    <w:pPr>
      <w:suppressAutoHyphens w:val="true"/>
      <w:spacing w:lineRule="auto" w:line="240" w:before="280" w:after="280"/>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140c81"/>
    <w:pPr>
      <w:pBdr>
        <w:bottom w:val="single" w:sz="8" w:space="0" w:color="000000"/>
      </w:pBdr>
      <w:suppressAutoHyphens w:val="true"/>
      <w:spacing w:lineRule="auto" w:line="240" w:before="280" w:after="280"/>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140c81"/>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140c81"/>
    <w:pPr>
      <w:suppressAutoHyphens w:val="true"/>
      <w:spacing w:lineRule="auto" w:line="240" w:before="280" w:after="280"/>
    </w:pPr>
    <w:rPr>
      <w:rFonts w:ascii="Arial" w:hAnsi="Arial" w:eastAsia="Arial Unicode MS" w:cs="Arial"/>
      <w:sz w:val="16"/>
      <w:szCs w:val="16"/>
      <w:lang w:eastAsia="zh-CN"/>
    </w:rPr>
  </w:style>
  <w:style w:type="paragraph" w:styleId="xl40" w:customStyle="1">
    <w:name w:val="xl40"/>
    <w:basedOn w:val="Normal"/>
    <w:uiPriority w:val="99"/>
    <w:qFormat/>
    <w:rsid w:val="00140c81"/>
    <w:pPr>
      <w:suppressAutoHyphens w:val="true"/>
      <w:spacing w:lineRule="auto" w:line="240" w:before="280" w:after="280"/>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140c81"/>
    <w:pPr>
      <w:pBdr>
        <w:bottom w:val="single" w:sz="8" w:space="0" w:color="000000"/>
      </w:pBdr>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140c81"/>
    <w:pPr>
      <w:suppressAutoHyphens w:val="true"/>
      <w:spacing w:lineRule="auto" w:line="240" w:before="280" w:after="280"/>
    </w:pPr>
    <w:rPr>
      <w:rFonts w:ascii="Arial" w:hAnsi="Arial" w:eastAsia="Arial Unicode MS" w:cs="Arial"/>
      <w:sz w:val="16"/>
      <w:szCs w:val="16"/>
      <w:lang w:eastAsia="zh-CN"/>
    </w:rPr>
  </w:style>
  <w:style w:type="paragraph" w:styleId="xl43" w:customStyle="1">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140c81"/>
    <w:pP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140c81"/>
    <w:pPr>
      <w:suppressAutoHyphens w:val="true"/>
      <w:spacing w:lineRule="auto" w:line="240" w:before="280" w:after="280"/>
    </w:pPr>
    <w:rPr>
      <w:rFonts w:ascii="Arial" w:hAnsi="Arial" w:eastAsia="Arial Unicode MS" w:cs="Arial"/>
      <w:sz w:val="20"/>
      <w:szCs w:val="20"/>
      <w:lang w:eastAsia="zh-CN"/>
    </w:rPr>
  </w:style>
  <w:style w:type="paragraph" w:styleId="xl46" w:customStyle="1">
    <w:name w:val="xl46"/>
    <w:basedOn w:val="Normal"/>
    <w:uiPriority w:val="99"/>
    <w:qFormat/>
    <w:rsid w:val="00140c81"/>
    <w:pPr>
      <w:pBdr>
        <w:top w:val="single" w:sz="8" w:space="0" w:color="000000"/>
        <w:left w:val="single" w:sz="8" w:space="0" w:color="000000"/>
        <w:right w:val="single" w:sz="4" w:space="0" w:color="000000"/>
      </w:pBdr>
      <w:suppressAutoHyphens w:val="true"/>
      <w:spacing w:lineRule="auto" w:line="240" w:before="280" w:after="280"/>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48" w:customStyle="1">
    <w:name w:val="xl4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140c81"/>
    <w:pPr>
      <w:pBdr>
        <w:left w:val="single" w:sz="8"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140c81"/>
    <w:pPr>
      <w:pBdr>
        <w:left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140c81"/>
    <w:pPr>
      <w:pBdr>
        <w:left w:val="single" w:sz="8" w:space="0" w:color="000000"/>
        <w:right w:val="single" w:sz="4"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140c81"/>
    <w:pPr>
      <w:suppressAutoHyphens w:val="true"/>
      <w:spacing w:lineRule="auto" w:line="240" w:before="280" w:after="280"/>
      <w:jc w:val="right"/>
    </w:pPr>
    <w:rPr>
      <w:rFonts w:ascii="Arial" w:hAnsi="Arial" w:eastAsia="Arial Unicode MS" w:cs="Arial"/>
      <w:sz w:val="24"/>
      <w:szCs w:val="24"/>
      <w:lang w:eastAsia="zh-CN"/>
    </w:rPr>
  </w:style>
  <w:style w:type="paragraph" w:styleId="xl53" w:customStyle="1">
    <w:name w:val="xl53"/>
    <w:basedOn w:val="Normal"/>
    <w:uiPriority w:val="99"/>
    <w:qFormat/>
    <w:rsid w:val="00140c81"/>
    <w:pPr>
      <w:pBdr>
        <w:left w:val="single" w:sz="4"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140c81"/>
    <w:pPr>
      <w:pBdr>
        <w:left w:val="single" w:sz="8"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140c81"/>
    <w:pPr>
      <w:pBdr>
        <w:top w:val="single" w:sz="8" w:space="0" w:color="000000"/>
        <w:left w:val="single" w:sz="4" w:space="0" w:color="000000"/>
        <w:right w:val="single" w:sz="8"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140c81"/>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58" w:customStyle="1">
    <w:name w:val="xl5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140c81"/>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60" w:customStyle="1">
    <w:name w:val="xl60"/>
    <w:basedOn w:val="Normal"/>
    <w:uiPriority w:val="99"/>
    <w:qFormat/>
    <w:rsid w:val="00140c81"/>
    <w:pPr>
      <w:shd w:val="clear" w:color="auto" w:fill="FFFF99"/>
      <w:suppressAutoHyphens w:val="true"/>
      <w:spacing w:lineRule="auto" w:line="240" w:before="280" w:after="280"/>
    </w:pPr>
    <w:rPr>
      <w:rFonts w:ascii="Arial" w:hAnsi="Arial" w:eastAsia="Arial Unicode MS" w:cs="Arial"/>
      <w:sz w:val="16"/>
      <w:szCs w:val="16"/>
      <w:lang w:eastAsia="zh-CN"/>
    </w:rPr>
  </w:style>
  <w:style w:type="paragraph" w:styleId="xl61" w:customStyle="1">
    <w:name w:val="xl61"/>
    <w:basedOn w:val="Normal"/>
    <w:uiPriority w:val="99"/>
    <w:qFormat/>
    <w:rsid w:val="00140c81"/>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140c81"/>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140c81"/>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140c81"/>
    <w:pPr>
      <w:pBdr>
        <w:left w:val="single" w:sz="4"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140c81"/>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140c81"/>
    <w:pPr>
      <w:pBdr>
        <w:top w:val="single" w:sz="8" w:space="0" w:color="000000"/>
        <w:bottom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140c81"/>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8" w:customStyle="1">
    <w:name w:val="xl68"/>
    <w:basedOn w:val="Normal"/>
    <w:uiPriority w:val="99"/>
    <w:qFormat/>
    <w:rsid w:val="00140c81"/>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9" w:customStyle="1">
    <w:name w:val="xl69"/>
    <w:basedOn w:val="Normal"/>
    <w:uiPriority w:val="99"/>
    <w:qFormat/>
    <w:rsid w:val="00140c81"/>
    <w:pPr>
      <w:pBdr>
        <w:top w:val="single" w:sz="8" w:space="0" w:color="000000"/>
      </w:pBdr>
      <w:suppressAutoHyphens w:val="true"/>
      <w:spacing w:lineRule="auto" w:line="240" w:before="280" w:after="280"/>
      <w:jc w:val="right"/>
    </w:pPr>
    <w:rPr>
      <w:rFonts w:ascii="Arial" w:hAnsi="Arial" w:eastAsia="Arial Unicode MS" w:cs="Arial"/>
      <w:sz w:val="24"/>
      <w:szCs w:val="24"/>
      <w:lang w:eastAsia="zh-CN"/>
    </w:rPr>
  </w:style>
  <w:style w:type="paragraph" w:styleId="xl70" w:customStyle="1">
    <w:name w:val="xl70"/>
    <w:basedOn w:val="Normal"/>
    <w:uiPriority w:val="99"/>
    <w:qFormat/>
    <w:rsid w:val="00140c81"/>
    <w:pP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140c81"/>
    <w:pPr>
      <w:pBdr>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140c81"/>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140c81"/>
    <w:pPr>
      <w:pBdr>
        <w:top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140c81"/>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140c81"/>
    <w:pPr>
      <w:pBdr>
        <w:left w:val="single" w:sz="4"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140c81"/>
    <w:pPr>
      <w:pBdr>
        <w:left w:val="single" w:sz="4" w:space="0" w:color="000000"/>
        <w:right w:val="single" w:sz="4" w:space="0" w:color="000000"/>
      </w:pBdr>
      <w:suppressAutoHyphens w:val="true"/>
      <w:spacing w:lineRule="auto" w:line="240" w:before="280" w:after="280"/>
    </w:pPr>
    <w:rPr>
      <w:rFonts w:ascii="Arial" w:hAnsi="Arial" w:eastAsia="Arial Unicode MS" w:cs="Arial"/>
      <w:sz w:val="20"/>
      <w:szCs w:val="20"/>
      <w:lang w:eastAsia="zh-CN"/>
    </w:rPr>
  </w:style>
  <w:style w:type="paragraph" w:styleId="xl78" w:customStyle="1">
    <w:name w:val="xl7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79" w:customStyle="1">
    <w:name w:val="xl79"/>
    <w:basedOn w:val="Normal"/>
    <w:uiPriority w:val="99"/>
    <w:qFormat/>
    <w:rsid w:val="00140c81"/>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80" w:customStyle="1">
    <w:name w:val="xl80"/>
    <w:basedOn w:val="Normal"/>
    <w:uiPriority w:val="99"/>
    <w:qFormat/>
    <w:rsid w:val="00140c81"/>
    <w:pPr>
      <w:pBdr>
        <w:left w:val="single" w:sz="4" w:space="0" w:color="000000"/>
        <w:right w:val="single" w:sz="4" w:space="0" w:color="000000"/>
      </w:pBdr>
      <w:shd w:val="clear" w:color="auto" w:fill="808080"/>
      <w:suppressAutoHyphens w:val="true"/>
      <w:spacing w:lineRule="auto" w:line="240" w:before="280" w:after="280"/>
      <w:jc w:val="right"/>
    </w:pPr>
    <w:rPr>
      <w:rFonts w:ascii="Arial" w:hAnsi="Arial" w:eastAsia="Arial Unicode MS" w:cs="Arial"/>
      <w:sz w:val="20"/>
      <w:szCs w:val="20"/>
      <w:lang w:eastAsia="zh-CN"/>
    </w:rPr>
  </w:style>
  <w:style w:type="paragraph" w:styleId="xl81" w:customStyle="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140c81"/>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140c81"/>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140c81"/>
    <w:pPr>
      <w:pBdr>
        <w:top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140c81"/>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140c81"/>
    <w:pP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140c81"/>
    <w:pPr>
      <w:pBdr>
        <w:top w:val="single" w:sz="8" w:space="0" w:color="000000"/>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140c81"/>
    <w:pPr>
      <w:pBdr>
        <w:top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140c81"/>
    <w:pPr>
      <w:pBdr>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140c81"/>
    <w:pP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140c81"/>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140c81"/>
    <w:pPr>
      <w:pBdr>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140c81"/>
    <w:pPr>
      <w:pBdr>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140c81"/>
    <w:pPr>
      <w:pBdr>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140c81"/>
    <w:pPr>
      <w:pBdr>
        <w:bottom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9b7678"/>
    <w:pPr>
      <w:suppressAutoHyphens w:val="true"/>
      <w:spacing w:lineRule="auto" w:line="240" w:before="100" w:after="100"/>
      <w:ind w:left="360" w:right="360"/>
    </w:pPr>
    <w:rPr>
      <w:sz w:val="24"/>
      <w:szCs w:val="20"/>
      <w:lang w:eastAsia="zh-CN"/>
    </w:rPr>
  </w:style>
  <w:style w:type="paragraph" w:styleId="Marcadores3" w:customStyle="1">
    <w:name w:val="Marcadores 3"/>
    <w:basedOn w:val="Normal"/>
    <w:uiPriority w:val="99"/>
    <w:qFormat/>
    <w:rsid w:val="009b7678"/>
    <w:pPr>
      <w:suppressAutoHyphens w:val="true"/>
      <w:spacing w:lineRule="auto" w:line="240" w:before="120" w:after="0"/>
      <w:ind w:right="6"/>
    </w:pPr>
    <w:rPr>
      <w:sz w:val="24"/>
      <w:szCs w:val="20"/>
      <w:lang w:eastAsia="zh-CN"/>
    </w:rPr>
  </w:style>
  <w:style w:type="paragraph" w:styleId="Estilo1" w:customStyle="1">
    <w:name w:val="Estilo1"/>
    <w:basedOn w:val="Normal"/>
    <w:uiPriority w:val="99"/>
    <w:qFormat/>
    <w:rsid w:val="009b7678"/>
    <w:pPr>
      <w:tabs>
        <w:tab w:val="clear" w:pos="720"/>
        <w:tab w:val="left" w:pos="2268" w:leader="none"/>
      </w:tabs>
      <w:suppressAutoHyphens w:val="true"/>
      <w:spacing w:lineRule="auto" w:line="240"/>
      <w:ind w:hanging="992" w:left="2410"/>
    </w:pPr>
    <w:rPr>
      <w:sz w:val="24"/>
      <w:szCs w:val="20"/>
      <w:lang w:eastAsia="zh-CN"/>
    </w:rPr>
  </w:style>
  <w:style w:type="paragraph" w:styleId="ListParagraph">
    <w:name w:val="List Paragraph"/>
    <w:basedOn w:val="Normal"/>
    <w:uiPriority w:val="34"/>
    <w:qFormat/>
    <w:rsid w:val="009b7678"/>
    <w:pPr>
      <w:spacing w:lineRule="auto" w:line="240"/>
      <w:ind w:left="708"/>
    </w:pPr>
    <w:rPr>
      <w:sz w:val="24"/>
      <w:szCs w:val="24"/>
      <w:lang w:eastAsia="zh-CN"/>
    </w:rPr>
  </w:style>
  <w:style w:type="paragraph" w:styleId="c2" w:customStyle="1">
    <w:name w:val="c2"/>
    <w:basedOn w:val="Normal"/>
    <w:uiPriority w:val="99"/>
    <w:qFormat/>
    <w:rsid w:val="009b7678"/>
    <w:pPr>
      <w:widowControl w:val="false"/>
      <w:suppressAutoHyphens w:val="true"/>
      <w:spacing w:lineRule="atLeast" w:line="240"/>
      <w:jc w:val="center"/>
    </w:pPr>
    <w:rPr>
      <w:sz w:val="24"/>
      <w:szCs w:val="20"/>
      <w:lang w:eastAsia="zh-CN"/>
    </w:rPr>
  </w:style>
  <w:style w:type="paragraph" w:styleId="PargrafodaLista1" w:customStyle="1">
    <w:name w:val="Parágrafo da Lista1"/>
    <w:basedOn w:val="Normal"/>
    <w:uiPriority w:val="99"/>
    <w:qFormat/>
    <w:rsid w:val="009b7678"/>
    <w:pPr>
      <w:suppressAutoHyphens w:val="true"/>
      <w:spacing w:lineRule="auto" w:line="240"/>
      <w:ind w:left="708"/>
    </w:pPr>
    <w:rPr>
      <w:sz w:val="24"/>
      <w:szCs w:val="24"/>
      <w:lang w:eastAsia="zh-CN"/>
    </w:rPr>
  </w:style>
  <w:style w:type="paragraph" w:styleId="Normal1" w:customStyle="1">
    <w:name w:val="Normal1"/>
    <w:uiPriority w:val="99"/>
    <w:qFormat/>
    <w:rsid w:val="009b7678"/>
    <w:pPr>
      <w:widowControl/>
      <w:bidi w:val="0"/>
      <w:spacing w:lineRule="auto" w:line="360" w:before="0" w:after="0"/>
      <w:jc w:val="both"/>
    </w:pPr>
    <w:rPr>
      <w:rFonts w:ascii="Times New Roman" w:hAnsi="Times New Roman" w:eastAsia="Times New Roman" w:cs="Times New Roman"/>
      <w:color w:val="000000"/>
      <w:kern w:val="0"/>
      <w:sz w:val="24"/>
      <w:szCs w:val="24"/>
      <w:lang w:eastAsia="zh-CN" w:val="pt-BR" w:bidi="ar-SA"/>
    </w:rPr>
  </w:style>
  <w:style w:type="paragraph" w:styleId="default" w:customStyle="1">
    <w:name w:val="default"/>
    <w:basedOn w:val="Normal"/>
    <w:uiPriority w:val="99"/>
    <w:qFormat/>
    <w:rsid w:val="00140c81"/>
    <w:pPr>
      <w:suppressAutoHyphens w:val="true"/>
      <w:spacing w:lineRule="auto" w:line="240"/>
    </w:pPr>
    <w:rPr>
      <w:rFonts w:eastAsia="Calibri"/>
      <w:sz w:val="24"/>
      <w:szCs w:val="24"/>
      <w:lang w:eastAsia="zh-CN"/>
    </w:rPr>
  </w:style>
  <w:style w:type="paragraph" w:styleId="Contedodatabela" w:customStyle="1">
    <w:name w:val="Conteúdo da tabela"/>
    <w:basedOn w:val="Normal"/>
    <w:qFormat/>
    <w:rsid w:val="009b7678"/>
    <w:pPr>
      <w:suppressLineNumbers/>
      <w:suppressAutoHyphens w:val="true"/>
      <w:spacing w:lineRule="auto" w:line="240"/>
    </w:pPr>
    <w:rPr>
      <w:sz w:val="24"/>
      <w:szCs w:val="24"/>
      <w:lang w:eastAsia="zh-CN"/>
    </w:rPr>
  </w:style>
  <w:style w:type="paragraph" w:styleId="Ttulodetabela" w:customStyle="1">
    <w:name w:val="Título de tabela"/>
    <w:basedOn w:val="Contedodatabela"/>
    <w:uiPriority w:val="99"/>
    <w:qFormat/>
    <w:rsid w:val="00140c81"/>
    <w:pPr>
      <w:jc w:val="center"/>
    </w:pPr>
    <w:rPr>
      <w:b/>
      <w:bCs/>
    </w:rPr>
  </w:style>
  <w:style w:type="paragraph" w:styleId="texto" w:customStyle="1">
    <w:name w:val="texto"/>
    <w:basedOn w:val="Normal"/>
    <w:uiPriority w:val="99"/>
    <w:qFormat/>
    <w:rsid w:val="009b7678"/>
    <w:pPr>
      <w:spacing w:lineRule="auto" w:line="240"/>
    </w:pPr>
    <w:rPr>
      <w:sz w:val="24"/>
      <w:szCs w:val="24"/>
    </w:rPr>
  </w:style>
  <w:style w:type="paragraph" w:styleId="Default1" w:customStyle="1">
    <w:name w:val="Default1"/>
    <w:uiPriority w:val="99"/>
    <w:qFormat/>
    <w:rsid w:val="009b7678"/>
    <w:pPr>
      <w:widowControl/>
      <w:suppressAutoHyphens w:val="true"/>
      <w:bidi w:val="0"/>
      <w:spacing w:lineRule="auto" w:line="240" w:before="0" w:after="0"/>
      <w:jc w:val="both"/>
    </w:pPr>
    <w:rPr>
      <w:rFonts w:ascii="Times New Roman" w:hAnsi="Times New Roman" w:eastAsia="Times New Roman" w:cs="Times New Roman"/>
      <w:color w:val="000000"/>
      <w:kern w:val="0"/>
      <w:sz w:val="24"/>
      <w:szCs w:val="24"/>
      <w:lang w:val="pt-BR" w:eastAsia="pt-BR" w:bidi="ar-SA"/>
    </w:rPr>
  </w:style>
  <w:style w:type="paragraph" w:styleId="Revision">
    <w:name w:val="Revision"/>
    <w:uiPriority w:val="99"/>
    <w:semiHidden/>
    <w:qFormat/>
    <w:rsid w:val="009b7678"/>
    <w:pPr>
      <w:widowControl/>
      <w:bidi w:val="0"/>
      <w:spacing w:lineRule="auto" w:line="360" w:before="0" w:after="0"/>
      <w:jc w:val="both"/>
    </w:pPr>
    <w:rPr>
      <w:rFonts w:ascii="Times New Roman" w:hAnsi="Times New Roman" w:eastAsia="Times New Roman" w:cs="Times New Roman"/>
      <w:color w:val="auto"/>
      <w:kern w:val="0"/>
      <w:sz w:val="24"/>
      <w:szCs w:val="24"/>
      <w:lang w:eastAsia="zh-CN" w:val="pt-BR" w:bidi="ar-SA"/>
    </w:rPr>
  </w:style>
  <w:style w:type="paragraph" w:styleId="TtulodaTabela" w:customStyle="1">
    <w:name w:val="Título da Tabela"/>
    <w:basedOn w:val="Normal"/>
    <w:uiPriority w:val="99"/>
    <w:qFormat/>
    <w:rsid w:val="00140c81"/>
    <w:pPr>
      <w:widowControl w:val="false"/>
      <w:suppressLineNumbers/>
      <w:suppressAutoHyphens w:val="true"/>
      <w:spacing w:lineRule="auto" w:line="240" w:before="0" w:after="120"/>
      <w:jc w:val="center"/>
    </w:pPr>
    <w:rPr>
      <w:rFonts w:eastAsia="Arial Unicode MS"/>
      <w:b/>
      <w:bCs/>
      <w:i/>
      <w:iCs/>
      <w:sz w:val="24"/>
      <w:szCs w:val="20"/>
    </w:rPr>
  </w:style>
  <w:style w:type="paragraph" w:styleId="TableParagraph" w:customStyle="1">
    <w:name w:val="Table Paragraph"/>
    <w:basedOn w:val="Normal"/>
    <w:uiPriority w:val="1"/>
    <w:qFormat/>
    <w:rsid w:val="009b7678"/>
    <w:pPr>
      <w:widowControl w:val="false"/>
      <w:spacing w:lineRule="auto" w:line="240"/>
    </w:pPr>
    <w:rPr>
      <w:color w:val="00000A"/>
      <w:lang w:eastAsia="zh-CN" w:bidi="pt-BR"/>
    </w:rPr>
  </w:style>
  <w:style w:type="paragraph" w:styleId="Nivel1" w:customStyle="1">
    <w:name w:val="Nivel1"/>
    <w:basedOn w:val="Heading1"/>
    <w:next w:val="Normal"/>
    <w:uiPriority w:val="99"/>
    <w:qFormat/>
    <w:rsid w:val="009b7678"/>
    <w:pPr>
      <w:numPr>
        <w:ilvl w:val="0"/>
        <w:numId w:val="1"/>
      </w:numPr>
      <w:spacing w:lineRule="auto" w:line="276" w:before="480" w:after="120"/>
      <w:ind w:hanging="357" w:left="357"/>
      <w:contextualSpacing/>
      <w:jc w:val="both"/>
    </w:pPr>
    <w:rPr>
      <w:rFonts w:ascii="Arial" w:hAnsi="Arial" w:cs="Arial"/>
      <w:bCs w:val="false"/>
      <w:sz w:val="20"/>
      <w:szCs w:val="20"/>
    </w:rPr>
  </w:style>
  <w:style w:type="paragraph" w:styleId="pfs20" w:customStyle="1">
    <w:name w:val="pfs20"/>
    <w:uiPriority w:val="99"/>
    <w:qFormat/>
    <w:rsid w:val="009b7678"/>
    <w:pPr>
      <w:widowControl w:val="false"/>
      <w:suppressAutoHyphens w:val="true"/>
      <w:bidi w:val="0"/>
      <w:spacing w:lineRule="auto" w:line="240" w:before="0" w:after="0"/>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Heading1"/>
    <w:next w:val="Normal"/>
    <w:uiPriority w:val="99"/>
    <w:qFormat/>
    <w:rsid w:val="00140c81"/>
    <w:pPr>
      <w:tabs>
        <w:tab w:val="clear" w:pos="720"/>
        <w:tab w:val="left" w:pos="567" w:leader="none"/>
      </w:tabs>
      <w:spacing w:lineRule="auto" w:line="240"/>
      <w:jc w:val="both"/>
    </w:pPr>
    <w:rPr>
      <w:rFonts w:ascii="Ecofont_Spranq_eco_Sans" w:hAnsi="Ecofont_Spranq_eco_Sans" w:eastAsia="MS Gothic"/>
      <w:sz w:val="20"/>
      <w:szCs w:val="20"/>
    </w:rPr>
  </w:style>
  <w:style w:type="paragraph" w:styleId="western" w:customStyle="1">
    <w:name w:val="western"/>
    <w:basedOn w:val="Normal"/>
    <w:uiPriority w:val="99"/>
    <w:qFormat/>
    <w:rsid w:val="00140c81"/>
    <w:pPr>
      <w:spacing w:lineRule="auto" w:line="240" w:beforeAutospacing="1" w:afterAutospacing="1"/>
      <w:jc w:val="left"/>
    </w:pPr>
    <w:rPr>
      <w:rFonts w:eastAsia="Calibri"/>
      <w:color w:val="auto"/>
      <w:sz w:val="24"/>
      <w:szCs w:val="24"/>
    </w:rPr>
  </w:style>
  <w:style w:type="paragraph" w:styleId="BodyText2">
    <w:name w:val="Body Text 2"/>
    <w:basedOn w:val="Normal"/>
    <w:link w:val="Corpodetexto2Char"/>
    <w:uiPriority w:val="99"/>
    <w:semiHidden/>
    <w:unhideWhenUsed/>
    <w:qFormat/>
    <w:rsid w:val="009b7678"/>
    <w:pPr>
      <w:spacing w:lineRule="auto" w:line="240"/>
    </w:pPr>
    <w:rPr>
      <w:b/>
      <w:bCs/>
      <w:color w:val="auto"/>
      <w:sz w:val="24"/>
      <w:szCs w:val="20"/>
    </w:rPr>
  </w:style>
  <w:style w:type="paragraph" w:styleId="BodyTextIndent2">
    <w:name w:val="Body Text Indent 2"/>
    <w:basedOn w:val="Normal"/>
    <w:link w:val="Recuodecorpodetexto2Char"/>
    <w:uiPriority w:val="99"/>
    <w:semiHidden/>
    <w:unhideWhenUsed/>
    <w:qFormat/>
    <w:rsid w:val="009b7678"/>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9b7678"/>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140c81"/>
    <w:pPr>
      <w:shd w:val="clear" w:color="auto" w:fill="000080"/>
      <w:spacing w:lineRule="auto" w:line="240"/>
      <w:jc w:val="left"/>
    </w:pPr>
    <w:rPr>
      <w:rFonts w:ascii="Tahoma" w:hAnsi="Tahoma"/>
      <w:color w:val="auto"/>
      <w:sz w:val="20"/>
      <w:szCs w:val="20"/>
    </w:rPr>
  </w:style>
  <w:style w:type="paragraph" w:styleId="Quote">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140c81"/>
    <w:pPr>
      <w:overflowPunct w:val="true"/>
      <w:spacing w:lineRule="auto" w:line="240"/>
    </w:pPr>
    <w:rPr>
      <w:rFonts w:ascii="Arial" w:hAnsi="Arial"/>
      <w:color w:val="auto"/>
      <w:sz w:val="24"/>
      <w:szCs w:val="20"/>
    </w:rPr>
  </w:style>
  <w:style w:type="paragraph" w:styleId="titulo" w:customStyle="1">
    <w:name w:val="titulo"/>
    <w:basedOn w:val="Normal"/>
    <w:uiPriority w:val="99"/>
    <w:qFormat/>
    <w:rsid w:val="009b7678"/>
    <w:pPr>
      <w:spacing w:lineRule="auto" w:line="240"/>
      <w:jc w:val="left"/>
    </w:pPr>
    <w:rPr>
      <w:color w:val="auto"/>
      <w:sz w:val="24"/>
      <w:szCs w:val="24"/>
    </w:rPr>
  </w:style>
  <w:style w:type="paragraph" w:styleId="Corpodetexto211" w:customStyle="1">
    <w:name w:val="Corpo de texto 211"/>
    <w:basedOn w:val="Normal"/>
    <w:uiPriority w:val="99"/>
    <w:qFormat/>
    <w:rsid w:val="009b7678"/>
    <w:pPr>
      <w:tabs>
        <w:tab w:val="clear" w:pos="720"/>
        <w:tab w:val="left" w:pos="709" w:leader="none"/>
      </w:tabs>
      <w:suppressAutoHyphens w:val="true"/>
      <w:spacing w:lineRule="auto" w:line="240"/>
    </w:pPr>
    <w:rPr>
      <w:color w:val="auto"/>
      <w:sz w:val="24"/>
      <w:szCs w:val="20"/>
      <w:lang w:eastAsia="ar-SA"/>
    </w:rPr>
  </w:style>
  <w:style w:type="paragraph" w:styleId="Contrato" w:customStyle="1">
    <w:name w:val="Contrato"/>
    <w:basedOn w:val="Normal"/>
    <w:uiPriority w:val="99"/>
    <w:qFormat/>
    <w:rsid w:val="009b7678"/>
    <w:pPr>
      <w:tabs>
        <w:tab w:val="left" w:pos="720" w:leader="none"/>
      </w:tabs>
      <w:spacing w:lineRule="auto" w:line="240" w:before="0" w:after="240"/>
      <w:ind w:hanging="720" w:left="720"/>
    </w:pPr>
    <w:rPr>
      <w:color w:val="auto"/>
      <w:sz w:val="24"/>
      <w:szCs w:val="20"/>
    </w:rPr>
  </w:style>
  <w:style w:type="paragraph" w:styleId="Nivel2" w:customStyle="1">
    <w:name w:val="Nivel 2"/>
    <w:link w:val="Nivel2Char"/>
    <w:uiPriority w:val="99"/>
    <w:qFormat/>
    <w:rsid w:val="009b7678"/>
    <w:pPr>
      <w:widowControl/>
      <w:numPr>
        <w:ilvl w:val="1"/>
        <w:numId w:val="2"/>
      </w:numPr>
      <w:bidi w:val="0"/>
      <w:spacing w:lineRule="auto" w:line="360"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uiPriority w:val="99"/>
    <w:qFormat/>
    <w:rsid w:val="00140c81"/>
    <w:pPr>
      <w:ind w:hanging="360" w:left="502"/>
    </w:pPr>
    <w:rPr>
      <w:rFonts w:cs="Arial"/>
      <w:b/>
    </w:rPr>
  </w:style>
  <w:style w:type="paragraph" w:styleId="Nivel3" w:customStyle="1">
    <w:name w:val="Nivel 3"/>
    <w:basedOn w:val="Nivel2"/>
    <w:uiPriority w:val="99"/>
    <w:qFormat/>
    <w:rsid w:val="00140c81"/>
    <w:pPr>
      <w:numPr>
        <w:ilvl w:val="0"/>
        <w:numId w:val="0"/>
      </w:numPr>
      <w:ind w:hanging="504" w:left="1224"/>
    </w:pPr>
    <w:rPr>
      <w:rFonts w:cs="Arial"/>
      <w:color w:val="000000"/>
    </w:rPr>
  </w:style>
  <w:style w:type="paragraph" w:styleId="Nivel4" w:customStyle="1">
    <w:name w:val="Nivel 4"/>
    <w:basedOn w:val="Nivel3"/>
    <w:link w:val="Nivel4Char"/>
    <w:qFormat/>
    <w:rsid w:val="00140c81"/>
    <w:pPr>
      <w:ind w:hanging="504" w:left="1224"/>
    </w:pPr>
    <w:rPr>
      <w:color w:val="auto"/>
    </w:rPr>
  </w:style>
  <w:style w:type="paragraph" w:styleId="Nivel5" w:customStyle="1">
    <w:name w:val="Nivel 5"/>
    <w:basedOn w:val="Nivel4"/>
    <w:link w:val="Nivel5Char"/>
    <w:qFormat/>
    <w:rsid w:val="00140c81"/>
    <w:pPr>
      <w:ind w:hanging="1080" w:left="2496"/>
    </w:pPr>
    <w:rPr/>
  </w:style>
  <w:style w:type="paragraph" w:styleId="Ttulo2" w:customStyle="1">
    <w:name w:val="Título2"/>
    <w:basedOn w:val="Normal"/>
    <w:next w:val="BodyText"/>
    <w:uiPriority w:val="99"/>
    <w:qFormat/>
    <w:rsid w:val="00140c81"/>
    <w:pPr>
      <w:keepNext w:val="true"/>
      <w:suppressAutoHyphens w:val="true"/>
      <w:spacing w:lineRule="auto" w:line="276" w:before="240" w:after="120"/>
      <w:jc w:val="left"/>
    </w:pPr>
    <w:rPr>
      <w:rFonts w:ascii="Arial" w:hAnsi="Arial" w:eastAsia="Microsoft YaHei" w:cs="Mangal"/>
      <w:color w:val="auto"/>
      <w:sz w:val="28"/>
      <w:szCs w:val="28"/>
      <w:lang w:eastAsia="zh-CN"/>
    </w:rPr>
  </w:style>
  <w:style w:type="paragraph" w:styleId="artart" w:customStyle="1">
    <w:name w:val="artart"/>
    <w:basedOn w:val="Padro"/>
    <w:qFormat/>
    <w:rsid w:val="00140c81"/>
    <w:pPr>
      <w:spacing w:lineRule="atLeast" w:line="100" w:before="28" w:after="28"/>
    </w:pPr>
    <w:rPr>
      <w:rFonts w:ascii="Times New Roman" w:hAnsi="Times New Roman" w:eastAsia="Times New Roman"/>
      <w:sz w:val="24"/>
      <w:szCs w:val="24"/>
    </w:rPr>
  </w:style>
  <w:style w:type="paragraph" w:styleId="Recuodecorpodetexto22" w:customStyle="1">
    <w:name w:val="Recuo de corpo de texto 22"/>
    <w:basedOn w:val="Normal"/>
    <w:qFormat/>
    <w:rsid w:val="00140c81"/>
    <w:pPr>
      <w:suppressAutoHyphens w:val="true"/>
      <w:spacing w:lineRule="auto" w:line="240"/>
      <w:ind w:firstLine="1985"/>
    </w:pPr>
    <w:rPr>
      <w:rFonts w:ascii="Arial" w:hAnsi="Arial" w:cs="Arial"/>
      <w:color w:val="auto"/>
      <w:sz w:val="24"/>
      <w:szCs w:val="20"/>
      <w:lang w:eastAsia="zh-CN"/>
    </w:rPr>
  </w:style>
  <w:style w:type="paragraph" w:styleId="Normal2" w:customStyle="1">
    <w:name w:val="Normal 2"/>
    <w:basedOn w:val="Normal"/>
    <w:qFormat/>
    <w:rsid w:val="00140c81"/>
    <w:pPr>
      <w:keepLines/>
      <w:tabs>
        <w:tab w:val="clear" w:pos="720"/>
        <w:tab w:val="left" w:pos="0" w:leader="none"/>
      </w:tabs>
      <w:suppressAutoHyphens w:val="true"/>
      <w:spacing w:lineRule="auto" w:line="240" w:before="120" w:after="0"/>
    </w:pPr>
    <w:rPr>
      <w:rFonts w:ascii="Arial" w:hAnsi="Arial" w:cs="Arial"/>
      <w:spacing w:val="10"/>
      <w:sz w:val="18"/>
      <w:szCs w:val="20"/>
      <w:lang w:eastAsia="zh-CN"/>
    </w:rPr>
  </w:style>
  <w:style w:type="paragraph" w:styleId="proposta" w:customStyle="1">
    <w:name w:val="proposta"/>
    <w:basedOn w:val="Normal"/>
    <w:qFormat/>
    <w:rsid w:val="00140c81"/>
    <w:pPr>
      <w:tabs>
        <w:tab w:val="clear" w:pos="720"/>
        <w:tab w:val="left" w:pos="0" w:leader="none"/>
      </w:tabs>
      <w:suppressAutoHyphens w:val="true"/>
      <w:spacing w:lineRule="auto" w:line="240"/>
    </w:pPr>
    <w:rPr>
      <w:rFonts w:ascii="Arial" w:hAnsi="Arial" w:cs="Arial"/>
      <w:sz w:val="24"/>
      <w:szCs w:val="20"/>
      <w:lang w:val="pt-PT" w:eastAsia="zh-CN"/>
    </w:rPr>
  </w:style>
  <w:style w:type="paragraph" w:styleId="Prefcio1" w:customStyle="1">
    <w:name w:val="Prefácio1"/>
    <w:basedOn w:val="Normal"/>
    <w:qFormat/>
    <w:rsid w:val="00140c81"/>
    <w:pPr>
      <w:keepLines/>
      <w:tabs>
        <w:tab w:val="clear" w:pos="720"/>
        <w:tab w:val="left" w:pos="0" w:leader="none"/>
      </w:tabs>
      <w:suppressAutoHyphens w:val="true"/>
      <w:spacing w:lineRule="auto" w:line="240" w:before="340" w:after="0"/>
    </w:pPr>
    <w:rPr>
      <w:rFonts w:ascii="Arial" w:hAnsi="Arial" w:cs="Arial"/>
      <w:b/>
      <w:caps/>
      <w:spacing w:val="10"/>
      <w:sz w:val="18"/>
      <w:szCs w:val="20"/>
      <w:lang w:eastAsia="zh-CN"/>
    </w:rPr>
  </w:style>
  <w:style w:type="paragraph" w:styleId="paragraph" w:customStyle="1">
    <w:name w:val="paragraph"/>
    <w:basedOn w:val="Normal"/>
    <w:qFormat/>
    <w:rsid w:val="00122c59"/>
    <w:pPr>
      <w:spacing w:lineRule="auto" w:line="240" w:beforeAutospacing="1" w:afterAutospacing="1"/>
      <w:jc w:val="left"/>
    </w:pPr>
    <w:rPr>
      <w:color w:val="auto"/>
      <w:sz w:val="24"/>
      <w:szCs w:val="24"/>
    </w:rPr>
  </w:style>
  <w:style w:type="paragraph" w:styleId="pf0" w:customStyle="1">
    <w:name w:val="pf0"/>
    <w:basedOn w:val="Normal"/>
    <w:qFormat/>
    <w:rsid w:val="006f2b0c"/>
    <w:pPr>
      <w:spacing w:lineRule="auto" w:line="240" w:beforeAutospacing="1" w:afterAutospacing="1"/>
      <w:jc w:val="left"/>
    </w:pPr>
    <w:rPr>
      <w:color w:val="auto"/>
      <w:sz w:val="24"/>
      <w:szCs w:val="24"/>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customStyle="1" w:styleId="TableNormal1">
    <w:name w:val="Table Normal1"/>
    <w:rsid w:val="00140c81"/>
    <w:tblPr>
      <w:tblCellMar>
        <w:top w:w="0" w:type="dxa"/>
        <w:left w:w="0" w:type="dxa"/>
        <w:bottom w:w="0" w:type="dxa"/>
        <w:right w:w="0" w:type="dxa"/>
      </w:tblCellMar>
    </w:tblPr>
  </w:style>
  <w:style w:type="table" w:styleId="Tabelacomgrade">
    <w:name w:val="Table Grid"/>
    <w:basedOn w:val="Tabelanormal"/>
    <w:uiPriority w:val="39"/>
    <w:rsid w:val="00140c81"/>
    <w:pPr>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140c81"/>
    <w:pPr>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table" w:customStyle="1" w:styleId="NormalTable00">
    <w:name w:val="Normal Table00"/>
    <w:rsid w:val="00122c59"/>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ofornecedor.rs.gov.br/" TargetMode="External"/><Relationship Id="rId4" Type="http://schemas.openxmlformats.org/officeDocument/2006/relationships/hyperlink" Target="http://www.sisacf.sefaz.rs.gov.br/"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Relationship Id="rId19"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11A729-F851-4C93-BA27-C499E8C72450}">
  <ds:schemaRefs>
    <ds:schemaRef ds:uri="c72c3af4-4775-450d-8502-934a6ead802a"/>
    <ds:schemaRef ds:uri="http://www.w3.org/XML/1998/namespace"/>
    <ds:schemaRef ds:uri="http://schemas.openxmlformats.org/package/2006/metadata/core-properties"/>
    <ds:schemaRef ds:uri="http://purl.org/dc/terms/"/>
    <ds:schemaRef ds:uri="http://schemas.microsoft.com/office/2006/documentManagement/types"/>
    <ds:schemaRef ds:uri="8620d49e-90fa-4e9b-8a64-ca584156aaaf"/>
    <ds:schemaRef ds:uri="http://schemas.microsoft.com/office/2006/metadata/properties"/>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23F6611-0FB1-4CAB-814B-C62F4D3024A8}">
  <ds:schemaRefs>
    <ds:schemaRef ds:uri="http://schemas.openxmlformats.org/officeDocument/2006/bibliography"/>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Application>LibreOffice/24.2.5.2$Windows_X86_64 LibreOffice_project/bffef4ea93e59bebbeaf7f431bb02b1a39ee8a59</Application>
  <AppVersion>15.0000</AppVersion>
  <DocSecurity>0</DocSecurity>
  <Pages>40</Pages>
  <Words>13501</Words>
  <Characters>75720</Characters>
  <CharactersWithSpaces>88962</CharactersWithSpaces>
  <Paragraphs>691</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2024-12-11T20:02:00Z</dcterms:created>
  <dc:creator>Melissa</dc:creator>
  <dc:description/>
  <dc:language>pt-BR</dc:language>
  <cp:lastModifiedBy/>
  <cp:lastPrinted>2024-12-11T20:12:00Z</cp:lastPrinted>
  <dcterms:modified xsi:type="dcterms:W3CDTF">2025-02-07T17:45:24Z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SIP_Label_aad1aa98-b4b6-4f6d-a238-eb87b534c92d_ActionId">
    <vt:lpwstr>6c093c0f-9d40-40ab-8260-2bc35858dd2d</vt:lpwstr>
  </property>
  <property fmtid="{D5CDD505-2E9C-101B-9397-08002B2CF9AE}" pid="6" name="MSIP_Label_aad1aa98-b4b6-4f6d-a238-eb87b534c92d_ContentBits">
    <vt:lpwstr>0</vt:lpwstr>
  </property>
  <property fmtid="{D5CDD505-2E9C-101B-9397-08002B2CF9AE}" pid="7" name="MSIP_Label_aad1aa98-b4b6-4f6d-a238-eb87b534c92d_Enabled">
    <vt:lpwstr>true</vt:lpwstr>
  </property>
  <property fmtid="{D5CDD505-2E9C-101B-9397-08002B2CF9AE}" pid="8" name="MSIP_Label_aad1aa98-b4b6-4f6d-a238-eb87b534c92d_Method">
    <vt:lpwstr>Standard</vt:lpwstr>
  </property>
  <property fmtid="{D5CDD505-2E9C-101B-9397-08002B2CF9AE}" pid="9" name="MSIP_Label_aad1aa98-b4b6-4f6d-a238-eb87b534c92d_Name">
    <vt:lpwstr>defa4170-0d19-0005-0004-bc88714345d2</vt:lpwstr>
  </property>
  <property fmtid="{D5CDD505-2E9C-101B-9397-08002B2CF9AE}" pid="10" name="MSIP_Label_aad1aa98-b4b6-4f6d-a238-eb87b534c92d_SetDate">
    <vt:lpwstr>2023-09-28T17:17:40Z</vt:lpwstr>
  </property>
  <property fmtid="{D5CDD505-2E9C-101B-9397-08002B2CF9AE}" pid="11" name="MSIP_Label_aad1aa98-b4b6-4f6d-a238-eb87b534c92d_SiteId">
    <vt:lpwstr>83bd090b-756e-4a02-a512-e5ea02c03041</vt:lpwstr>
  </property>
  <property fmtid="{D5CDD505-2E9C-101B-9397-08002B2CF9AE}" pid="12" name="MediaServiceImageTags">
    <vt:lpwstr/>
  </property>
  <property fmtid="{D5CDD505-2E9C-101B-9397-08002B2CF9AE}" pid="13" name="ScaleCrop">
    <vt:bool>0</vt:bool>
  </property>
  <property fmtid="{D5CDD505-2E9C-101B-9397-08002B2CF9AE}" pid="14" name="ShareDoc">
    <vt:bool>0</vt:bool>
  </property>
</Properties>
</file>