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rPr>
          <w:rFonts w:ascii="Arial Nova" w:hAnsi="Arial Nova" w:cs="Calibri" w:cstheme="minorHAnsi"/>
          <w:b/>
          <w:color w:val="066301"/>
          <w:sz w:val="52"/>
          <w:szCs w:val="52"/>
        </w:rPr>
      </w:pPr>
      <w:bookmarkStart w:id="0" w:name="_GoBack"/>
      <w:bookmarkEnd w:id="0"/>
      <w:r>
        <w:drawing>
          <wp:anchor behindDoc="1" distT="0" distB="0" distL="0" distR="0" simplePos="0" locked="0" layoutInCell="1" allowOverlap="1" relativeHeight="34">
            <wp:simplePos x="0" y="0"/>
            <wp:positionH relativeFrom="column">
              <wp:posOffset>-477520</wp:posOffset>
            </wp:positionH>
            <wp:positionV relativeFrom="paragraph">
              <wp:posOffset>81915</wp:posOffset>
            </wp:positionV>
            <wp:extent cx="6629400" cy="8244840"/>
            <wp:effectExtent l="0" t="0" r="0" b="0"/>
            <wp:wrapNone/>
            <wp:docPr id="1" name="Imagem 9"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Forma&#10;&#10;Descrição gerada automaticamente"/>
                    <pic:cNvPicPr>
                      <a:picLocks noChangeAspect="1" noChangeArrowheads="1"/>
                    </pic:cNvPicPr>
                  </pic:nvPicPr>
                  <pic:blipFill>
                    <a:blip r:embed="rId2"/>
                    <a:stretch>
                      <a:fillRect/>
                    </a:stretch>
                  </pic:blipFill>
                  <pic:spPr bwMode="auto">
                    <a:xfrm>
                      <a:off x="0" y="0"/>
                      <a:ext cx="6629400" cy="8244840"/>
                    </a:xfrm>
                    <a:prstGeom prst="rect">
                      <a:avLst/>
                    </a:prstGeom>
                  </pic:spPr>
                </pic:pic>
              </a:graphicData>
            </a:graphic>
          </wp:anchor>
        </w:drawing>
        <w:drawing>
          <wp:anchor behindDoc="0" distT="0" distB="0" distL="114300" distR="114300" simplePos="0" locked="0" layoutInCell="0" allowOverlap="1" relativeHeight="35">
            <wp:simplePos x="0" y="0"/>
            <wp:positionH relativeFrom="page">
              <wp:posOffset>5196840</wp:posOffset>
            </wp:positionH>
            <wp:positionV relativeFrom="paragraph">
              <wp:posOffset>13335</wp:posOffset>
            </wp:positionV>
            <wp:extent cx="2054225" cy="510540"/>
            <wp:effectExtent l="0" t="0" r="0" b="0"/>
            <wp:wrapTight wrapText="bothSides">
              <wp:wrapPolygon edited="0">
                <wp:start x="2182" y="0"/>
                <wp:lineTo x="1982" y="2348"/>
                <wp:lineTo x="1584" y="19278"/>
                <wp:lineTo x="2382" y="20891"/>
                <wp:lineTo x="4986" y="20891"/>
                <wp:lineTo x="5992" y="20891"/>
                <wp:lineTo x="19412" y="20891"/>
                <wp:lineTo x="19812" y="15247"/>
                <wp:lineTo x="14204" y="12829"/>
                <wp:lineTo x="14001" y="0"/>
                <wp:lineTo x="2182" y="0"/>
              </wp:wrapPolygon>
            </wp:wrapTight>
            <wp:docPr id="2" name="Imagem 10"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0" descr="Portal de Compras"/>
                    <pic:cNvPicPr>
                      <a:picLocks noChangeAspect="1" noChangeArrowheads="1"/>
                    </pic:cNvPicPr>
                  </pic:nvPicPr>
                  <pic:blipFill>
                    <a:blip r:embed="rId3"/>
                    <a:stretch>
                      <a:fillRect/>
                    </a:stretch>
                  </pic:blipFill>
                  <pic:spPr bwMode="auto">
                    <a:xfrm>
                      <a:off x="0" y="0"/>
                      <a:ext cx="2054225" cy="510540"/>
                    </a:xfrm>
                    <a:prstGeom prst="rect">
                      <a:avLst/>
                    </a:prstGeom>
                  </pic:spPr>
                </pic:pic>
              </a:graphicData>
            </a:graphic>
          </wp:anchor>
        </w:drawing>
      </w:r>
      <w:r>
        <w:rPr>
          <w:rFonts w:cs="Calibri" w:ascii="Arial Nova" w:hAnsi="Arial Nova" w:cstheme="minorHAnsi"/>
          <w:b/>
          <w:color w:val="066301"/>
          <w:sz w:val="52"/>
          <w:szCs w:val="52"/>
        </w:rPr>
        <w:t>DISPENSA DE LICITAÇÃO</w:t>
      </w:r>
    </w:p>
    <w:p>
      <w:pPr>
        <w:pStyle w:val="Normal"/>
        <w:jc w:val="left"/>
        <w:rPr>
          <w:rFonts w:ascii="Arial Nova" w:hAnsi="Arial Nova" w:cs="Calibri" w:cstheme="minorHAnsi"/>
          <w:b/>
          <w:color w:val="066301"/>
          <w:sz w:val="52"/>
          <w:szCs w:val="52"/>
        </w:rPr>
      </w:pPr>
      <w:r>
        <w:rPr>
          <w:rFonts w:cs="Calibri" w:ascii="Arial Nova" w:hAnsi="Arial Nova" w:cstheme="minorHAnsi"/>
          <w:b/>
          <w:color w:val="066301"/>
          <w:sz w:val="52"/>
          <w:szCs w:val="52"/>
        </w:rPr>
        <w:t>COMPRA</w:t>
      </w:r>
    </w:p>
    <w:p>
      <w:pPr>
        <w:pStyle w:val="Normal"/>
        <w:jc w:val="left"/>
        <w:rPr>
          <w:rFonts w:cs="Calibri" w:cstheme="minorHAnsi"/>
          <w:highlight w:val="none"/>
          <w:shd w:fill="auto" w:val="clear"/>
        </w:rPr>
      </w:pPr>
      <w:r>
        <w:rPr>
          <w:rFonts w:cs="Calibri" w:ascii="Arial Nova" w:hAnsi="Arial Nova" w:cstheme="minorHAnsi"/>
          <w:b/>
          <w:color w:themeColor="background1" w:themeShade="80" w:val="808080"/>
          <w:sz w:val="44"/>
          <w:szCs w:val="44"/>
          <w:shd w:fill="auto" w:val="clear"/>
        </w:rPr>
        <w:t>0498/2026</w:t>
      </w:r>
    </w:p>
    <w:sdt>
      <w:sdtPr>
        <w:docPartObj>
          <w:docPartGallery w:val="Watermarks"/>
        </w:docPartObj>
        <w:id w:val="1029382450"/>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b/>
              <w:color w:val="5B5B5F"/>
              <w:sz w:val="28"/>
              <w:szCs w:val="28"/>
            </w:rPr>
          </w:pPr>
          <w:r>
            <w:rPr>
              <w:rFonts w:cs="Arial" w:ascii="Arial" w:hAnsi="Arial"/>
              <w:b/>
              <w:color w:val="5B5B5F"/>
              <w:sz w:val="28"/>
              <w:szCs w:val="28"/>
            </w:rPr>
            <w:t>Aquisição de 82 (oitenta e duas) unidades de POSTE ENERGIA ELÉTRICA - EXTERNA CONCRETO - DUPLO T 3KN - 900CM S/INSTALAÇÃO (GCE nº 0475.0457.010021) e 15 (quinze) unidades de POSTE ENERGIA ELÉTRICA - EXTERNA CONCRETO DUPLO T 4 KN 1.200,00CM S/INSTALAÇÃO (GCE nº 0475.0457.010022).</w:t>
          </w:r>
        </w:p>
        <w:p>
          <w:pPr>
            <w:pStyle w:val="Normal"/>
            <w:rPr>
              <w:rFonts w:ascii="Arial" w:hAnsi="Arial" w:cs="Arial"/>
              <w:color w:val="5B5B5F"/>
              <w:sz w:val="28"/>
              <w:szCs w:val="28"/>
            </w:rPr>
          </w:pPr>
          <w:r>
            <w:rPr>
              <w:rFonts w:cs="Arial" w:ascii="Arial" w:hAnsi="Arial"/>
              <w:color w:val="5B5B5F"/>
              <w:sz w:val="28"/>
              <w:szCs w:val="28"/>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Calibri" w:cstheme="minorHAnsi"/>
              <w:b/>
              <w:color w:val="auto"/>
              <w:sz w:val="32"/>
              <w:szCs w:val="32"/>
            </w:rPr>
          </w:pPr>
          <w:r>
            <w:rPr>
              <w:rFonts w:cs="Calibri" w:ascii="Arial Nova" w:hAnsi="Arial Nova" w:cstheme="minorHAnsi"/>
              <w:b/>
              <w:color w:val="auto"/>
              <w:sz w:val="32"/>
              <w:szCs w:val="32"/>
            </w:rPr>
            <w:t>R$ 117.350,00</w:t>
          </w:r>
        </w:p>
        <w:p>
          <w:pPr>
            <w:pStyle w:val="Normal"/>
            <w:jc w:val="left"/>
            <w:rPr>
              <w:rFonts w:ascii="Arial Nova" w:hAnsi="Arial Nova" w:cs="Calibri" w:cstheme="minorHAnsi"/>
              <w:b/>
              <w:color w:val="066301"/>
              <w:sz w:val="36"/>
              <w:szCs w:val="36"/>
            </w:rPr>
          </w:pPr>
          <w:r>
            <w:rPr>
              <w:rFonts w:cs="Calibri" w:cstheme="minorHAnsi" w:ascii="Arial Nova" w:hAnsi="Arial Nova"/>
              <w:b/>
              <w:color w:val="066301"/>
              <w:sz w:val="36"/>
              <w:szCs w:val="36"/>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cs="Calibri" w:cstheme="minorHAnsi"/>
            </w:rPr>
          </w:pPr>
          <w:r>
            <w:rPr>
              <w:rFonts w:cs="Calibri" w:ascii="Arial Nova" w:hAnsi="Arial Nova" w:cstheme="minorHAnsi"/>
              <w:b/>
              <w:sz w:val="32"/>
              <w:szCs w:val="32"/>
            </w:rPr>
            <w:t xml:space="preserve"> </w:t>
          </w:r>
          <w:r>
            <w:rPr>
              <w:rFonts w:cs="Calibri" w:ascii="Arial Nova" w:hAnsi="Arial Nova" w:cstheme="minorHAnsi"/>
              <w:b/>
              <w:sz w:val="32"/>
              <w:szCs w:val="32"/>
            </w:rPr>
            <w:t>08</w:t>
          </w:r>
          <w:r>
            <w:rPr>
              <w:rFonts w:cs="Calibri" w:ascii="Arial Nova" w:hAnsi="Arial Nova" w:cstheme="minorHAnsi"/>
              <w:b/>
              <w:sz w:val="32"/>
              <w:szCs w:val="32"/>
            </w:rPr>
            <w:t>/06</w:t>
          </w:r>
          <w:r>
            <w:rPr>
              <w:rFonts w:cs="Calibri" w:ascii="Arial Nova" w:hAnsi="Arial Nova" w:cstheme="minorHAnsi"/>
              <w:b/>
              <w:sz w:val="32"/>
              <w:szCs w:val="32"/>
              <w:shd w:fill="auto" w:val="clear"/>
            </w:rPr>
            <w:t xml:space="preserve">/2026 </w:t>
          </w:r>
          <w:r>
            <w:rPr>
              <w:rFonts w:cs="Calibri" w:ascii="Arial Nova" w:hAnsi="Arial Nova" w:cstheme="minorHAnsi"/>
              <w:b/>
              <w:sz w:val="32"/>
              <w:szCs w:val="32"/>
              <w:shd w:fill="auto" w:val="clear"/>
            </w:rPr>
            <w:t>09:00</w:t>
          </w:r>
        </w:p>
        <w:p>
          <w:pPr>
            <w:pStyle w:val="Normal"/>
            <w:jc w:val="left"/>
            <w:rPr>
              <w:rFonts w:ascii="Arial Nova" w:hAnsi="Arial Nova" w:cs="" w:cstheme="minorBidi"/>
              <w:b/>
              <w:color w:val="066301"/>
              <w:sz w:val="40"/>
              <w:szCs w:val="40"/>
            </w:rPr>
          </w:pPr>
          <w:r>
            <w:rPr>
              <w:rFonts w:cs="" w:ascii="Arial Nova" w:hAnsi="Arial Nova" w:cstheme="minorBidi"/>
              <w:b/>
              <w:color w:val="066301"/>
              <w:sz w:val="36"/>
              <w:szCs w:val="36"/>
            </w:rPr>
            <w:t>CRITÉRIO DE JULGAMENTO</w:t>
          </w:r>
          <w:r>
            <w:rPr/>
            <w:t xml:space="preserve"> </w:t>
          </w:r>
        </w:p>
        <w:p>
          <w:pPr>
            <w:pStyle w:val="Normal"/>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rPr>
              <w:rFonts w:ascii="Calibri" w:hAnsi="Calibri" w:cs="" w:asciiTheme="minorHAnsi" w:cstheme="minorBidi" w:hAnsiTheme="minorHAnsi"/>
              <w:b/>
              <w:bCs/>
              <w:sz w:val="24"/>
              <w:szCs w:val="24"/>
            </w:rPr>
          </w:pPr>
          <w:r>
            <w:rPr>
              <w:rFonts w:cs="Calibri" w:ascii="Arial Nova" w:hAnsi="Arial Nova" w:cstheme="minorHAnsi"/>
              <w:b/>
              <w:color w:val="066301"/>
              <w:sz w:val="36"/>
              <w:szCs w:val="36"/>
            </w:rPr>
            <w:t xml:space="preserve"> </w:t>
          </w:r>
        </w:p>
        <w:p>
          <w:pPr>
            <w:pStyle w:val="Normal"/>
            <w:jc w:val="left"/>
            <w:rPr>
              <w:rFonts w:ascii="Arial Nova" w:hAnsi="Arial Nova" w:cs="" w:cstheme="minorBidi"/>
              <w:b/>
              <w:color w:val="066301"/>
              <w:sz w:val="40"/>
              <w:szCs w:val="40"/>
            </w:rPr>
          </w:pPr>
          <w:r>
            <w:rPr>
              <w:rFonts w:ascii="Arial Nova" w:hAnsi="Arial Nova"/>
              <w:b/>
              <w:color w:val="066301"/>
              <w:sz w:val="36"/>
              <w:szCs w:val="36"/>
            </w:rPr>
            <w:t>FUNDAMENTO LEGAL</w:t>
          </w:r>
        </w:p>
        <w:p>
          <w:pPr>
            <w:pStyle w:val="Normal"/>
            <w:rPr>
              <w:rFonts w:ascii="Calibri" w:hAnsi="Calibri" w:cs="" w:asciiTheme="minorHAnsi" w:cstheme="minorBidi" w:hAnsiTheme="minorHAnsi"/>
              <w:b/>
              <w:bCs/>
              <w:sz w:val="24"/>
              <w:szCs w:val="24"/>
            </w:rPr>
          </w:pPr>
          <w:r>
            <w:rPr>
              <w:rFonts w:cs="Calibri" w:ascii="Arial Nova" w:hAnsi="Arial Nova" w:cstheme="minorHAnsi"/>
              <w:b/>
              <w:color w:val="auto"/>
              <w:sz w:val="32"/>
              <w:szCs w:val="32"/>
            </w:rPr>
            <w:t>Artigo 75, inciso III, da Lei Federal nº 14.133/21</w:t>
          </w:r>
        </w:p>
        <w:p>
          <w:pPr>
            <w:pStyle w:val="Normal"/>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spacing w:lineRule="auto" w:line="240" w:before="120" w:after="0"/>
            <w:jc w:val="center"/>
            <w:rPr>
              <w:b/>
              <w:sz w:val="24"/>
              <w:szCs w:val="24"/>
            </w:rPr>
          </w:pPr>
          <w:r>
            <w:rPr>
              <w:b/>
              <w:sz w:val="24"/>
              <w:szCs w:val="24"/>
            </w:rPr>
          </w:r>
        </w:p>
        <w:p>
          <w:pPr>
            <w:pStyle w:val="Normal"/>
            <w:spacing w:lineRule="auto" w:line="240" w:before="120" w:after="0"/>
            <w:jc w:val="center"/>
            <w:rPr>
              <w:b/>
              <w:sz w:val="24"/>
              <w:szCs w:val="24"/>
            </w:rPr>
          </w:pPr>
          <w:r>
            <w:rPr>
              <w:b/>
              <w:sz w:val="24"/>
              <w:szCs w:val="24"/>
            </w:rPr>
            <w:t>DISPENSA DE LICITAÇÃO - FORNECIMENTO DE BENS</w:t>
          </w:r>
        </w:p>
        <w:p>
          <w:pPr>
            <w:pStyle w:val="Normal"/>
            <w:spacing w:lineRule="auto" w:line="240" w:before="120" w:after="0"/>
            <w:jc w:val="center"/>
            <w:rPr>
              <w:b/>
              <w:sz w:val="24"/>
              <w:szCs w:val="24"/>
            </w:rPr>
          </w:pPr>
          <w:r>
            <w:rPr>
              <w:b/>
              <w:sz w:val="24"/>
              <w:szCs w:val="24"/>
            </w:rPr>
            <w:t>TERMO DE DISPENSA DE LICITAÇÃO Nº 049</w:t>
          </w:r>
          <w:r>
            <w:rPr>
              <w:b/>
              <w:sz w:val="24"/>
              <w:szCs w:val="24"/>
              <w:shd w:fill="auto" w:val="clear"/>
            </w:rPr>
            <w:t>8/2026</w:t>
          </w:r>
        </w:p>
        <w:p>
          <w:pPr>
            <w:pStyle w:val="Normal"/>
            <w:spacing w:lineRule="auto" w:line="240" w:before="120" w:after="0"/>
            <w:jc w:val="center"/>
            <w:rPr>
              <w:b/>
              <w:sz w:val="24"/>
              <w:szCs w:val="24"/>
            </w:rPr>
          </w:pPr>
          <w:r>
            <w:rPr>
              <w:b/>
              <w:sz w:val="24"/>
              <w:szCs w:val="24"/>
            </w:rPr>
            <w:t xml:space="preserve">PROCESSO ADMINISTRATIVO Nº </w:t>
          </w:r>
          <w:r>
            <w:rPr>
              <w:b/>
              <w:bCs/>
              <w:sz w:val="24"/>
              <w:szCs w:val="24"/>
            </w:rPr>
            <w:t>24/1500-0025496-0</w:t>
          </w:r>
        </w:p>
        <w:p>
          <w:pPr>
            <w:pStyle w:val="Normal"/>
            <w:spacing w:lineRule="auto" w:line="240" w:before="120" w:after="0"/>
            <w:jc w:val="center"/>
            <w:rPr>
              <w:b/>
              <w:sz w:val="24"/>
              <w:szCs w:val="24"/>
            </w:rPr>
          </w:pPr>
          <w:r>
            <w:rPr>
              <w:b/>
              <w:sz w:val="24"/>
              <w:szCs w:val="24"/>
            </w:rPr>
          </w:r>
        </w:p>
        <w:p>
          <w:pPr>
            <w:pStyle w:val="Normal"/>
            <w:tabs>
              <w:tab w:val="clear" w:pos="720"/>
              <w:tab w:val="left" w:pos="8137" w:leader="none"/>
            </w:tabs>
            <w:spacing w:lineRule="auto" w:line="240" w:before="120" w:after="0"/>
            <w:rPr>
              <w:b/>
              <w:sz w:val="24"/>
              <w:szCs w:val="24"/>
            </w:rPr>
          </w:pPr>
          <w:r>
            <w:rPr>
              <w:b/>
              <w:sz w:val="24"/>
              <w:szCs w:val="24"/>
            </w:rPr>
            <w:t>CONDIÇÕES GERAIS DE DISPENSA DE LICITAÇÃO - ÍNDICE</w:t>
            <w:tab/>
          </w:r>
        </w:p>
        <w:p>
          <w:pPr>
            <w:pStyle w:val="Normal"/>
            <w:spacing w:lineRule="auto" w:line="240" w:before="120" w:after="0"/>
            <w:jc w:val="center"/>
            <w:rPr>
              <w:b/>
              <w:sz w:val="24"/>
              <w:szCs w:val="24"/>
            </w:rPr>
          </w:pPr>
          <w:r>
            <w:rPr>
              <w:b/>
              <w:sz w:val="24"/>
              <w:szCs w:val="24"/>
            </w:rPr>
          </w:r>
        </w:p>
        <w:p>
          <w:pPr>
            <w:pStyle w:val="Normal"/>
            <w:widowControl w:val="false"/>
            <w:spacing w:lineRule="auto" w:line="240" w:before="80" w:after="0"/>
            <w:rPr>
              <w:rFonts w:eastAsia="Times New Roman"/>
              <w:b/>
              <w:sz w:val="24"/>
              <w:szCs w:val="24"/>
            </w:rPr>
          </w:pPr>
          <w:r>
            <w:rPr>
              <w:rFonts w:eastAsia="Times New Roman"/>
              <w:b/>
              <w:sz w:val="24"/>
              <w:szCs w:val="24"/>
            </w:rPr>
            <w:t xml:space="preserve">1. DO OBJETO </w:t>
          </w:r>
        </w:p>
        <w:p>
          <w:pPr>
            <w:pStyle w:val="Normal"/>
            <w:widowControl w:val="false"/>
            <w:spacing w:lineRule="auto" w:line="240" w:before="80" w:after="0"/>
            <w:rPr>
              <w:rFonts w:eastAsia="Times New Roman"/>
              <w:b/>
              <w:sz w:val="24"/>
              <w:szCs w:val="24"/>
            </w:rPr>
          </w:pPr>
          <w:r>
            <w:rPr>
              <w:rFonts w:eastAsia="Times New Roman"/>
              <w:b/>
              <w:sz w:val="24"/>
              <w:szCs w:val="24"/>
            </w:rPr>
            <w:t>2. DA DISPONIBILIZAÇÃO DO TERMO DE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3. DA DATA E DO HORÁRIO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4. DA PARTICIPAÇÃO</w:t>
          </w:r>
        </w:p>
        <w:p>
          <w:pPr>
            <w:pStyle w:val="Normal"/>
            <w:widowControl w:val="false"/>
            <w:spacing w:lineRule="auto" w:line="240" w:before="80" w:after="0"/>
            <w:rPr>
              <w:rFonts w:eastAsia="Times New Roman"/>
              <w:b/>
              <w:sz w:val="24"/>
              <w:szCs w:val="24"/>
            </w:rPr>
          </w:pPr>
          <w:r>
            <w:rPr>
              <w:rFonts w:eastAsia="Times New Roman"/>
              <w:b/>
              <w:sz w:val="24"/>
              <w:szCs w:val="24"/>
            </w:rPr>
            <w:t>5. DA PARTICIPAÇÃO DE MICROEMPRESAS E DE EMPRESAS DE PEQUENO PORTE</w:t>
          </w:r>
        </w:p>
        <w:p>
          <w:pPr>
            <w:pStyle w:val="Normal"/>
            <w:widowControl w:val="false"/>
            <w:spacing w:lineRule="auto" w:line="240" w:before="80" w:after="0"/>
            <w:rPr>
              <w:rFonts w:eastAsia="Times New Roman"/>
              <w:b/>
              <w:sz w:val="24"/>
              <w:szCs w:val="24"/>
            </w:rPr>
          </w:pPr>
          <w:r>
            <w:rPr>
              <w:rFonts w:eastAsia="Times New Roman"/>
              <w:b/>
              <w:sz w:val="24"/>
              <w:szCs w:val="24"/>
            </w:rPr>
            <w:t>6. DO CREDENCIAMENTO</w:t>
          </w:r>
        </w:p>
        <w:p>
          <w:pPr>
            <w:pStyle w:val="Normal"/>
            <w:widowControl w:val="false"/>
            <w:spacing w:lineRule="auto" w:line="240" w:before="80" w:after="0"/>
            <w:rPr>
              <w:rFonts w:eastAsia="Times New Roman"/>
              <w:b/>
              <w:sz w:val="24"/>
              <w:szCs w:val="24"/>
            </w:rPr>
          </w:pPr>
          <w:r>
            <w:rPr>
              <w:rFonts w:eastAsia="Times New Roman"/>
              <w:b/>
              <w:sz w:val="24"/>
              <w:szCs w:val="24"/>
            </w:rPr>
            <w:t>7. DA PROPOSTA DE PREÇOS</w:t>
          </w:r>
        </w:p>
        <w:p>
          <w:pPr>
            <w:pStyle w:val="Normal"/>
            <w:widowControl w:val="false"/>
            <w:spacing w:lineRule="auto" w:line="240" w:before="80" w:after="0"/>
            <w:rPr>
              <w:rFonts w:eastAsia="Times New Roman"/>
              <w:b/>
              <w:sz w:val="24"/>
              <w:szCs w:val="24"/>
            </w:rPr>
          </w:pPr>
          <w:r>
            <w:rPr>
              <w:rFonts w:eastAsia="Times New Roman"/>
              <w:b/>
              <w:sz w:val="24"/>
              <w:szCs w:val="24"/>
            </w:rPr>
            <w:t>8. DA SESSÃO PÚBLICA DA DISPENSA DE LICITAÇÃO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9. DA REFERÊNCIA DE TEMPO </w:t>
          </w:r>
        </w:p>
        <w:p>
          <w:pPr>
            <w:pStyle w:val="Normal"/>
            <w:widowControl w:val="false"/>
            <w:spacing w:lineRule="auto" w:line="240" w:before="80" w:after="0"/>
            <w:rPr>
              <w:rFonts w:eastAsia="Times New Roman"/>
              <w:b/>
              <w:sz w:val="24"/>
              <w:szCs w:val="24"/>
            </w:rPr>
          </w:pPr>
          <w:r>
            <w:rPr>
              <w:rFonts w:eastAsia="Times New Roman"/>
              <w:b/>
              <w:sz w:val="24"/>
              <w:szCs w:val="24"/>
            </w:rPr>
            <w:t xml:space="preserve">10. DA ABERTURA DA PROPOSTA E DA ETAPA COMPETITIVA </w:t>
          </w:r>
        </w:p>
        <w:p>
          <w:pPr>
            <w:pStyle w:val="Normal"/>
            <w:widowControl w:val="false"/>
            <w:spacing w:lineRule="auto" w:line="240" w:before="80" w:after="0"/>
            <w:rPr>
              <w:rFonts w:eastAsia="Times New Roman"/>
              <w:b/>
              <w:sz w:val="24"/>
              <w:szCs w:val="24"/>
            </w:rPr>
          </w:pPr>
          <w:r>
            <w:rPr>
              <w:rFonts w:eastAsia="Times New Roman"/>
              <w:b/>
              <w:sz w:val="24"/>
              <w:szCs w:val="24"/>
            </w:rPr>
            <w:t>11. DA NEGOCIAÇÃO</w:t>
          </w:r>
        </w:p>
        <w:p>
          <w:pPr>
            <w:pStyle w:val="Normal"/>
            <w:widowControl w:val="false"/>
            <w:spacing w:lineRule="auto" w:line="240" w:before="80" w:after="0"/>
            <w:rPr>
              <w:rFonts w:eastAsia="Times New Roman"/>
              <w:b/>
              <w:sz w:val="24"/>
              <w:szCs w:val="24"/>
            </w:rPr>
          </w:pPr>
          <w:r>
            <w:rPr>
              <w:rFonts w:eastAsia="Times New Roman"/>
              <w:b/>
              <w:sz w:val="24"/>
              <w:szCs w:val="24"/>
            </w:rPr>
            <w:t>12. DA ACEITABILIDADE E DO JULGAMENTO DAS PROPOSTAS</w:t>
          </w:r>
        </w:p>
        <w:p>
          <w:pPr>
            <w:pStyle w:val="Normal"/>
            <w:widowControl w:val="false"/>
            <w:spacing w:lineRule="auto" w:line="240" w:before="80" w:after="0"/>
            <w:rPr>
              <w:rFonts w:eastAsia="Times New Roman"/>
              <w:b/>
              <w:sz w:val="24"/>
              <w:szCs w:val="24"/>
            </w:rPr>
          </w:pPr>
          <w:r>
            <w:rPr>
              <w:rFonts w:eastAsia="Times New Roman"/>
              <w:b/>
              <w:sz w:val="24"/>
              <w:szCs w:val="24"/>
            </w:rPr>
            <w:t>13. DA HABILITAÇÃO</w:t>
          </w:r>
        </w:p>
        <w:p>
          <w:pPr>
            <w:pStyle w:val="Normal"/>
            <w:widowControl w:val="false"/>
            <w:spacing w:lineRule="auto" w:line="240" w:before="80" w:after="0"/>
            <w:rPr>
              <w:rFonts w:eastAsia="Times New Roman"/>
              <w:b/>
              <w:bCs/>
              <w:sz w:val="24"/>
              <w:szCs w:val="24"/>
            </w:rPr>
          </w:pPr>
          <w:r>
            <w:rPr>
              <w:rFonts w:eastAsia="Times New Roman"/>
              <w:b/>
              <w:bCs/>
              <w:sz w:val="24"/>
              <w:szCs w:val="24"/>
            </w:rPr>
            <w:t>14. DA ADJUDICAÇÃO</w:t>
          </w:r>
        </w:p>
        <w:p>
          <w:pPr>
            <w:pStyle w:val="Normal"/>
            <w:widowControl w:val="false"/>
            <w:spacing w:lineRule="auto" w:line="240" w:before="80" w:after="0"/>
            <w:rPr>
              <w:rFonts w:eastAsia="Times New Roman"/>
              <w:b/>
              <w:bCs/>
              <w:sz w:val="24"/>
              <w:szCs w:val="24"/>
            </w:rPr>
          </w:pPr>
          <w:r>
            <w:rPr>
              <w:rFonts w:eastAsia="Times New Roman"/>
              <w:b/>
              <w:bCs/>
              <w:sz w:val="24"/>
              <w:szCs w:val="24"/>
            </w:rPr>
            <w:t>15. DA HOMOLOGAÇÃO</w:t>
          </w:r>
        </w:p>
        <w:p>
          <w:pPr>
            <w:pStyle w:val="Normal"/>
            <w:widowControl w:val="false"/>
            <w:spacing w:lineRule="auto" w:line="240" w:before="80" w:after="0"/>
            <w:rPr>
              <w:rFonts w:eastAsia="Times New Roman"/>
              <w:b/>
              <w:sz w:val="24"/>
              <w:szCs w:val="24"/>
            </w:rPr>
          </w:pPr>
          <w:r>
            <w:rPr>
              <w:rFonts w:eastAsia="Times New Roman"/>
              <w:b/>
              <w:sz w:val="24"/>
              <w:szCs w:val="24"/>
            </w:rPr>
            <w:t xml:space="preserve">16. DO TERMO DE CONTRATO </w:t>
          </w:r>
        </w:p>
        <w:p>
          <w:pPr>
            <w:pStyle w:val="Normal"/>
            <w:widowControl w:val="false"/>
            <w:spacing w:lineRule="auto" w:line="240" w:before="80" w:after="0"/>
            <w:rPr>
              <w:rFonts w:eastAsia="Times New Roman"/>
              <w:b/>
              <w:sz w:val="24"/>
              <w:szCs w:val="24"/>
            </w:rPr>
          </w:pPr>
          <w:r>
            <w:rPr>
              <w:rFonts w:eastAsia="Times New Roman"/>
              <w:b/>
              <w:sz w:val="24"/>
              <w:szCs w:val="24"/>
            </w:rPr>
            <w:t>17. DO PAGAMENTO</w:t>
          </w:r>
        </w:p>
        <w:p>
          <w:pPr>
            <w:pStyle w:val="Normal"/>
            <w:widowControl w:val="false"/>
            <w:spacing w:lineRule="auto" w:line="240" w:before="80" w:after="0"/>
            <w:rPr>
              <w:rFonts w:eastAsia="Times New Roman"/>
              <w:b/>
              <w:sz w:val="24"/>
              <w:szCs w:val="24"/>
            </w:rPr>
          </w:pPr>
          <w:r>
            <w:rPr>
              <w:rFonts w:eastAsia="Times New Roman"/>
              <w:b/>
              <w:sz w:val="24"/>
              <w:szCs w:val="24"/>
            </w:rPr>
            <w:t>18. DO REAJUSTE</w:t>
          </w:r>
        </w:p>
        <w:p>
          <w:pPr>
            <w:pStyle w:val="Normal"/>
            <w:widowControl w:val="false"/>
            <w:spacing w:lineRule="auto" w:line="240" w:before="80" w:after="0"/>
            <w:rPr>
              <w:rFonts w:eastAsia="Times New Roman"/>
              <w:b/>
              <w:sz w:val="24"/>
              <w:szCs w:val="24"/>
            </w:rPr>
          </w:pPr>
          <w:r>
            <w:rPr>
              <w:rFonts w:eastAsia="Times New Roman"/>
              <w:b/>
              <w:sz w:val="24"/>
              <w:szCs w:val="24"/>
            </w:rPr>
            <w:t>19. DA FONTE DE RECURSOS</w:t>
          </w:r>
        </w:p>
        <w:p>
          <w:pPr>
            <w:pStyle w:val="Normal"/>
            <w:widowControl w:val="false"/>
            <w:spacing w:lineRule="auto" w:line="240" w:before="80" w:after="0"/>
            <w:rPr>
              <w:rFonts w:eastAsia="Times New Roman"/>
              <w:b/>
              <w:sz w:val="24"/>
              <w:szCs w:val="24"/>
            </w:rPr>
          </w:pPr>
          <w:r>
            <w:rPr>
              <w:rFonts w:eastAsia="Times New Roman"/>
              <w:b/>
              <w:sz w:val="24"/>
              <w:szCs w:val="24"/>
            </w:rPr>
            <w:t>20. DAS OBRIGAÇÕES DO ADJUDICATÁRIO</w:t>
          </w:r>
        </w:p>
        <w:p>
          <w:pPr>
            <w:pStyle w:val="Normal"/>
            <w:widowControl w:val="false"/>
            <w:spacing w:lineRule="auto" w:line="240" w:before="80" w:after="0"/>
            <w:rPr>
              <w:rFonts w:eastAsia="Times New Roman"/>
              <w:b/>
              <w:sz w:val="24"/>
              <w:szCs w:val="24"/>
            </w:rPr>
          </w:pPr>
          <w:r>
            <w:rPr>
              <w:rFonts w:eastAsia="Times New Roman"/>
              <w:b/>
              <w:sz w:val="24"/>
              <w:szCs w:val="24"/>
            </w:rPr>
            <w:t>21. DA GARANTIA DE EXECUÇÃO</w:t>
          </w:r>
        </w:p>
        <w:p>
          <w:pPr>
            <w:pStyle w:val="Normal"/>
            <w:widowControl w:val="false"/>
            <w:spacing w:lineRule="auto" w:line="240" w:before="80" w:after="0"/>
            <w:rPr>
              <w:rFonts w:eastAsia="Times New Roman"/>
              <w:b/>
              <w:sz w:val="24"/>
              <w:szCs w:val="24"/>
            </w:rPr>
          </w:pPr>
          <w:r>
            <w:rPr>
              <w:rFonts w:eastAsia="Times New Roman"/>
              <w:b/>
              <w:sz w:val="24"/>
              <w:szCs w:val="24"/>
            </w:rPr>
            <w:t>22. DAS INFRAÇÕES E SANÇÕES ADMINISTRATIVAS</w:t>
          </w:r>
        </w:p>
        <w:p>
          <w:pPr>
            <w:pStyle w:val="Normal"/>
            <w:widowControl w:val="false"/>
            <w:spacing w:lineRule="auto" w:line="240" w:before="80" w:after="0"/>
            <w:rPr>
              <w:rFonts w:eastAsia="Times New Roman"/>
              <w:b/>
              <w:sz w:val="24"/>
              <w:szCs w:val="24"/>
            </w:rPr>
          </w:pPr>
          <w:r>
            <w:rPr>
              <w:rFonts w:eastAsia="Times New Roman"/>
              <w:b/>
              <w:sz w:val="24"/>
              <w:szCs w:val="24"/>
            </w:rPr>
            <w:t>23. DAS DISPOSIÇÕES FINAIS</w:t>
          </w:r>
        </w:p>
        <w:p>
          <w:pPr>
            <w:pStyle w:val="Normal"/>
            <w:widowControl w:val="false"/>
            <w:spacing w:lineRule="auto" w:line="240" w:before="120" w:after="0"/>
            <w:rPr>
              <w:rFonts w:eastAsia="Times New Roman"/>
              <w:b/>
              <w:sz w:val="24"/>
              <w:szCs w:val="24"/>
            </w:rPr>
          </w:pPr>
          <w:r>
            <w:rPr>
              <w:rFonts w:eastAsia="Times New Roman"/>
              <w:b/>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 xml:space="preserve">ANEXOS </w:t>
          </w:r>
        </w:p>
        <w:p>
          <w:pPr>
            <w:pStyle w:val="Normal"/>
            <w:widowControl w:val="false"/>
            <w:spacing w:lineRule="auto" w:line="240" w:before="120" w:after="0"/>
            <w:rPr>
              <w:rFonts w:eastAsia="Times New Roman"/>
              <w:b/>
              <w:bCs/>
              <w:sz w:val="24"/>
              <w:szCs w:val="24"/>
            </w:rPr>
          </w:pPr>
          <w:r>
            <w:rPr>
              <w:rFonts w:eastAsia="Times New Roman"/>
              <w:b/>
              <w:bCs/>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b/>
              <w:bCs/>
              <w:sz w:val="24"/>
              <w:szCs w:val="24"/>
            </w:rPr>
          </w:pPr>
          <w:r>
            <w:rPr>
              <w:rFonts w:eastAsia="Times New Roman"/>
              <w:b/>
              <w:bCs/>
              <w:sz w:val="24"/>
              <w:szCs w:val="24"/>
            </w:rPr>
            <w:t xml:space="preserve">ANEXO IV – TERMO DE REFERÊNCIA </w:t>
          </w:r>
          <w:r>
            <w:br w:type="page"/>
          </w:r>
        </w:p>
        <w:p>
          <w:pPr>
            <w:pStyle w:val="Normal"/>
            <w:spacing w:lineRule="auto" w:line="240" w:before="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t xml:space="preserve">CONDIÇÕES GERAIS DE DISPENSA DE LICITAÇÃO - CGDL </w:t>
          </w:r>
        </w:p>
        <w:p>
          <w:pPr>
            <w:pStyle w:val="Normal"/>
            <w:spacing w:lineRule="auto" w:line="240" w:before="120" w:after="0"/>
            <w:jc w:val="center"/>
            <w:rPr>
              <w:b/>
              <w:sz w:val="24"/>
              <w:szCs w:val="24"/>
            </w:rPr>
          </w:pPr>
          <w:r>
            <w:rPr>
              <w:b/>
              <w:sz w:val="24"/>
              <w:szCs w:val="24"/>
            </w:rPr>
            <w:t>FORNECIMENTO DE BENS</w:t>
          </w:r>
        </w:p>
        <w:p>
          <w:pPr>
            <w:pStyle w:val="Normal"/>
            <w:spacing w:lineRule="auto" w:line="240" w:before="120" w:after="0"/>
            <w:jc w:val="center"/>
            <w:rPr>
              <w:b/>
              <w:sz w:val="24"/>
              <w:szCs w:val="24"/>
            </w:rPr>
          </w:pPr>
          <w:r>
            <w:rPr>
              <w:b/>
              <w:sz w:val="24"/>
              <w:szCs w:val="24"/>
            </w:rPr>
          </w:r>
        </w:p>
        <w:p>
          <w:pPr>
            <w:pStyle w:val="Normal"/>
            <w:spacing w:lineRule="auto" w:line="240" w:before="120" w:after="0"/>
            <w:rPr>
              <w:sz w:val="24"/>
              <w:szCs w:val="24"/>
            </w:rPr>
          </w:pPr>
          <w:r>
            <w:rPr>
              <w:sz w:val="24"/>
              <w:szCs w:val="24"/>
            </w:rPr>
            <w:t>[</w:t>
          </w:r>
          <w:r>
            <w:rPr>
              <w:rFonts w:eastAsia="Times"/>
              <w:sz w:val="24"/>
              <w:szCs w:val="24"/>
            </w:rPr>
            <w:t>Órgão/entidade conforme ANEXO III – FOLHA DE DADOS (CGDL - Preâmbulo)]</w:t>
          </w:r>
          <w:r>
            <w:rPr>
              <w:sz w:val="24"/>
              <w:szCs w:val="24"/>
            </w:rPr>
            <w:t xml:space="preserve"> torna público que realizará DISPENSA DE LICITAÇÃO por meio da INTERNET. A presente dispensa de licitação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Lei Estadual nº 13.706, de 6 de abril de 2011; </w:t>
          </w:r>
          <w:r>
            <w:rPr>
              <w:color w:val="auto"/>
              <w:sz w:val="24"/>
              <w:szCs w:val="24"/>
            </w:rPr>
            <w:t xml:space="preserve">Decreto Estadual </w:t>
          </w:r>
          <w:r>
            <w:rPr>
              <w:sz w:val="24"/>
              <w:szCs w:val="24"/>
            </w:rPr>
            <w:t xml:space="preserve">nº </w:t>
          </w:r>
          <w:r>
            <w:rPr>
              <w:color w:val="auto"/>
              <w:sz w:val="24"/>
              <w:szCs w:val="24"/>
            </w:rPr>
            <w:t>57.034, de 23 de maio de 2023</w:t>
          </w:r>
          <w:r>
            <w:rPr>
              <w:sz w:val="24"/>
              <w:szCs w:val="24"/>
            </w:rPr>
            <w:t xml:space="preserve">; </w:t>
          </w:r>
          <w:r>
            <w:rPr>
              <w:color w:val="auto"/>
              <w:sz w:val="24"/>
              <w:szCs w:val="24"/>
            </w:rPr>
            <w:t xml:space="preserve">Decreto Estadual </w:t>
          </w:r>
          <w:r>
            <w:rPr>
              <w:sz w:val="24"/>
              <w:szCs w:val="24"/>
            </w:rPr>
            <w:t xml:space="preserve">nº </w:t>
          </w:r>
          <w:r>
            <w:rPr>
              <w:color w:val="auto"/>
              <w:sz w:val="24"/>
              <w:szCs w:val="24"/>
            </w:rPr>
            <w:t>57.032, de 23 de maio de 2023</w:t>
          </w:r>
          <w:r>
            <w:rPr>
              <w:sz w:val="24"/>
              <w:szCs w:val="24"/>
            </w:rPr>
            <w:t xml:space="preserve">; </w:t>
          </w:r>
          <w:r>
            <w:rPr>
              <w:color w:val="auto"/>
              <w:sz w:val="24"/>
              <w:szCs w:val="24"/>
            </w:rPr>
            <w:t>Decreto Estadual nº 55.717, de 13 de janeiro de 2021</w:t>
          </w:r>
          <w:r>
            <w:rPr>
              <w:sz w:val="24"/>
              <w:szCs w:val="24"/>
            </w:rPr>
            <w:t xml:space="preserve">; Decreto Estadual nº 53.355, de 21 de dezembro de 2016; </w:t>
          </w:r>
          <w:r>
            <w:rPr>
              <w:color w:val="auto"/>
              <w:sz w:val="24"/>
              <w:szCs w:val="24"/>
            </w:rPr>
            <w:t>Decreto Estadual nº 48.160, de 14 de julho de 2011</w:t>
          </w:r>
          <w:r>
            <w:rPr>
              <w:sz w:val="24"/>
              <w:szCs w:val="24"/>
            </w:rPr>
            <w:t xml:space="preserve">; </w:t>
          </w:r>
          <w:r>
            <w:rPr>
              <w:color w:val="auto"/>
              <w:sz w:val="24"/>
              <w:szCs w:val="24"/>
            </w:rPr>
            <w:t>Decreto Estadual nº 42.250, de 19 de maio de 2003</w:t>
          </w:r>
          <w:r>
            <w:rPr>
              <w:rFonts w:eastAsia="Arial"/>
              <w:color w:val="auto"/>
              <w:sz w:val="24"/>
              <w:szCs w:val="24"/>
            </w:rPr>
            <w:t>, Decreto Estadual nº 57.154 de 22 de agosto de 2023</w:t>
          </w:r>
          <w:r>
            <w:rPr>
              <w:color w:val="auto"/>
              <w:sz w:val="24"/>
              <w:szCs w:val="24"/>
            </w:rPr>
            <w:t xml:space="preserve">  e pelas condições previstas neste Termo de Dispensa </w:t>
          </w:r>
          <w:r>
            <w:rPr>
              <w:sz w:val="24"/>
              <w:szCs w:val="24"/>
            </w:rPr>
            <w:t xml:space="preserve">de Licitação e seus anexos.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O objeto da presente dispensa de licitação visa à aquisição de bens, conforme descrição e condições especificadas no </w:t>
          </w:r>
          <w:r>
            <w:rPr>
              <w:b/>
              <w:bCs/>
              <w:sz w:val="24"/>
              <w:szCs w:val="24"/>
            </w:rPr>
            <w:t>ANEXO III – FOLHA DE DADOS (CGDL 1.1)</w:t>
          </w:r>
          <w:r>
            <w:rPr>
              <w:sz w:val="24"/>
              <w:szCs w:val="24"/>
            </w:rPr>
            <w:t xml:space="preserve"> e de acordo com as condições contidas no </w:t>
          </w:r>
          <w:r>
            <w:rPr>
              <w:b/>
              <w:bCs/>
              <w:sz w:val="24"/>
              <w:szCs w:val="24"/>
            </w:rPr>
            <w:t>Termo de Referência – Anexo IV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III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III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III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1" w:name="_4._DA_PARTICIPAÇÃO"/>
          <w:bookmarkEnd w:id="1"/>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III – FOLHA DE DADOS (CGDL 4.1.1)</w:t>
          </w:r>
          <w:r>
            <w:rPr>
              <w:sz w:val="24"/>
              <w:szCs w:val="24"/>
            </w:rPr>
            <w:t>;</w:t>
          </w:r>
        </w:p>
        <w:p>
          <w:pPr>
            <w:pStyle w:val="Normal"/>
            <w:spacing w:lineRule="auto" w:line="240" w:before="120" w:after="0"/>
            <w:rPr>
              <w:sz w:val="24"/>
              <w:szCs w:val="24"/>
            </w:rPr>
          </w:pPr>
          <w:r>
            <w:rPr>
              <w:sz w:val="24"/>
              <w:szCs w:val="24"/>
            </w:rPr>
            <w:t>4.1.2. pessoa física que esteja devidamente credenciada nos termos do item 6;</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III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III – FOLHA DE DADOS (CGDL 4.1.4)</w:t>
          </w:r>
          <w:r>
            <w:rPr>
              <w:color w:val="auto"/>
              <w:sz w:val="24"/>
              <w:szCs w:val="24"/>
            </w:rPr>
            <w:t>;</w:t>
          </w:r>
        </w:p>
        <w:p>
          <w:pPr>
            <w:pStyle w:val="Normal"/>
            <w:spacing w:lineRule="auto" w:line="240" w:before="120" w:after="0"/>
            <w:ind w:right="-1"/>
            <w:rPr>
              <w:color w:themeColor="background1"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40" w:before="120" w:after="0"/>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sz w:val="24"/>
              <w:szCs w:val="24"/>
            </w:rPr>
          </w:pPr>
          <w:r>
            <w:rPr>
              <w:sz w:val="24"/>
              <w:szCs w:val="24"/>
            </w:rPr>
            <w:t>4.5.</w:t>
          </w:r>
          <w:r>
            <w:rPr>
              <w:color w:themeColor="text1" w:val="000000"/>
              <w:sz w:val="24"/>
              <w:szCs w:val="24"/>
            </w:rPr>
            <w:t xml:space="preserve"> Não poderá haver </w:t>
          </w:r>
          <w:r>
            <w:rPr>
              <w:sz w:val="24"/>
              <w:szCs w:val="24"/>
            </w:rPr>
            <w:t xml:space="preserve">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sz w:val="24"/>
              <w:szCs w:val="24"/>
            </w:rPr>
          </w:pPr>
          <w:r>
            <w:rPr>
              <w:sz w:val="24"/>
              <w:szCs w:val="24"/>
            </w:rPr>
            <w:t xml:space="preserve">5.4. Ocorrendo o empate </w:t>
          </w:r>
          <w:bookmarkStart w:id="2" w:name="_Hlk115863480"/>
          <w:r>
            <w:rPr>
              <w:sz w:val="24"/>
              <w:szCs w:val="24"/>
            </w:rPr>
            <w:t>nos termos da Lei Complementar Federal nº 123/2006</w:t>
          </w:r>
          <w:bookmarkEnd w:id="2"/>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sz w:val="24"/>
              <w:szCs w:val="24"/>
            </w:rPr>
          </w:pPr>
          <w:r>
            <w:rPr>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themeColor="text1" w:val="000000"/>
              <w:sz w:val="24"/>
              <w:szCs w:val="24"/>
            </w:rPr>
          </w:pPr>
          <w:r>
            <w:rPr>
              <w:sz w:val="24"/>
              <w:szCs w:val="24"/>
            </w:rPr>
            <w:t xml:space="preserve">5.10. Observar o disposto no </w:t>
          </w:r>
          <w:r>
            <w:rPr>
              <w:b/>
              <w:bCs/>
              <w:sz w:val="24"/>
              <w:szCs w:val="24"/>
            </w:rPr>
            <w:t>Anexo III - FOLHA DE DADOS (CGDL</w:t>
          </w:r>
          <w:r>
            <w:rPr>
              <w:b/>
              <w:bCs/>
              <w:color w:themeColor="text1" w:val="000000"/>
              <w:sz w:val="24"/>
              <w:szCs w:val="24"/>
            </w:rPr>
            <w:t xml:space="preserve"> 4.1.1) </w:t>
          </w:r>
          <w:r>
            <w:rPr>
              <w:color w:themeColor="text1" w:val="000000"/>
              <w:sz w:val="24"/>
              <w:szCs w:val="24"/>
            </w:rPr>
            <w:t>quanto ao</w:t>
          </w:r>
          <w:r>
            <w:rPr>
              <w:b/>
              <w:bCs/>
              <w:color w:themeColor="text1" w:val="000000"/>
              <w:sz w:val="24"/>
              <w:szCs w:val="24"/>
            </w:rPr>
            <w:t xml:space="preserve"> </w:t>
          </w:r>
          <w:r>
            <w:rPr>
              <w:color w:themeColor="text1" w:val="000000"/>
              <w:sz w:val="24"/>
              <w:szCs w:val="24"/>
            </w:rPr>
            <w:t>tratamento preferencial para Microempresas e Empresas de Pequeno Porte na hipótese do art. 4º, § 1º, I da Lei Federal nº 14.133/2021.</w:t>
          </w:r>
        </w:p>
        <w:p>
          <w:pPr>
            <w:pStyle w:val="Heading5"/>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6. DO CREDENCIAMENTO</w:t>
          </w:r>
        </w:p>
        <w:p>
          <w:pPr>
            <w:pStyle w:val="Normal"/>
            <w:spacing w:lineRule="auto" w:line="240" w:before="120" w:after="0"/>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rStyle w:val="Hyperlink"/>
              <w:sz w:val="24"/>
              <w:szCs w:val="24"/>
            </w:rPr>
            <w:instrText xml:space="preserve"> HYPERLINK "https://portaldofornecedor.rs.gov.br/" \l "/home"</w:instrText>
          </w:r>
          <w:r>
            <w:rPr>
              <w:rStyle w:val="Hyperlink"/>
              <w:sz w:val="24"/>
              <w:szCs w:val="24"/>
            </w:rPr>
            <w:fldChar w:fldCharType="separate"/>
          </w:r>
          <w:r>
            <w:rPr>
              <w:rStyle w:val="Hyperlink"/>
              <w:sz w:val="24"/>
              <w:szCs w:val="24"/>
            </w:rPr>
            <w:t>portaldofornecedor.rs.gov.br</w:t>
          </w:r>
          <w:r>
            <w:rPr>
              <w:rStyle w:val="Hyperlink"/>
              <w:sz w:val="24"/>
              <w:szCs w:val="24"/>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Normal"/>
            <w:keepNext w:val="true"/>
            <w:spacing w:lineRule="auto" w:line="240" w:before="120" w:after="0"/>
            <w:rPr>
              <w:b/>
              <w:sz w:val="24"/>
              <w:szCs w:val="24"/>
            </w:rPr>
          </w:pPr>
          <w:r>
            <w:rPr>
              <w:b/>
              <w:sz w:val="24"/>
              <w:szCs w:val="24"/>
            </w:rPr>
            <w:t xml:space="preserve">7. DA PROPOSTA DE PREÇOS </w:t>
          </w:r>
        </w:p>
        <w:p>
          <w:pPr>
            <w:pStyle w:val="Normal"/>
            <w:spacing w:lineRule="auto" w:line="240" w:before="120" w:after="0"/>
            <w:rPr>
              <w:sz w:val="24"/>
              <w:szCs w:val="24"/>
            </w:rPr>
          </w:pPr>
          <w:r>
            <w:rPr>
              <w:sz w:val="24"/>
              <w:szCs w:val="24"/>
            </w:rPr>
            <w:t xml:space="preserve">7.1. Os participantes deverão encaminhar proposta inicial até a data e hora marcadas para a abertura da sessão conforme </w:t>
          </w:r>
          <w:r>
            <w:rPr>
              <w:b/>
              <w:bCs/>
              <w:sz w:val="24"/>
              <w:szCs w:val="24"/>
            </w:rPr>
            <w:t>ANEXO III – FOLHA DE DADOS</w:t>
          </w:r>
          <w:r>
            <w:rPr>
              <w:sz w:val="24"/>
              <w:szCs w:val="24"/>
            </w:rPr>
            <w:t xml:space="preserve"> </w:t>
          </w:r>
          <w:r>
            <w:rPr>
              <w:b/>
              <w:bCs/>
              <w:sz w:val="24"/>
              <w:szCs w:val="24"/>
            </w:rPr>
            <w:t>(CGDL 3.1)</w:t>
          </w:r>
          <w:r>
            <w:rPr>
              <w:sz w:val="24"/>
              <w:szCs w:val="24"/>
            </w:rPr>
            <w:t xml:space="preserve">, exclusivamente no sistema eletrônico referido </w:t>
          </w:r>
          <w:bookmarkStart w:id="3" w:name="_Hlk37186593"/>
          <w:r>
            <w:rPr>
              <w:sz w:val="24"/>
              <w:szCs w:val="24"/>
            </w:rPr>
            <w:t xml:space="preserve">no </w:t>
          </w:r>
          <w:r>
            <w:rPr>
              <w:b/>
              <w:bCs/>
              <w:sz w:val="24"/>
              <w:szCs w:val="24"/>
            </w:rPr>
            <w:t>ANEXO III – FOLHA DE DADOS (CGDL 2.1)</w:t>
          </w:r>
          <w:bookmarkEnd w:id="3"/>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III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pacing w:val="-6"/>
              <w:sz w:val="24"/>
              <w:szCs w:val="24"/>
            </w:rPr>
            <w:t>ANEXO III – FOLHA DE DADOS (CGDL 7.2)</w:t>
          </w:r>
          <w:r>
            <w:rPr>
              <w:spacing w:val="-6"/>
              <w:sz w:val="24"/>
              <w:szCs w:val="24"/>
            </w:rPr>
            <w:t>.</w:t>
          </w:r>
          <w:r>
            <w:rPr>
              <w:sz w:val="24"/>
              <w:szCs w:val="24"/>
            </w:rPr>
            <w:t xml:space="preserve"> </w:t>
          </w:r>
        </w:p>
        <w:p>
          <w:pPr>
            <w:pStyle w:val="Normal"/>
            <w:spacing w:lineRule="auto" w:line="240" w:before="120" w:after="0"/>
            <w:rPr>
              <w:color w:val="auto"/>
              <w:sz w:val="24"/>
              <w:szCs w:val="24"/>
            </w:rPr>
          </w:pPr>
          <w:r>
            <w:rPr>
              <w:color w:val="auto"/>
              <w:sz w:val="24"/>
              <w:szCs w:val="24"/>
            </w:rPr>
            <w:t>7.3. A proposta de preços inicial deverá conter as características técnicas do produto ofertado, indicando obrigatória e expressamente, a sua marca e, se for o caso, o modelo.</w:t>
          </w:r>
        </w:p>
        <w:p>
          <w:pPr>
            <w:pStyle w:val="Normal"/>
            <w:spacing w:lineRule="auto" w:line="240" w:before="120" w:after="0"/>
            <w:rPr>
              <w:sz w:val="24"/>
              <w:szCs w:val="24"/>
            </w:rPr>
          </w:pPr>
          <w:r>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7.5. No momento do envio da proposta, o participante deverá prestar, por meio do sistema eletrônico, as seguintes declarações: </w:t>
          </w:r>
        </w:p>
        <w:p>
          <w:pPr>
            <w:pStyle w:val="Normal"/>
            <w:spacing w:lineRule="auto" w:line="240" w:before="120" w:after="0"/>
            <w:rPr>
              <w:sz w:val="24"/>
              <w:szCs w:val="24"/>
            </w:rPr>
          </w:pPr>
          <w:r>
            <w:rPr>
              <w:sz w:val="24"/>
              <w:szCs w:val="24"/>
            </w:rPr>
            <w:t>7.5.1.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 xml:space="preserve">7.5.3. que os documentos anexados eletronicamente são fiéis aos originais e válidos para todos os efeitos legais, incorrendo nas sanções previstas na </w:t>
          </w:r>
          <w:r>
            <w:rPr>
              <w:color w:val="auto"/>
              <w:sz w:val="24"/>
              <w:szCs w:val="24"/>
            </w:rPr>
            <w:t xml:space="preserve">Lei Federal nº 14.133/2021 </w:t>
          </w:r>
          <w:r>
            <w:rPr>
              <w:sz w:val="24"/>
              <w:szCs w:val="24"/>
            </w:rPr>
            <w:t>em caso de declaração falsa, sem prejuízo da responsabilização civil e criminal;</w:t>
          </w:r>
        </w:p>
        <w:p>
          <w:pPr>
            <w:pStyle w:val="Normal"/>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Calibri" w:eastAsiaTheme="minorHAnsi"/>
              <w:color w:val="auto"/>
              <w:sz w:val="24"/>
              <w:szCs w:val="24"/>
              <w:lang w:eastAsia="en-US"/>
            </w:rPr>
            <w:t>VI do art. 68 da Lei Federal nº 14.133/2021</w:t>
          </w:r>
          <w:r>
            <w:rPr>
              <w:color w:val="auto"/>
              <w:sz w:val="24"/>
              <w:szCs w:val="24"/>
            </w:rPr>
            <w:t xml:space="preserve"> (inciso XXXIII do art. 7º da Constituição Federal);</w:t>
          </w:r>
        </w:p>
        <w:p>
          <w:pPr>
            <w:pStyle w:val="Normal"/>
            <w:spacing w:lineRule="auto" w:line="240" w:before="120" w:after="0"/>
            <w:rPr>
              <w:sz w:val="24"/>
              <w:szCs w:val="24"/>
            </w:rPr>
          </w:pPr>
          <w:r>
            <w:rPr>
              <w:sz w:val="24"/>
              <w:szCs w:val="24"/>
            </w:rPr>
            <w:t xml:space="preserve">7.5.5. que tem conhecimento das condutas passíveis de penalidades elencadas no item 22 deste Termo de Dispensa de Licitação e aquelas previstas no art. </w:t>
          </w:r>
          <w:r>
            <w:rPr>
              <w:color w:val="auto"/>
              <w:sz w:val="24"/>
              <w:szCs w:val="24"/>
            </w:rPr>
            <w:t>156 da Lei Federal 14.133/2021</w:t>
          </w:r>
          <w:r>
            <w:rPr>
              <w:sz w:val="24"/>
              <w:szCs w:val="24"/>
            </w:rPr>
            <w:t>;</w:t>
          </w:r>
        </w:p>
        <w:p>
          <w:pPr>
            <w:pStyle w:val="Normal"/>
            <w:spacing w:lineRule="auto" w:line="240" w:before="120" w:after="0"/>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rFonts w:eastAsia="Arial"/>
              <w:color w:themeColor="text1" w:val="000000"/>
              <w:sz w:val="24"/>
              <w:szCs w:val="24"/>
            </w:rPr>
            <w:t xml:space="preserve">7.5.7. que possui ou não enquadramento empresarial como Microempresa ou Empresa de Pequeno Porte para fins de </w:t>
          </w:r>
          <w:r>
            <w:rPr>
              <w:sz w:val="24"/>
              <w:szCs w:val="24"/>
            </w:rPr>
            <w:t>obtenção do tratamento diferenciado e favorecido nos termos da Lei Complementar Federal nº 123/2006, se for o caso;</w:t>
          </w:r>
        </w:p>
        <w:p>
          <w:pPr>
            <w:pStyle w:val="Normal"/>
            <w:spacing w:lineRule="auto" w:line="240" w:before="120" w:after="0"/>
            <w:rPr>
              <w:rFonts w:eastAsia="Arial"/>
              <w:color w:themeColor="text1" w:val="000000"/>
              <w:sz w:val="24"/>
              <w:szCs w:val="24"/>
            </w:rPr>
          </w:pPr>
          <w:r>
            <w:rPr>
              <w:sz w:val="24"/>
              <w:szCs w:val="24"/>
            </w:rPr>
            <w:t xml:space="preserve">7.5.8. </w:t>
          </w:r>
          <w:r>
            <w:rPr>
              <w:rFonts w:eastAsia="Arial"/>
              <w:color w:themeColor="text1" w:val="000000"/>
              <w:sz w:val="24"/>
              <w:szCs w:val="24"/>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120" w:after="0"/>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sz w:val="24"/>
              <w:szCs w:val="24"/>
            </w:rPr>
          </w:pPr>
          <w:r>
            <w:rPr>
              <w:sz w:val="24"/>
              <w:szCs w:val="24"/>
            </w:rPr>
            <w:t xml:space="preserve">7.6. As declarações mencionadas nos subitens anteriores são condicionantes para a participação. </w:t>
          </w:r>
        </w:p>
        <w:p>
          <w:pPr>
            <w:pStyle w:val="Normal"/>
            <w:spacing w:lineRule="auto" w:line="240" w:before="120" w:after="0"/>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sz w:val="24"/>
              <w:szCs w:val="24"/>
            </w:rPr>
          </w:pPr>
          <w:r>
            <w:rPr>
              <w:sz w:val="24"/>
              <w:szCs w:val="24"/>
            </w:rPr>
            <w:t xml:space="preserve">7.8. Até data e hora marcadas como fim do recebimento de propostas, o participante poderá retirar ou substituir a proposta anteriormente apresentada. </w:t>
          </w:r>
        </w:p>
        <w:p>
          <w:pPr>
            <w:pStyle w:val="Normal"/>
            <w:spacing w:lineRule="auto" w:line="240" w:before="120" w:after="0"/>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7.10. Serão desclassificadas as propostas que não atenderem às exigências do presente Termo de Dispensa de Licitação, que forem omissas ou apresentarem irregularidades.</w:t>
          </w:r>
        </w:p>
        <w:p>
          <w:pPr>
            <w:pStyle w:val="Normal"/>
            <w:spacing w:lineRule="auto" w:line="240" w:before="120" w:after="0"/>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sz w:val="24"/>
              <w:szCs w:val="24"/>
            </w:rPr>
          </w:pPr>
          <w:r>
            <w:rPr>
              <w:sz w:val="24"/>
              <w:szCs w:val="24"/>
            </w:rPr>
            <w:t>7.12. Não será admitida a subcontratação.</w:t>
          </w:r>
        </w:p>
        <w:p>
          <w:pPr>
            <w:pStyle w:val="Normal"/>
            <w:spacing w:lineRule="auto" w:line="240" w:before="120" w:after="0"/>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color w:val="auto"/>
              <w:sz w:val="24"/>
              <w:szCs w:val="24"/>
            </w:rPr>
          </w:pPr>
          <w:r>
            <w:rPr>
              <w:color w:val="auto"/>
              <w:sz w:val="24"/>
              <w:szCs w:val="24"/>
            </w:rPr>
            <w:t xml:space="preserve">7.15. A proposta final deverá manter inalteradas as características, bem como a marca e modelo indicados no item 7.3. </w:t>
          </w:r>
        </w:p>
        <w:p>
          <w:pPr>
            <w:pStyle w:val="Normal"/>
            <w:spacing w:lineRule="auto" w:line="240" w:before="120" w:after="0"/>
            <w:rPr>
              <w:color w:val="auto"/>
              <w:sz w:val="24"/>
              <w:szCs w:val="24"/>
            </w:rPr>
          </w:pPr>
          <w:r>
            <w:rPr>
              <w:color w:val="auto"/>
              <w:sz w:val="24"/>
              <w:szCs w:val="24"/>
            </w:rPr>
            <w:t xml:space="preserve">7.16. As propostas deverão, sempre que possível, conter o código de barras do objeto ofertado. </w:t>
          </w:r>
        </w:p>
        <w:p>
          <w:pPr>
            <w:pStyle w:val="Normal"/>
            <w:spacing w:lineRule="auto" w:line="240" w:before="120" w:after="0"/>
            <w:rPr>
              <w:sz w:val="24"/>
              <w:szCs w:val="24"/>
            </w:rPr>
          </w:pPr>
          <w:r>
            <w:rPr>
              <w:sz w:val="24"/>
              <w:szCs w:val="24"/>
            </w:rPr>
            <w:t xml:space="preserve">7.17. As propostas ficarão disponíveis no sistema eletrônico informado no </w:t>
          </w:r>
          <w:r>
            <w:rPr>
              <w:b/>
              <w:bCs/>
              <w:sz w:val="24"/>
              <w:szCs w:val="24"/>
            </w:rPr>
            <w:t>ANEXO III – FOLHA DE DADOS (CGDL 2.1)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8. DA OPERACIONALIZAÇÃO DA SESSÃO ELETRÔNICA</w:t>
          </w:r>
        </w:p>
        <w:p>
          <w:pPr>
            <w:pStyle w:val="Normal"/>
            <w:spacing w:lineRule="auto" w:line="240" w:before="120" w:after="0"/>
            <w:rPr>
              <w:b/>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texto"/>
            <w:spacing w:before="120" w:after="0"/>
            <w:rPr>
              <w:rFonts w:eastAsia="" w:eastAsiaTheme="minorEastAsia"/>
              <w:lang w:eastAsia="en-US"/>
            </w:rPr>
          </w:pPr>
          <w:r>
            <w:rPr>
              <w:rFonts w:eastAsia=""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before="120" w:after="0"/>
            <w:rPr>
              <w:rFonts w:eastAsia="" w:eastAsiaTheme="minorEastAsia"/>
              <w:lang w:eastAsia="en-US"/>
            </w:rPr>
          </w:pPr>
          <w:r>
            <w:rPr>
              <w:rFonts w:eastAsia=""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before="120" w:after="0"/>
            <w:rPr>
              <w:rFonts w:eastAsia="" w:eastAsiaTheme="minorEastAsia"/>
              <w:lang w:eastAsia="en-US"/>
            </w:rPr>
          </w:pPr>
          <w:r>
            <w:rPr>
              <w:rFonts w:eastAsia="" w:eastAsiaTheme="minorEastAsia"/>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before="120" w:after="0"/>
            <w:rPr>
              <w:rFonts w:eastAsia="" w:eastAsiaTheme="minorEastAsia"/>
              <w:lang w:eastAsia="en-US"/>
            </w:rPr>
          </w:pPr>
          <w:r>
            <w:rPr>
              <w:rFonts w:eastAsia="" w:eastAsiaTheme="minorEastAsia"/>
              <w:lang w:eastAsia="en-US"/>
            </w:rPr>
            <w:t>8.6. No caso de desconexão do participante, o mesmo deverá de imediato, sob sua inteira responsabilidade, providenciar sua conexão ao sistema.</w:t>
          </w:r>
        </w:p>
        <w:p>
          <w:pPr>
            <w:pStyle w:val="texto"/>
            <w:spacing w:before="120" w:after="0"/>
            <w:rPr>
              <w:rFonts w:eastAsia="" w:eastAsiaTheme="minorEastAsia"/>
              <w:lang w:eastAsia="en-US"/>
            </w:rPr>
          </w:pPr>
          <w:r>
            <w:rPr>
              <w:rFonts w:eastAsia="" w:eastAsiaTheme="minorEastAsia"/>
              <w:lang w:eastAsia="en-US"/>
            </w:rPr>
          </w:r>
        </w:p>
        <w:p>
          <w:pPr>
            <w:pStyle w:val="Heading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III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III - FOLHA DE DADOS (CGDL 10.3)</w:t>
          </w:r>
          <w:r>
            <w:rPr>
              <w:sz w:val="24"/>
              <w:szCs w:val="24"/>
            </w:rPr>
            <w:t>.</w:t>
          </w:r>
        </w:p>
        <w:p>
          <w:pPr>
            <w:pStyle w:val="Normal"/>
            <w:spacing w:lineRule="auto" w:line="240" w:before="120" w:after="0"/>
            <w:rPr>
              <w:sz w:val="24"/>
              <w:szCs w:val="24"/>
            </w:rPr>
          </w:pPr>
          <w:r>
            <w:rPr>
              <w:sz w:val="24"/>
              <w:szCs w:val="24"/>
            </w:rPr>
            <w:t>10.3.1. Considera-se melhor lance o menor valor ou a maior taxa de desconto.</w:t>
          </w:r>
        </w:p>
        <w:p>
          <w:pPr>
            <w:pStyle w:val="Normal"/>
            <w:spacing w:lineRule="auto" w:line="240" w:before="120" w:after="0"/>
            <w:rPr>
              <w:sz w:val="24"/>
              <w:szCs w:val="24"/>
            </w:rPr>
          </w:pPr>
          <w:r>
            <w:rPr>
              <w:sz w:val="24"/>
              <w:szCs w:val="24"/>
            </w:rPr>
            <w:t xml:space="preserve">10.4. A partir da abertura das propostas, os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melhor lance registrado, mantendo-se em sigilo a identificação do ofertante.</w:t>
          </w:r>
        </w:p>
        <w:p>
          <w:pPr>
            <w:pStyle w:val="Normal"/>
            <w:spacing w:lineRule="auto" w:line="240" w:before="120" w:after="0"/>
            <w:rPr>
              <w:color w:val="FF0000"/>
              <w:sz w:val="24"/>
              <w:szCs w:val="24"/>
            </w:rPr>
          </w:pPr>
          <w:r>
            <w:rPr>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sz w:val="24"/>
              <w:szCs w:val="24"/>
            </w:rPr>
            <w:t>Anexo III – FOLHA DE DADOS (CGDL 10.5.1)</w:t>
          </w:r>
          <w:r>
            <w:rPr>
              <w:sz w:val="24"/>
              <w:szCs w:val="24"/>
            </w:rPr>
            <w:t>.</w:t>
          </w:r>
        </w:p>
        <w:p>
          <w:pPr>
            <w:pStyle w:val="Normal"/>
            <w:spacing w:lineRule="auto" w:line="240" w:before="120" w:after="0"/>
            <w:rPr>
              <w:i/>
              <w:i/>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4" w:name="_heading=h.30j0zll"/>
          <w:bookmarkEnd w:id="4"/>
          <w:r>
            <w:rPr>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 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se for o caso.</w:t>
          </w:r>
        </w:p>
        <w:p>
          <w:pPr>
            <w:pStyle w:val="texto"/>
            <w:spacing w:before="120" w:after="0"/>
            <w:rPr>
              <w:rFonts w:eastAsia="Calibri" w:eastAsiaTheme="minorHAnsi"/>
              <w:lang w:eastAsia="en-US"/>
            </w:rPr>
          </w:pPr>
          <w:r>
            <w:rPr>
              <w:rFonts w:eastAsia="Calibri" w:eastAsiaTheme="minorHAnsi"/>
              <w:lang w:eastAsia="en-US"/>
            </w:rPr>
          </w:r>
        </w:p>
        <w:p>
          <w:pPr>
            <w:pStyle w:val="Heading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texto"/>
            <w:spacing w:before="120" w:after="0"/>
            <w:rPr>
              <w:rFonts w:eastAsia="Calibri" w:eastAsiaTheme="minorHAnsi"/>
              <w:lang w:eastAsia="en-US"/>
            </w:rPr>
          </w:pPr>
          <w:r>
            <w:rPr>
              <w:rFonts w:eastAsia="Calibri" w:eastAsiaTheme="minorHAnsi"/>
              <w:lang w:eastAsia="en-US"/>
            </w:rPr>
          </w:r>
        </w:p>
        <w:p>
          <w:pPr>
            <w:pStyle w:val="Heading5"/>
            <w:spacing w:lineRule="auto" w:line="240" w:before="120" w:after="0"/>
            <w:rPr>
              <w:sz w:val="24"/>
              <w:szCs w:val="24"/>
              <w:lang w:eastAsia="en-US"/>
            </w:rPr>
          </w:pPr>
          <w:r>
            <w:rPr>
              <w:sz w:val="24"/>
              <w:szCs w:val="24"/>
              <w:lang w:eastAsia="en-US"/>
            </w:rPr>
            <w:t>12. DA ACEITABILIDADE E DO JULGAMENTO DAS PROPOSTAS</w:t>
          </w:r>
        </w:p>
        <w:p>
          <w:pPr>
            <w:pStyle w:val="Normal"/>
            <w:spacing w:lineRule="auto" w:line="240" w:before="120" w:after="0"/>
            <w:rPr>
              <w:color w:val="auto"/>
              <w:sz w:val="24"/>
              <w:szCs w:val="24"/>
            </w:rPr>
          </w:pPr>
          <w:r>
            <w:rPr>
              <w:sz w:val="24"/>
              <w:szCs w:val="24"/>
            </w:rPr>
            <w:t xml:space="preserve">12.1. </w:t>
          </w:r>
          <w:r>
            <w:rPr>
              <w:rFonts w:eastAsia=""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 w:eastAsiaTheme="minorEastAsia"/>
              <w:color w:val="auto"/>
              <w:sz w:val="24"/>
              <w:szCs w:val="24"/>
              <w:lang w:eastAsia="en-US"/>
            </w:rPr>
            <w:t>para, em</w:t>
          </w:r>
          <w:r>
            <w:rPr>
              <w:color w:val="auto"/>
              <w:sz w:val="24"/>
              <w:szCs w:val="24"/>
            </w:rPr>
            <w:t xml:space="preserve"> prazo </w:t>
          </w:r>
          <w:r>
            <w:rPr>
              <w:rFonts w:eastAsia="" w:eastAsiaTheme="minorEastAsia"/>
              <w:color w:val="auto"/>
              <w:sz w:val="24"/>
              <w:szCs w:val="24"/>
              <w:lang w:eastAsia="en-US"/>
            </w:rPr>
            <w:t>não inferior a 01 (uma) hora,</w:t>
          </w:r>
          <w:r>
            <w:rPr>
              <w:color w:val="auto"/>
              <w:sz w:val="24"/>
              <w:szCs w:val="24"/>
            </w:rPr>
            <w:t xml:space="preserve"> encaminhar </w:t>
          </w:r>
          <w:r>
            <w:rPr>
              <w:rFonts w:eastAsia="" w:eastAsiaTheme="minorEastAsia"/>
              <w:color w:val="auto"/>
              <w:sz w:val="24"/>
              <w:szCs w:val="24"/>
              <w:lang w:eastAsia="en-US"/>
            </w:rPr>
            <w:t xml:space="preserve">por meio eletrônico indicado no </w:t>
          </w:r>
          <w:r>
            <w:rPr>
              <w:rFonts w:eastAsia="" w:eastAsiaTheme="minorEastAsia"/>
              <w:b/>
              <w:bCs/>
              <w:color w:val="auto"/>
              <w:sz w:val="24"/>
              <w:szCs w:val="24"/>
            </w:rPr>
            <w:t>Anexo II - FOLHA DE DADOS (</w:t>
          </w:r>
          <w:r>
            <w:rPr>
              <w:b/>
              <w:bCs/>
              <w:color w:val="auto"/>
              <w:sz w:val="24"/>
              <w:szCs w:val="24"/>
            </w:rPr>
            <w:t>CGDL</w:t>
          </w:r>
          <w:r>
            <w:rPr>
              <w:rFonts w:eastAsia="" w:eastAsiaTheme="minorEastAsia"/>
              <w:color w:val="auto"/>
              <w:sz w:val="24"/>
              <w:szCs w:val="24"/>
              <w:lang w:eastAsia="en-US"/>
            </w:rPr>
            <w:t xml:space="preserve"> </w:t>
          </w:r>
          <w:r>
            <w:rPr>
              <w:rFonts w:eastAsia="" w:eastAsiaTheme="minorEastAsia"/>
              <w:b/>
              <w:bCs/>
              <w:color w:val="auto"/>
              <w:sz w:val="24"/>
              <w:szCs w:val="24"/>
            </w:rPr>
            <w:t>2.2),</w:t>
          </w:r>
          <w:r>
            <w:rPr>
              <w:color w:val="auto"/>
              <w:sz w:val="24"/>
              <w:szCs w:val="24"/>
            </w:rPr>
            <w:t xml:space="preserve"> a proposta de preço.</w:t>
          </w:r>
        </w:p>
        <w:p>
          <w:pPr>
            <w:pStyle w:val="Normal"/>
            <w:spacing w:lineRule="auto" w:line="240" w:before="120" w:after="0"/>
            <w:rPr>
              <w:rFonts w:eastAsia="" w:eastAsiaTheme="minorEastAsia"/>
              <w:sz w:val="24"/>
              <w:szCs w:val="24"/>
              <w:lang w:eastAsia="en-US"/>
            </w:rPr>
          </w:pPr>
          <w:r>
            <w:rPr>
              <w:sz w:val="24"/>
              <w:szCs w:val="24"/>
            </w:rPr>
            <w:t xml:space="preserve">12.1.1. A proposta de preço </w:t>
          </w:r>
          <w:r>
            <w:rPr>
              <w:rFonts w:eastAsia="" w:eastAsiaTheme="minorEastAsia"/>
              <w:sz w:val="24"/>
              <w:szCs w:val="24"/>
              <w:lang w:eastAsia="en-US"/>
            </w:rPr>
            <w:t>fará parte do contrato, como seu anexo.</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w:t>
          </w:r>
        </w:p>
        <w:p>
          <w:pPr>
            <w:pStyle w:val="Normal"/>
            <w:tabs>
              <w:tab w:val="clear" w:pos="720"/>
              <w:tab w:val="left" w:pos="0" w:leader="none"/>
            </w:tabs>
            <w:spacing w:lineRule="auto" w:line="240" w:before="120" w:after="0"/>
            <w:rPr>
              <w:sz w:val="24"/>
              <w:szCs w:val="24"/>
            </w:rPr>
          </w:pPr>
          <w:r>
            <w:rPr>
              <w:sz w:val="24"/>
              <w:szCs w:val="24"/>
            </w:rPr>
            <w:t xml:space="preserve">12.3. O </w:t>
          </w:r>
          <w:r>
            <w:rPr>
              <w:rFonts w:eastAsia="" w:eastAsiaTheme="minorEastAsia"/>
              <w:sz w:val="24"/>
              <w:szCs w:val="24"/>
              <w:lang w:eastAsia="en-US"/>
            </w:rPr>
            <w:t>agente de contratação</w:t>
          </w:r>
          <w:r>
            <w:rPr>
              <w:sz w:val="24"/>
              <w:szCs w:val="24"/>
            </w:rPr>
            <w:t xml:space="preserve"> poderá solicitar parecer de técnicos pertencentes ao quadro de pessoal do órgão ou entidade contratante ou de terceiros, para orientar sua decisão.</w:t>
          </w:r>
        </w:p>
        <w:p>
          <w:pPr>
            <w:pStyle w:val="Normal"/>
            <w:tabs>
              <w:tab w:val="clear" w:pos="720"/>
              <w:tab w:val="left" w:pos="0" w:leader="none"/>
            </w:tabs>
            <w:spacing w:lineRule="auto" w:line="240" w:before="120" w:after="0"/>
            <w:rPr>
              <w:sz w:val="24"/>
              <w:szCs w:val="24"/>
            </w:rPr>
          </w:pPr>
          <w:r>
            <w:rPr>
              <w:sz w:val="24"/>
              <w:szCs w:val="24"/>
            </w:rPr>
            <w:t>12.4. Não se considerará qualquer oferta de vantagem não prevista neste Termo,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será desclassificada aquela que</w:t>
          </w:r>
          <w:r>
            <w:rPr>
              <w:rFonts w:eastAsia="" w:eastAsiaTheme="minorEastAsia"/>
              <w:sz w:val="24"/>
              <w:szCs w:val="24"/>
              <w:lang w:eastAsia="en-US"/>
            </w:rPr>
            <w:t xml:space="preserve"> </w:t>
          </w:r>
          <w:r>
            <w:rPr>
              <w:sz w:val="24"/>
              <w:szCs w:val="24"/>
            </w:rPr>
            <w:t>se enquadrar nas hipóteses previstas nos incisos do art. 59 da Lei Federal nº 14.133/2021.</w:t>
          </w:r>
        </w:p>
        <w:p>
          <w:pPr>
            <w:pStyle w:val="Normal"/>
            <w:spacing w:lineRule="auto" w:line="240" w:before="120" w:after="0"/>
            <w:rPr>
              <w:rFonts w:eastAsia="" w:eastAsiaTheme="minorEastAsia"/>
              <w:b/>
              <w:bCs/>
              <w:sz w:val="24"/>
              <w:szCs w:val="24"/>
              <w:lang w:eastAsia="en-US"/>
            </w:rPr>
          </w:pPr>
          <w:r>
            <w:rPr>
              <w:sz w:val="24"/>
              <w:szCs w:val="24"/>
            </w:rPr>
            <w:t xml:space="preserve">12.6.1. </w:t>
          </w:r>
          <w:r>
            <w:rPr>
              <w:rFonts w:eastAsia="" w:eastAsiaTheme="minorEastAsia"/>
              <w:sz w:val="24"/>
              <w:szCs w:val="24"/>
              <w:lang w:eastAsia="en-US"/>
            </w:rPr>
            <w:t>Os</w:t>
          </w:r>
          <w:r>
            <w:rPr>
              <w:sz w:val="24"/>
              <w:szCs w:val="24"/>
            </w:rPr>
            <w:t xml:space="preserve"> preços </w:t>
          </w:r>
          <w:r>
            <w:rPr>
              <w:rFonts w:eastAsia="" w:eastAsiaTheme="minorEastAsia"/>
              <w:sz w:val="24"/>
              <w:szCs w:val="24"/>
              <w:lang w:eastAsia="en-US"/>
            </w:rPr>
            <w:t>deverão estar de acordo</w:t>
          </w:r>
          <w:r>
            <w:rPr>
              <w:sz w:val="24"/>
              <w:szCs w:val="24"/>
            </w:rPr>
            <w:t xml:space="preserve"> com os critérios de aceitabilidade estabelecidos no </w:t>
          </w:r>
          <w:r>
            <w:rPr>
              <w:b/>
              <w:bCs/>
              <w:sz w:val="24"/>
              <w:szCs w:val="24"/>
            </w:rPr>
            <w:t>Anexo III - FOLHA DE DADOS (CGDL 12.6.</w:t>
          </w:r>
          <w:r>
            <w:rPr>
              <w:rFonts w:eastAsia="" w:eastAsiaTheme="minorEastAsia"/>
              <w:b/>
              <w:bCs/>
              <w:sz w:val="24"/>
              <w:szCs w:val="24"/>
              <w:lang w:eastAsia="en-US"/>
            </w:rPr>
            <w:t>1).</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r>
            <w:rPr>
              <w:rFonts w:eastAsia="Calibri" w:eastAsiaTheme="minorHAnsi"/>
              <w:sz w:val="24"/>
              <w:szCs w:val="24"/>
            </w:rPr>
            <w:t>.</w:t>
          </w:r>
        </w:p>
        <w:p>
          <w:pPr>
            <w:pStyle w:val="Normal"/>
            <w:spacing w:lineRule="auto" w:line="240" w:before="120" w:after="0"/>
            <w:rPr>
              <w:sz w:val="24"/>
              <w:szCs w:val="24"/>
            </w:rPr>
          </w:pPr>
          <w:r>
            <w:rPr>
              <w:sz w:val="24"/>
              <w:szCs w:val="24"/>
            </w:rPr>
            <w:t xml:space="preserve">12.8. </w:t>
          </w:r>
          <w:r>
            <w:rPr>
              <w:rFonts w:eastAsia="" w:eastAsiaTheme="minorEastAsia"/>
              <w:sz w:val="24"/>
              <w:szCs w:val="24"/>
            </w:rPr>
            <w:t>Havendo indicação</w:t>
          </w:r>
          <w:r>
            <w:rPr>
              <w:sz w:val="24"/>
              <w:szCs w:val="24"/>
            </w:rPr>
            <w:t xml:space="preserve"> de </w:t>
          </w:r>
          <w:r>
            <w:rPr>
              <w:rFonts w:eastAsia="" w:eastAsiaTheme="minorEastAsia"/>
              <w:sz w:val="24"/>
              <w:szCs w:val="24"/>
            </w:rPr>
            <w:t>que a</w:t>
          </w:r>
          <w:r>
            <w:rPr>
              <w:sz w:val="24"/>
              <w:szCs w:val="24"/>
            </w:rPr>
            <w:t xml:space="preserve"> proposta</w:t>
          </w:r>
          <w:r>
            <w:rPr>
              <w:rFonts w:eastAsia="" w:eastAsiaTheme="minorEastAsia"/>
              <w:sz w:val="24"/>
              <w:szCs w:val="24"/>
            </w:rPr>
            <w:t xml:space="preserve"> apresentada seja inexequível, caberá ao </w:t>
          </w:r>
          <w:r>
            <w:rPr>
              <w:rFonts w:eastAsia="" w:eastAsiaTheme="minorEastAsia"/>
              <w:sz w:val="24"/>
              <w:szCs w:val="24"/>
              <w:lang w:eastAsia="en-US"/>
            </w:rPr>
            <w:t>agente de contratação</w:t>
          </w:r>
          <w:r>
            <w:rPr>
              <w:sz w:val="24"/>
              <w:szCs w:val="24"/>
            </w:rPr>
            <w:t xml:space="preserve"> realizar </w:t>
          </w:r>
          <w:r>
            <w:rPr>
              <w:rFonts w:eastAsia="" w:eastAsiaTheme="minorEastAsia"/>
              <w:sz w:val="24"/>
              <w:szCs w:val="24"/>
            </w:rPr>
            <w:t xml:space="preserve">as </w:t>
          </w:r>
          <w:r>
            <w:rPr>
              <w:sz w:val="24"/>
              <w:szCs w:val="24"/>
            </w:rPr>
            <w:t xml:space="preserve">diligências para aferir a </w:t>
          </w:r>
          <w:r>
            <w:rPr>
              <w:rFonts w:eastAsia="" w:eastAsiaTheme="minorEastAsia"/>
              <w:sz w:val="24"/>
              <w:szCs w:val="24"/>
            </w:rPr>
            <w:t xml:space="preserve">demonstração da </w:t>
          </w:r>
          <w:r>
            <w:rPr>
              <w:sz w:val="24"/>
              <w:szCs w:val="24"/>
            </w:rPr>
            <w:t>exequibilidade da proposta</w:t>
          </w:r>
          <w:r>
            <w:rPr>
              <w:rFonts w:eastAsia="" w:eastAsiaTheme="minorEastAsia"/>
              <w:sz w:val="24"/>
              <w:szCs w:val="24"/>
            </w:rPr>
            <w:t>,</w:t>
          </w:r>
          <w:r>
            <w:rPr>
              <w:sz w:val="24"/>
              <w:szCs w:val="24"/>
            </w:rPr>
            <w:t xml:space="preserve"> ou exigir do participante a demonstração.</w:t>
          </w:r>
        </w:p>
        <w:p>
          <w:pPr>
            <w:pStyle w:val="Normal"/>
            <w:spacing w:lineRule="auto" w:line="240" w:before="120" w:after="0"/>
            <w:rPr>
              <w:b/>
              <w:sz w:val="24"/>
              <w:szCs w:val="24"/>
            </w:rPr>
          </w:pPr>
          <w:r>
            <w:rPr>
              <w:sz w:val="24"/>
              <w:szCs w:val="24"/>
            </w:rPr>
            <w:t>12</w:t>
          </w:r>
          <w:r>
            <w:rPr>
              <w:rFonts w:eastAsia="Calibri" w:eastAsiaTheme="minorHAnsi"/>
              <w:sz w:val="24"/>
              <w:szCs w:val="24"/>
            </w:rPr>
            <w:t xml:space="preserve">.8.1. </w:t>
          </w:r>
          <w:r>
            <w:rPr>
              <w:sz w:val="24"/>
              <w:szCs w:val="24"/>
            </w:rPr>
            <w:t xml:space="preserve">Será considerada inexequível a proposta que não </w:t>
          </w:r>
          <w:r>
            <w:rPr>
              <w:rFonts w:eastAsia="Calibri" w:eastAsiaTheme="minorHAnsi"/>
              <w:sz w:val="24"/>
              <w:szCs w:val="24"/>
            </w:rPr>
            <w:t>tenha</w:t>
          </w:r>
          <w:r>
            <w:rPr>
              <w:sz w:val="24"/>
              <w:szCs w:val="24"/>
            </w:rPr>
            <w:t xml:space="preserve"> demonstrada sua viabilidade por meio de documentação que comprove que os custos envolvidos na contratação são coerentes com os de mercado</w:t>
          </w:r>
          <w:r>
            <w:rPr>
              <w:rFonts w:eastAsia="Calibri" w:eastAsiaTheme="minorHAnsi"/>
              <w:sz w:val="24"/>
              <w:szCs w:val="24"/>
            </w:rPr>
            <w:t xml:space="preserve">.    </w:t>
          </w:r>
          <w:r>
            <w:rPr>
              <w:b/>
              <w:sz w:val="24"/>
              <w:szCs w:val="24"/>
            </w:rPr>
            <w:t xml:space="preserve"> </w:t>
          </w:r>
        </w:p>
        <w:p>
          <w:pPr>
            <w:pStyle w:val="Normal"/>
            <w:spacing w:lineRule="auto" w:line="240" w:before="120" w:after="0"/>
            <w:rPr>
              <w:sz w:val="24"/>
              <w:szCs w:val="24"/>
            </w:rPr>
          </w:pPr>
          <w:r>
            <w:rPr>
              <w:sz w:val="24"/>
              <w:szCs w:val="24"/>
            </w:rPr>
            <w:t xml:space="preserve">12.9. Será vencedor o participante que atender a íntegra do </w:t>
          </w:r>
          <w:r>
            <w:rPr>
              <w:rFonts w:eastAsia="" w:eastAsiaTheme="minorEastAsia"/>
              <w:sz w:val="24"/>
              <w:szCs w:val="24"/>
            </w:rPr>
            <w:t>Termo</w:t>
          </w:r>
          <w:r>
            <w:rPr>
              <w:sz w:val="24"/>
              <w:szCs w:val="24"/>
            </w:rPr>
            <w:t xml:space="preserve"> e ofertar o menor preço, considerando </w:t>
          </w:r>
          <w:r>
            <w:rPr>
              <w:rFonts w:eastAsia="" w:eastAsiaTheme="minorEastAsia"/>
              <w:sz w:val="24"/>
              <w:szCs w:val="24"/>
            </w:rPr>
            <w:t xml:space="preserve">o </w:t>
          </w:r>
          <w:r>
            <w:rPr>
              <w:sz w:val="24"/>
              <w:szCs w:val="24"/>
            </w:rPr>
            <w:t xml:space="preserve">previsto no </w:t>
          </w:r>
          <w:r>
            <w:rPr>
              <w:b/>
              <w:bCs/>
              <w:sz w:val="24"/>
              <w:szCs w:val="24"/>
            </w:rPr>
            <w:t>Anexo III - FOLHA DE DADOS (CGDL 12.9)</w:t>
          </w:r>
          <w:r>
            <w:rPr>
              <w:sz w:val="24"/>
              <w:szCs w:val="24"/>
            </w:rPr>
            <w:t>.</w:t>
          </w:r>
          <w:r>
            <w:rPr>
              <w:rFonts w:eastAsia="" w:eastAsiaTheme="minorEastAsia"/>
              <w:sz w:val="24"/>
              <w:szCs w:val="24"/>
            </w:rPr>
            <w:t xml:space="preserve"> </w:t>
          </w:r>
          <w:r>
            <w:rPr>
              <w:sz w:val="24"/>
              <w:szCs w:val="24"/>
            </w:rPr>
            <w:t xml:space="preserve"> </w:t>
          </w:r>
        </w:p>
        <w:p>
          <w:pPr>
            <w:pStyle w:val="Normal"/>
            <w:spacing w:lineRule="auto" w:line="240" w:before="120" w:after="0"/>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lang w:eastAsia="en-US"/>
            </w:rPr>
          </w:pPr>
          <w:r>
            <w:rPr>
              <w:sz w:val="24"/>
              <w:szCs w:val="24"/>
              <w:lang w:eastAsia="en-US"/>
            </w:rPr>
          </w:r>
        </w:p>
        <w:p>
          <w:pPr>
            <w:pStyle w:val="Heading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rFonts w:eastAsia="Times New Roman"/>
              <w:sz w:val="24"/>
              <w:szCs w:val="24"/>
            </w:rPr>
          </w:pPr>
          <w:r>
            <w:rPr>
              <w:sz w:val="24"/>
              <w:szCs w:val="24"/>
            </w:rPr>
            <w:t>13.2. São exigidos os documentos de habilitação abaixo discriminados.</w:t>
          </w:r>
        </w:p>
        <w:p>
          <w:pPr>
            <w:pStyle w:val="Heading6"/>
            <w:spacing w:lineRule="auto" w:line="240" w:before="120" w:after="0"/>
            <w:rPr>
              <w:b w:val="false"/>
              <w:bCs/>
              <w:color w:val="auto"/>
              <w:sz w:val="24"/>
              <w:szCs w:val="24"/>
            </w:rPr>
          </w:pPr>
          <w:r>
            <w:rPr>
              <w:bCs/>
              <w:color w:val="auto"/>
              <w:sz w:val="24"/>
              <w:szCs w:val="24"/>
            </w:rPr>
            <w:t xml:space="preserve">13.3. Documentos Relativos à Habilitação Jurídica: </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13.3.1. documento oficial de identificação com foto, em se tratando de pessoa física;</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13.3.2. Certificado da Condição de Microempreendedor Individual – CCMEI, em se tratando de Microempreendedor Individual – MEI;</w:t>
          </w:r>
        </w:p>
        <w:p>
          <w:pPr>
            <w:pStyle w:val="Normal"/>
            <w:spacing w:lineRule="auto" w:line="240" w:before="120" w:after="0"/>
            <w:rPr>
              <w:rFonts w:eastAsia="" w:eastAsiaTheme="minorEastAsia"/>
              <w:sz w:val="24"/>
              <w:szCs w:val="24"/>
            </w:rPr>
          </w:pPr>
          <w:r>
            <w:rPr>
              <w:rFonts w:eastAsia="" w:eastAsiaTheme="minorEastAsia"/>
              <w:color w:themeColor="text1" w:val="000000"/>
              <w:sz w:val="24"/>
              <w:szCs w:val="24"/>
              <w:lang w:eastAsia="en-US"/>
            </w:rPr>
            <w:t>13.3.3. registro</w:t>
          </w:r>
          <w:r>
            <w:rPr>
              <w:rFonts w:eastAsia="" w:eastAsiaTheme="minorEastAsia"/>
              <w:sz w:val="24"/>
              <w:szCs w:val="24"/>
            </w:rPr>
            <w:t xml:space="preserve"> comercial, no caso de empresa individual;</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13.3.4. </w:t>
          </w:r>
          <w:r>
            <w:rPr>
              <w:rFonts w:eastAsia="" w:eastAsiaTheme="minorEastAsia"/>
              <w:color w:themeColor="text1" w:val="000000"/>
              <w:sz w:val="24"/>
              <w:szCs w:val="24"/>
              <w:lang w:eastAsia="en-US"/>
            </w:rPr>
            <w:t>ato</w:t>
          </w:r>
          <w:r>
            <w:rPr>
              <w:rFonts w:eastAsia=""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13.3.5. </w:t>
          </w:r>
          <w:r>
            <w:rPr>
              <w:rFonts w:eastAsia="" w:eastAsiaTheme="minorEastAsia"/>
              <w:color w:themeColor="text1" w:val="000000"/>
              <w:sz w:val="24"/>
              <w:szCs w:val="24"/>
              <w:lang w:eastAsia="en-US"/>
            </w:rPr>
            <w:t>inscrição</w:t>
          </w:r>
          <w:r>
            <w:rPr>
              <w:rFonts w:eastAsia="" w:eastAsiaTheme="minorEastAsia"/>
              <w:sz w:val="24"/>
              <w:szCs w:val="24"/>
            </w:rPr>
            <w:t xml:space="preserve"> do ato constitutivo, no caso de sociedades civis, acompanhada de prova de diretoria em exercício;</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13.3.6. </w:t>
          </w:r>
          <w:r>
            <w:rPr>
              <w:rFonts w:eastAsia="" w:eastAsiaTheme="minorEastAsia"/>
              <w:color w:themeColor="text1" w:val="000000"/>
              <w:sz w:val="24"/>
              <w:szCs w:val="24"/>
              <w:lang w:eastAsia="en-US"/>
            </w:rPr>
            <w:t>decreto</w:t>
          </w:r>
          <w:r>
            <w:rPr>
              <w:rFonts w:eastAsia=""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Pr>
              <w:sz w:val="24"/>
              <w:szCs w:val="24"/>
            </w:rPr>
            <w:t xml:space="preserve"> </w:t>
          </w:r>
        </w:p>
        <w:p>
          <w:pPr>
            <w:pStyle w:val="Normal"/>
            <w:spacing w:lineRule="auto" w:line="240" w:before="120" w:after="0"/>
            <w:rPr>
              <w:rFonts w:eastAsia="" w:eastAsiaTheme="minorEastAsia"/>
              <w:sz w:val="24"/>
              <w:szCs w:val="24"/>
            </w:rPr>
          </w:pPr>
          <w:r>
            <w:rPr>
              <w:sz w:val="24"/>
              <w:szCs w:val="24"/>
            </w:rPr>
            <w:t xml:space="preserve">13.3.7. </w:t>
          </w:r>
          <w:r>
            <w:rPr>
              <w:rFonts w:eastAsia="" w:eastAsiaTheme="minorEastAsia"/>
              <w:color w:themeColor="text1" w:val="000000"/>
              <w:sz w:val="24"/>
              <w:szCs w:val="24"/>
              <w:lang w:eastAsia="en-US"/>
            </w:rPr>
            <w:t>enquadramento</w:t>
          </w:r>
          <w:r>
            <w:rPr>
              <w:rFonts w:eastAsia=""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 w:eastAsiaTheme="minorEastAsia"/>
              <w:color w:themeColor="text1" w:val="000000"/>
              <w:sz w:val="24"/>
              <w:szCs w:val="24"/>
              <w:lang w:eastAsia="en-US"/>
            </w:rPr>
            <w:t>da</w:t>
          </w:r>
          <w:r>
            <w:rPr>
              <w:rFonts w:eastAsia="" w:eastAsiaTheme="minorEastAsia"/>
              <w:sz w:val="24"/>
              <w:szCs w:val="24"/>
            </w:rPr>
            <w:t xml:space="preserve"> declaração na forma eletrônica, quando for o caso.</w:t>
          </w:r>
          <w:r>
            <w:rPr>
              <w:sz w:val="24"/>
              <w:szCs w:val="24"/>
            </w:rPr>
            <w:t xml:space="preserve"> </w:t>
          </w:r>
        </w:p>
        <w:p>
          <w:pPr>
            <w:pStyle w:val="Heading6"/>
            <w:spacing w:lineRule="auto" w:line="240" w:before="120" w:after="0"/>
            <w:rPr>
              <w:rFonts w:eastAsia="Times New Roman"/>
              <w:b w:val="false"/>
              <w:bCs/>
              <w:color w:val="auto"/>
              <w:sz w:val="24"/>
              <w:szCs w:val="24"/>
            </w:rPr>
          </w:pPr>
          <w:r>
            <w:rPr>
              <w:bCs/>
              <w:color w:val="auto"/>
              <w:sz w:val="24"/>
              <w:szCs w:val="24"/>
            </w:rPr>
            <w:t>13.4. Documentos Relativos à Regularidade Fiscal, Social e Trabalhista:</w:t>
          </w:r>
        </w:p>
        <w:p>
          <w:pPr>
            <w:pStyle w:val="Normal"/>
            <w:spacing w:lineRule="auto" w:line="240" w:before="120" w:after="0"/>
            <w:rPr>
              <w:sz w:val="24"/>
              <w:szCs w:val="24"/>
            </w:rPr>
          </w:pPr>
          <w:r>
            <w:rPr>
              <w:sz w:val="24"/>
              <w:szCs w:val="24"/>
            </w:rPr>
            <w:t xml:space="preserve">13.4.1. documento oficial que comprove a inscrição no Cadastro de Pessoas Físicas (CPF), </w:t>
          </w:r>
          <w:r>
            <w:rPr>
              <w:rFonts w:eastAsia="" w:eastAsiaTheme="minorEastAsia"/>
              <w:sz w:val="24"/>
              <w:szCs w:val="24"/>
              <w:lang w:eastAsia="en-US"/>
            </w:rPr>
            <w:t>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w:t>
          </w:r>
          <w:r>
            <w:rPr>
              <w:rFonts w:eastAsia="" w:eastAsiaTheme="minorEastAsia"/>
              <w:sz w:val="24"/>
              <w:szCs w:val="24"/>
              <w:lang w:eastAsia="en-US"/>
            </w:rPr>
            <w:t>em se tratando de pessoa jurídica</w:t>
          </w:r>
          <w:r>
            <w:rPr>
              <w:sz w:val="24"/>
              <w:szCs w:val="24"/>
            </w:rPr>
            <w:t xml:space="preserve">;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before="120" w:after="0"/>
            <w:rPr/>
          </w:pPr>
          <w:r>
            <w:rPr/>
            <w:t>13.4.6. comprovante de inexistência de débitos inadimplidos perante a Justiça do Trabalho, mediante a apresentação de Certidão Negativa de Débitos Trabalhistas (CNDT).</w:t>
          </w:r>
        </w:p>
        <w:p>
          <w:pPr>
            <w:pStyle w:val="texto"/>
            <w:spacing w:before="120" w:after="0"/>
            <w:rPr>
              <w:rFonts w:eastAsia="" w:eastAsiaTheme="minorEastAsia"/>
              <w:color w:val="auto"/>
              <w:lang w:eastAsia="en-US"/>
            </w:rPr>
          </w:pPr>
          <w:r>
            <w:rPr>
              <w:rFonts w:eastAsia="" w:eastAsiaTheme="minorEastAsia"/>
              <w:color w:val="auto"/>
              <w:lang w:eastAsia="en-US"/>
            </w:rPr>
            <w:t>13.5. Além dos documentos relacionados nos itens 13.3 e 13.4 deste Termo, serão exigidos os seguintes documentos de habilitação:</w:t>
          </w:r>
        </w:p>
        <w:p>
          <w:pPr>
            <w:pStyle w:val="texto"/>
            <w:spacing w:before="120" w:after="0"/>
            <w:rPr>
              <w:rFonts w:eastAsia="" w:eastAsiaTheme="minorEastAsia"/>
              <w:color w:val="auto"/>
              <w:lang w:eastAsia="en-US"/>
            </w:rPr>
          </w:pPr>
          <w:r>
            <w:rPr>
              <w:rFonts w:eastAsia="" w:eastAsiaTheme="minorEastAsia"/>
              <w:color w:val="auto"/>
              <w:lang w:eastAsia="en-US"/>
            </w:rPr>
            <w:t>1- Previstos no Termo de Referência;</w:t>
          </w:r>
        </w:p>
        <w:p>
          <w:pPr>
            <w:pStyle w:val="texto"/>
            <w:spacing w:before="120" w:after="0"/>
            <w:rPr/>
          </w:pPr>
          <w:r>
            <w:rPr>
              <w:rFonts w:eastAsia="" w:eastAsiaTheme="minorEastAsia"/>
              <w:color w:val="auto"/>
              <w:lang w:eastAsia="en-US"/>
            </w:rPr>
            <w:t xml:space="preserve">2- Relacionados </w:t>
          </w:r>
          <w:r>
            <w:rPr/>
            <w:t xml:space="preserve">no </w:t>
          </w:r>
          <w:r>
            <w:rPr>
              <w:b/>
              <w:bCs/>
            </w:rPr>
            <w:t>ANEXO III – FOLHA DE DADOS (CGDL 13.5)</w:t>
          </w:r>
          <w:r>
            <w:rPr/>
            <w:t xml:space="preserve">; </w:t>
          </w:r>
        </w:p>
        <w:p>
          <w:pPr>
            <w:pStyle w:val="texto"/>
            <w:spacing w:before="120" w:after="0"/>
            <w:rPr/>
          </w:pPr>
          <w:r>
            <w:rPr/>
            <w:t xml:space="preserve">3- Relacionados no </w:t>
          </w:r>
          <w:r>
            <w:rPr>
              <w:b/>
              <w:bCs/>
            </w:rPr>
            <w:t>ANEXO III – FOLHA DE DADOS (CGDL 4.1.3)</w:t>
          </w:r>
          <w:r>
            <w:rPr/>
            <w:t xml:space="preserve"> no caso de Consórcio.</w:t>
          </w:r>
        </w:p>
        <w:p>
          <w:pPr>
            <w:pStyle w:val="texto"/>
            <w:spacing w:before="120" w:after="0"/>
            <w:rPr/>
          </w:pPr>
          <w:r>
            <w:rPr/>
            <w:t xml:space="preserve">4- Relacionados no </w:t>
          </w:r>
          <w:r>
            <w:rPr>
              <w:b/>
              <w:bCs/>
            </w:rPr>
            <w:t>ANEXO III – FOLHA DE DADOS (CGDL 4.1.4)</w:t>
          </w:r>
          <w:r>
            <w:rPr/>
            <w:t xml:space="preserve"> no caso de Cooperativa de Trabalho.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considerando o disposto no subitem 23.4 deste Termo,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sz w:val="24"/>
              <w:szCs w:val="24"/>
            </w:rPr>
            <w:t xml:space="preserve">14.1. O objeto será adjudicado ao participante declarado vencedor, por ato do agente de contratação ou pela autoridade competente. </w:t>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III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lineRule="auto" w:line="240" w:before="120" w:after="0"/>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pPr>
            <w:pStyle w:val="Normal"/>
            <w:spacing w:lineRule="auto" w:line="240" w:before="120" w:after="0"/>
            <w:rPr>
              <w:sz w:val="24"/>
              <w:szCs w:val="24"/>
            </w:rPr>
          </w:pPr>
          <w:r>
            <w:rPr>
              <w:sz w:val="24"/>
              <w:szCs w:val="24"/>
            </w:rPr>
            <w:t xml:space="preserve"> </w:t>
          </w:r>
          <w:r>
            <w:rPr>
              <w:sz w:val="24"/>
              <w:szCs w:val="24"/>
            </w:rPr>
            <w:t xml:space="preserve">16.4. O prazo de vigência do contrato será o equivalente ao prazo de entrega estabelecido no </w:t>
          </w:r>
          <w:r>
            <w:rPr>
              <w:b/>
              <w:bCs/>
              <w:sz w:val="24"/>
              <w:szCs w:val="24"/>
            </w:rPr>
            <w:t>ANEXO IV – TERMO DE REFERÊNCIA</w:t>
          </w:r>
          <w:r>
            <w:rPr>
              <w:sz w:val="24"/>
              <w:szCs w:val="24"/>
            </w:rPr>
            <w:t xml:space="preserve">, encerrando-se com o aceite definitivo do objeto, salvo se houver previsão contrária no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t xml:space="preserve">16.4.1. Havendo assinatura de Termo de Contrato, a contagem do prazo de entrega inicia a partir da data estabelecida na ordem de início.  </w:t>
          </w:r>
        </w:p>
        <w:p>
          <w:pPr>
            <w:pStyle w:val="Normal"/>
            <w:spacing w:lineRule="auto" w:line="240" w:before="120" w:after="0"/>
            <w:rPr>
              <w:sz w:val="24"/>
              <w:szCs w:val="24"/>
            </w:rPr>
          </w:pPr>
          <w:r>
            <w:rPr>
              <w:sz w:val="24"/>
              <w:szCs w:val="24"/>
            </w:rPr>
            <w:t>16.4.2. Quando o Termo de Contrato for substituído pela nota de empenho, a contagem do prazo de entrega inicia na data em que a nota de empenho for disponibilizada pela Contratante.</w:t>
          </w:r>
        </w:p>
        <w:p>
          <w:pPr>
            <w:pStyle w:val="Normal"/>
            <w:spacing w:lineRule="auto" w:line="240" w:before="120" w:after="0"/>
            <w:rPr>
              <w:sz w:val="24"/>
              <w:szCs w:val="24"/>
            </w:rPr>
          </w:pPr>
          <w:r>
            <w:rPr>
              <w:sz w:val="24"/>
              <w:szCs w:val="24"/>
            </w:rPr>
            <w:t xml:space="preserve">16.5. A prorrogação dos prazos de entrega será precedida de justificativa e autorização da autoridade competente para a celebração do ajuste, devendo ser formalizada nos autos do processo administrativo. </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color w:themeColor="text1" w:val="000000"/>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color w:themeColor="text1" w:val="000000"/>
              <w:sz w:val="24"/>
              <w:szCs w:val="24"/>
            </w:rPr>
            <w:t xml:space="preserve">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16.7.1. Caso o adjudicatário não assine o contrato, proceder-se-á à análise dos requisitos de habilitação dos participantes remanescentes.</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16.11. Em qualquer hipótese de convocação de remanescente, proceder-se-á à análise dos requisitos de sua habilitação, conforme item 13 deste Termo.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17. DO PAGAMENTO </w:t>
          </w:r>
        </w:p>
        <w:p>
          <w:pPr>
            <w:pStyle w:val="Normal"/>
            <w:spacing w:lineRule="auto" w:line="240" w:before="120" w:after="0"/>
            <w:rPr>
              <w:sz w:val="24"/>
              <w:szCs w:val="24"/>
            </w:rPr>
          </w:pPr>
          <w:r>
            <w:rPr>
              <w:sz w:val="24"/>
              <w:szCs w:val="24"/>
            </w:rPr>
            <w:t xml:space="preserve">17.1. As condições para pagamento são as previstas no </w:t>
          </w:r>
          <w:r>
            <w:rPr>
              <w:b/>
              <w:bCs/>
              <w:sz w:val="24"/>
              <w:szCs w:val="24"/>
            </w:rPr>
            <w:t>ANEXO III – FOLHA DE DADOS (CGDL 17.1)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18. DO REAJUSTE </w:t>
          </w:r>
        </w:p>
        <w:p>
          <w:pPr>
            <w:pStyle w:val="Normal"/>
            <w:spacing w:lineRule="auto" w:line="240" w:before="120" w:after="0"/>
            <w:rPr>
              <w:sz w:val="24"/>
              <w:szCs w:val="24"/>
            </w:rPr>
          </w:pPr>
          <w:r>
            <w:rPr>
              <w:sz w:val="24"/>
              <w:szCs w:val="24"/>
            </w:rPr>
            <w:t xml:space="preserve">18.1. O contrato será reajustado conforme disposto na cláusula oitava do Termo de Contrato. </w:t>
          </w:r>
        </w:p>
        <w:p>
          <w:pPr>
            <w:pStyle w:val="Normal"/>
            <w:spacing w:lineRule="auto" w:line="240" w:before="120" w:after="0"/>
            <w:rPr>
              <w:sz w:val="24"/>
              <w:szCs w:val="24"/>
            </w:rPr>
          </w:pPr>
          <w:r>
            <w:rPr>
              <w:sz w:val="24"/>
              <w:szCs w:val="24"/>
            </w:rPr>
          </w:r>
        </w:p>
        <w:p>
          <w:pPr>
            <w:pStyle w:val="Heading5"/>
            <w:spacing w:lineRule="auto" w:line="240" w:before="120" w:after="0"/>
            <w:rPr>
              <w:color w:val="auto"/>
              <w:sz w:val="24"/>
              <w:szCs w:val="24"/>
            </w:rPr>
          </w:pPr>
          <w:r>
            <w:rPr>
              <w:color w:val="auto"/>
              <w:sz w:val="24"/>
              <w:szCs w:val="24"/>
            </w:rPr>
            <w:t xml:space="preserve">19. DA FONTE DE RECURSOS </w:t>
          </w:r>
        </w:p>
        <w:p>
          <w:pPr>
            <w:pStyle w:val="Normal"/>
            <w:spacing w:lineRule="auto" w:line="240" w:before="120" w:after="0"/>
            <w:rPr>
              <w:b/>
              <w:bCs/>
              <w:color w:val="auto"/>
              <w:sz w:val="24"/>
              <w:szCs w:val="24"/>
            </w:rPr>
          </w:pPr>
          <w:r>
            <w:rPr>
              <w:color w:val="auto"/>
              <w:sz w:val="24"/>
              <w:szCs w:val="24"/>
            </w:rPr>
            <w:t xml:space="preserve">19.1. As despesas decorrentes do contrato objeto desta licitação correrão por conta de recurso orçamentário previsto no </w:t>
          </w:r>
          <w:r>
            <w:rPr>
              <w:b/>
              <w:bCs/>
              <w:color w:val="auto"/>
              <w:sz w:val="24"/>
              <w:szCs w:val="24"/>
            </w:rPr>
            <w:t>ANEXO III – FOLHA DE DADOS (CGDL 19.1).</w:t>
          </w:r>
        </w:p>
        <w:p>
          <w:pPr>
            <w:pStyle w:val="Heading5"/>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20. DAS OBRIGAÇÕES DO ADJUDICATÁRIO</w:t>
          </w:r>
        </w:p>
        <w:p>
          <w:pPr>
            <w:pStyle w:val="Normal"/>
            <w:spacing w:lineRule="auto" w:line="240" w:before="120" w:after="0"/>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III – FOLHA DE DADOS (CGDL</w:t>
          </w:r>
          <w:r>
            <w:rPr>
              <w:sz w:val="24"/>
              <w:szCs w:val="24"/>
            </w:rPr>
            <w:t xml:space="preserve"> </w:t>
          </w:r>
          <w:r>
            <w:rPr>
              <w:b/>
              <w:bCs/>
              <w:sz w:val="24"/>
              <w:szCs w:val="24"/>
            </w:rPr>
            <w:t>20.1)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21. DA GARANTIA DE EXECUÇÃO</w:t>
          </w:r>
        </w:p>
        <w:p>
          <w:pPr>
            <w:pStyle w:val="Normal"/>
            <w:spacing w:lineRule="auto" w:line="240" w:before="120" w:after="0"/>
            <w:rPr>
              <w:sz w:val="24"/>
              <w:szCs w:val="24"/>
            </w:rPr>
          </w:pPr>
          <w:r>
            <w:rPr>
              <w:sz w:val="24"/>
              <w:szCs w:val="24"/>
            </w:rPr>
            <w:t xml:space="preserve">21.1. A garantia será prestada conforme disposto no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color w:themeColor="text1" w:val="000000"/>
              <w:sz w:val="24"/>
              <w:szCs w:val="24"/>
            </w:rPr>
            <w:t xml:space="preserve">21.2. Caso não seja observado o </w:t>
          </w:r>
          <w:r>
            <w:rPr>
              <w:sz w:val="24"/>
              <w:szCs w:val="24"/>
            </w:rPr>
            <w:t xml:space="preserve">prazo fixado para apresentação da garantia, aplicar-se-á o disposto no subitem 22.4.6.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22. DAS INFRAÇÕES E SANÇÕES ADMINISTRATIVAS </w:t>
          </w:r>
        </w:p>
        <w:p>
          <w:pPr>
            <w:pStyle w:val="Normal"/>
            <w:keepNext w:val="true"/>
            <w:spacing w:lineRule="auto" w:line="240" w:before="120" w:after="0"/>
            <w:rPr>
              <w:b/>
              <w:bCs/>
              <w:sz w:val="24"/>
              <w:szCs w:val="24"/>
            </w:rPr>
          </w:pPr>
          <w:r>
            <w:rPr>
              <w:b/>
              <w:bCs/>
              <w:sz w:val="24"/>
              <w:szCs w:val="24"/>
            </w:rPr>
            <w:t>22.1. Das Infrações Administrativas</w:t>
          </w:r>
        </w:p>
        <w:p>
          <w:pPr>
            <w:pStyle w:val="Normal"/>
            <w:spacing w:lineRule="auto" w:line="240" w:before="120" w:after="0"/>
            <w:rPr>
              <w:b/>
              <w:color w:val="FFC000"/>
              <w:sz w:val="24"/>
              <w:szCs w:val="24"/>
              <w:u w:val="single"/>
            </w:rPr>
          </w:pPr>
          <w:r>
            <w:rPr>
              <w:sz w:val="24"/>
              <w:szCs w:val="24"/>
            </w:rPr>
            <w:t xml:space="preserve">22.1.1. Comete infração administrativa, nos termos da Lei Federal nº </w:t>
          </w:r>
          <w:r>
            <w:rPr>
              <w:color w:val="auto"/>
              <w:sz w:val="24"/>
              <w:szCs w:val="24"/>
            </w:rPr>
            <w:t>14.133/2021</w:t>
          </w:r>
          <w:r>
            <w:rPr>
              <w:sz w:val="24"/>
              <w:szCs w:val="24"/>
            </w:rPr>
            <w:t>, o participante ou o contratado que:</w:t>
          </w:r>
        </w:p>
        <w:p>
          <w:pPr>
            <w:pStyle w:val="Normal"/>
            <w:spacing w:lineRule="auto" w:line="240" w:before="120" w:after="0"/>
            <w:rPr>
              <w:sz w:val="24"/>
              <w:szCs w:val="24"/>
            </w:rPr>
          </w:pPr>
          <w:r>
            <w:rPr>
              <w:sz w:val="24"/>
              <w:szCs w:val="24"/>
            </w:rPr>
            <w:t xml:space="preserve">22.1.1.1. der causa à inexecução parcial do contrato; </w:t>
          </w:r>
        </w:p>
        <w:p>
          <w:pPr>
            <w:pStyle w:val="Normal"/>
            <w:spacing w:lineRule="auto" w:line="240" w:before="120" w:after="0"/>
            <w:rPr>
              <w:color w:themeColor="text1" w:val="000000"/>
              <w:sz w:val="24"/>
              <w:szCs w:val="24"/>
            </w:rPr>
          </w:pPr>
          <w:r>
            <w:rPr>
              <w:sz w:val="24"/>
              <w:szCs w:val="24"/>
            </w:rPr>
            <w:t xml:space="preserve">22.1.1.2. der causa à inexecução parcial do contrato que cause grave dano à Administração, ao funcionamento dos serviços públicos ou ao interesse coletivo; </w:t>
          </w:r>
        </w:p>
        <w:p>
          <w:pPr>
            <w:pStyle w:val="Normal"/>
            <w:spacing w:lineRule="auto" w:line="240" w:before="120" w:after="0"/>
            <w:rPr>
              <w:color w:themeColor="text1" w:val="000000"/>
              <w:sz w:val="24"/>
              <w:szCs w:val="24"/>
            </w:rPr>
          </w:pPr>
          <w:r>
            <w:rPr>
              <w:sz w:val="24"/>
              <w:szCs w:val="24"/>
            </w:rPr>
            <w:t xml:space="preserve">22.1.1.3. der causa à inexecução total do contrato; </w:t>
          </w:r>
        </w:p>
        <w:p>
          <w:pPr>
            <w:pStyle w:val="Normal"/>
            <w:spacing w:lineRule="auto" w:line="240" w:before="120" w:after="0"/>
            <w:rPr>
              <w:sz w:val="24"/>
              <w:szCs w:val="24"/>
            </w:rPr>
          </w:pPr>
          <w:r>
            <w:rPr>
              <w:sz w:val="24"/>
              <w:szCs w:val="24"/>
            </w:rPr>
            <w:t>22.1.1.4. deixar de entregar a documentação exigida para o certame;</w:t>
          </w:r>
        </w:p>
        <w:p>
          <w:pPr>
            <w:pStyle w:val="Normal"/>
            <w:spacing w:lineRule="auto" w:line="240" w:before="120" w:after="0"/>
            <w:rPr>
              <w:sz w:val="24"/>
              <w:szCs w:val="24"/>
            </w:rPr>
          </w:pPr>
          <w:r>
            <w:rPr>
              <w:sz w:val="24"/>
              <w:szCs w:val="24"/>
            </w:rPr>
            <w:t>22.1.1.5. não mantenha a proposta, salvo em decorrência de fato superveniente devidamente justificado;</w:t>
          </w:r>
        </w:p>
        <w:p>
          <w:pPr>
            <w:pStyle w:val="Normal"/>
            <w:spacing w:lineRule="auto" w:line="240" w:before="120" w:after="0"/>
            <w:rPr>
              <w:color w:themeColor="text1" w:val="000000"/>
              <w:sz w:val="24"/>
              <w:szCs w:val="24"/>
            </w:rPr>
          </w:pPr>
          <w:r>
            <w:rPr>
              <w:sz w:val="24"/>
              <w:szCs w:val="24"/>
            </w:rPr>
            <w:t xml:space="preserve">22.1.1.6. não celebre o contrato ou não entregue a documentação exigida para a contratação, quando convocado dentro do prazo de validade de sua proposta; </w:t>
          </w:r>
        </w:p>
        <w:p>
          <w:pPr>
            <w:pStyle w:val="Normal"/>
            <w:spacing w:lineRule="auto" w:line="240" w:before="120" w:after="0"/>
            <w:rPr>
              <w:color w:themeColor="text1" w:val="000000"/>
              <w:sz w:val="24"/>
              <w:szCs w:val="24"/>
            </w:rPr>
          </w:pPr>
          <w:r>
            <w:rPr>
              <w:sz w:val="24"/>
              <w:szCs w:val="24"/>
            </w:rPr>
            <w:t xml:space="preserve">22.1.1.7. enseje o retardamento da execução ou da entrega do objeto da licitação, sem motivo justificado; </w:t>
          </w:r>
        </w:p>
        <w:p>
          <w:pPr>
            <w:pStyle w:val="Normal"/>
            <w:spacing w:lineRule="auto" w:line="240" w:before="120" w:after="0"/>
            <w:rPr>
              <w:color w:themeColor="text1" w:val="000000"/>
              <w:sz w:val="24"/>
              <w:szCs w:val="24"/>
            </w:rPr>
          </w:pPr>
          <w:r>
            <w:rPr>
              <w:sz w:val="24"/>
              <w:szCs w:val="24"/>
            </w:rPr>
            <w:t xml:space="preserve">22.1.1.8. apresente declaração ou documentação falsa exigida para o certame ou preste declaração falsa durante a licitação ou a execução do contrato; </w:t>
          </w:r>
        </w:p>
        <w:p>
          <w:pPr>
            <w:pStyle w:val="Normal"/>
            <w:spacing w:lineRule="auto" w:line="240" w:before="120" w:after="0"/>
            <w:rPr>
              <w:color w:themeColor="text1" w:val="000000"/>
              <w:sz w:val="24"/>
              <w:szCs w:val="24"/>
            </w:rPr>
          </w:pPr>
          <w:r>
            <w:rPr>
              <w:sz w:val="24"/>
              <w:szCs w:val="24"/>
            </w:rPr>
            <w:t xml:space="preserve">22.1.1.9. fraude a licitação ou pratique ato fraudulento na execução do contrato; </w:t>
          </w:r>
        </w:p>
        <w:p>
          <w:pPr>
            <w:pStyle w:val="Normal"/>
            <w:spacing w:lineRule="auto" w:line="240" w:before="120" w:after="0"/>
            <w:rPr>
              <w:sz w:val="24"/>
              <w:szCs w:val="24"/>
            </w:rPr>
          </w:pPr>
          <w:r>
            <w:rPr>
              <w:sz w:val="24"/>
              <w:szCs w:val="24"/>
            </w:rPr>
            <w:t>22.1.1.10. comporte-se de modo inidôneo ou cometa fraude de qualquer natureza;</w:t>
          </w:r>
        </w:p>
        <w:p>
          <w:pPr>
            <w:pStyle w:val="Normal"/>
            <w:spacing w:lineRule="auto" w:line="240" w:before="120" w:after="0"/>
            <w:rPr>
              <w:color w:themeColor="text1" w:val="000000"/>
              <w:sz w:val="24"/>
              <w:szCs w:val="24"/>
            </w:rPr>
          </w:pPr>
          <w:r>
            <w:rPr>
              <w:sz w:val="24"/>
              <w:szCs w:val="24"/>
            </w:rPr>
            <w:t xml:space="preserve">22.1.1.11. pratique atos ilícitos com vistas a frustrar os objetivos da licitação; </w:t>
          </w:r>
        </w:p>
        <w:p>
          <w:pPr>
            <w:pStyle w:val="Normal"/>
            <w:spacing w:lineRule="auto" w:line="240" w:before="120" w:after="0"/>
            <w:rPr>
              <w:color w:themeColor="text1" w:val="000000"/>
              <w:sz w:val="24"/>
              <w:szCs w:val="24"/>
            </w:rPr>
          </w:pPr>
          <w:r>
            <w:rPr>
              <w:sz w:val="24"/>
              <w:szCs w:val="24"/>
            </w:rPr>
            <w:t xml:space="preserve">22.1.1.12. pratique ato lesivo previsto no art. 5º da Lei nº 12.846, de 1º de agosto de 2013. </w:t>
          </w:r>
        </w:p>
        <w:p>
          <w:pPr>
            <w:pStyle w:val="Normal"/>
            <w:spacing w:lineRule="auto" w:line="240" w:before="120" w:after="0"/>
            <w:rPr>
              <w:b/>
              <w:bCs/>
              <w:sz w:val="24"/>
              <w:szCs w:val="24"/>
            </w:rPr>
          </w:pPr>
          <w:r>
            <w:rPr>
              <w:b/>
              <w:bCs/>
              <w:sz w:val="24"/>
              <w:szCs w:val="24"/>
            </w:rPr>
            <w:t>22.2. Do Processo Administrativo e das Sanções Administrativas</w:t>
          </w:r>
        </w:p>
        <w:p>
          <w:pPr>
            <w:pStyle w:val="Normal"/>
            <w:spacing w:lineRule="auto" w:line="240" w:before="120" w:after="0"/>
            <w:rPr>
              <w:sz w:val="24"/>
              <w:szCs w:val="24"/>
            </w:rPr>
          </w:pPr>
          <w:r>
            <w:rPr>
              <w:sz w:val="24"/>
              <w:szCs w:val="24"/>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22.2.2. Serão aplicadas ao responsável pelas infrações administrativas, de acordo com a dosimetria estabelecida na norma indicada no </w:t>
          </w:r>
          <w:r>
            <w:rPr>
              <w:b/>
              <w:bCs/>
              <w:sz w:val="24"/>
              <w:szCs w:val="24"/>
            </w:rPr>
            <w:t>ANEXO III – FOLHA DE DADOS (CGDL 22.2.2)</w:t>
          </w:r>
          <w:r>
            <w:rPr>
              <w:sz w:val="24"/>
              <w:szCs w:val="24"/>
            </w:rPr>
            <w:t xml:space="preserve">, as seguintes sanções: </w:t>
          </w:r>
        </w:p>
        <w:p>
          <w:pPr>
            <w:pStyle w:val="Normal"/>
            <w:spacing w:lineRule="auto" w:line="240" w:before="120" w:after="0"/>
            <w:rPr>
              <w:sz w:val="24"/>
              <w:szCs w:val="24"/>
            </w:rPr>
          </w:pPr>
          <w:r>
            <w:rPr>
              <w:sz w:val="24"/>
              <w:szCs w:val="24"/>
            </w:rPr>
            <w:t xml:space="preserve">22.2.2.1. advertência, para a infração prevista no item subitem 22.1.1.1., </w:t>
          </w:r>
          <w:r>
            <w:rPr>
              <w:rFonts w:eastAsia="Arial"/>
              <w:color w:themeColor="text1" w:val="000000"/>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22.2.2.2. multa, nas modalidades:</w:t>
          </w:r>
        </w:p>
        <w:p>
          <w:pPr>
            <w:pStyle w:val="Normal"/>
            <w:spacing w:lineRule="auto" w:line="240" w:before="120" w:after="0"/>
            <w:rPr>
              <w:sz w:val="24"/>
              <w:szCs w:val="24"/>
            </w:rPr>
          </w:pPr>
          <w:r>
            <w:rPr>
              <w:sz w:val="24"/>
              <w:szCs w:val="24"/>
            </w:rPr>
            <w:t xml:space="preserve">22.2.2.2.1. </w:t>
          </w:r>
          <w:r>
            <w:rPr>
              <w:rFonts w:eastAsia="Times New Roman"/>
              <w:color w:themeColor="text1" w:val="000000"/>
              <w:sz w:val="24"/>
              <w:szCs w:val="24"/>
            </w:rPr>
            <w:t xml:space="preserve">compensatória, de até 10% sobre o valor da parcela inadimplida, para quaisquer das infrações previstas nos </w:t>
          </w:r>
          <w:r>
            <w:rPr>
              <w:sz w:val="24"/>
              <w:szCs w:val="24"/>
            </w:rPr>
            <w:t xml:space="preserve">itens 22.1.1.1. a 22.1.1.12 </w:t>
          </w:r>
        </w:p>
        <w:p>
          <w:pPr>
            <w:pStyle w:val="Normal"/>
            <w:spacing w:lineRule="auto" w:line="240" w:before="120" w:after="0"/>
            <w:rPr>
              <w:sz w:val="24"/>
              <w:szCs w:val="24"/>
            </w:rPr>
          </w:pPr>
          <w:r>
            <w:rPr>
              <w:sz w:val="24"/>
              <w:szCs w:val="24"/>
            </w:rPr>
            <w:t>22.2.2.2.2.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themeColor="text1" w:val="000000"/>
              <w:sz w:val="24"/>
              <w:szCs w:val="24"/>
            </w:rPr>
          </w:pPr>
          <w:r>
            <w:rPr>
              <w:color w:themeColor="text1" w:val="000000"/>
              <w:sz w:val="24"/>
              <w:szCs w:val="24"/>
            </w:rPr>
            <w:t xml:space="preserve">22.2.2.3. Impedimento de licitar e contratar, para as infrações previstas nos itens 22.1.1.2. a 22.1.1.7., </w:t>
          </w:r>
          <w:r>
            <w:rPr>
              <w:rFonts w:eastAsia="Arial"/>
              <w:color w:themeColor="text1" w:val="000000"/>
              <w:sz w:val="24"/>
              <w:szCs w:val="24"/>
            </w:rPr>
            <w:t>quando não se justificar a imposição de penalidade mais grave;</w:t>
          </w:r>
        </w:p>
        <w:p>
          <w:pPr>
            <w:pStyle w:val="Normal"/>
            <w:spacing w:lineRule="auto" w:line="240" w:before="120" w:after="0"/>
            <w:rPr>
              <w:color w:themeColor="text1" w:val="000000"/>
              <w:sz w:val="24"/>
              <w:szCs w:val="24"/>
            </w:rPr>
          </w:pPr>
          <w:r>
            <w:rPr>
              <w:color w:themeColor="text1" w:val="000000"/>
              <w:sz w:val="24"/>
              <w:szCs w:val="24"/>
            </w:rPr>
            <w:t>22.2.2.4. declaração de inidoneidade para licitar e contratar, para as infrações previstas nos itens 22.1.1.8. a 22.1.1.12.</w:t>
          </w:r>
        </w:p>
        <w:p>
          <w:pPr>
            <w:pStyle w:val="Normal"/>
            <w:spacing w:lineRule="auto" w:line="240" w:before="120" w:after="0"/>
            <w:rPr>
              <w:b/>
              <w:bCs/>
              <w:color w:themeColor="text1" w:val="000000"/>
              <w:sz w:val="24"/>
              <w:szCs w:val="24"/>
            </w:rPr>
          </w:pPr>
          <w:r>
            <w:rPr>
              <w:b/>
              <w:bCs/>
              <w:color w:themeColor="text1" w:val="000000"/>
              <w:sz w:val="24"/>
              <w:szCs w:val="24"/>
            </w:rPr>
            <w:t>22.3.  Da Aplicação das Sanções</w:t>
          </w:r>
        </w:p>
        <w:p>
          <w:pPr>
            <w:pStyle w:val="Normal"/>
            <w:spacing w:lineRule="auto" w:line="240" w:before="120" w:after="0"/>
            <w:rPr>
              <w:sz w:val="24"/>
              <w:szCs w:val="24"/>
            </w:rPr>
          </w:pPr>
          <w:r>
            <w:rPr>
              <w:sz w:val="24"/>
              <w:szCs w:val="24"/>
            </w:rPr>
            <w:t>22.3.1.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22.3.2.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sz w:val="24"/>
              <w:szCs w:val="24"/>
            </w:rPr>
          </w:pPr>
          <w:r>
            <w:rPr>
              <w:sz w:val="24"/>
              <w:szCs w:val="24"/>
            </w:rPr>
            <w:t xml:space="preserve">22.3.3. </w:t>
          </w:r>
          <w:r>
            <w:rPr>
              <w:rFonts w:eastAsia="Arial"/>
              <w:sz w:val="24"/>
              <w:szCs w:val="24"/>
            </w:rPr>
            <w:t>A multa de mora poderá ser convertida em multa compensatória, com a aplicação cumulada de outras sanções previstas neste Termo.</w:t>
          </w:r>
        </w:p>
        <w:p>
          <w:pPr>
            <w:pStyle w:val="Normal"/>
            <w:spacing w:lineRule="auto" w:line="240" w:before="120" w:after="0"/>
            <w:rPr>
              <w:sz w:val="24"/>
              <w:szCs w:val="24"/>
            </w:rPr>
          </w:pPr>
          <w:r>
            <w:rPr>
              <w:sz w:val="24"/>
              <w:szCs w:val="24"/>
            </w:rPr>
            <w:t>22.3.4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pPr>
            <w:pStyle w:val="Normal"/>
            <w:spacing w:lineRule="auto" w:line="240" w:before="120" w:after="0"/>
            <w:rPr>
              <w:sz w:val="24"/>
              <w:szCs w:val="24"/>
            </w:rPr>
          </w:pPr>
          <w:r>
            <w:rPr>
              <w:sz w:val="24"/>
              <w:szCs w:val="24"/>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22.3.7.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22.3.8. As sanções de impedimento de licitar e contratar e de declaração de inidoneidade levam à inclusão do participante no CFIL/RS.</w:t>
          </w:r>
        </w:p>
        <w:p>
          <w:pPr>
            <w:pStyle w:val="Heading6"/>
            <w:spacing w:lineRule="auto" w:line="240" w:before="120" w:after="0"/>
            <w:rPr>
              <w:sz w:val="24"/>
              <w:szCs w:val="24"/>
            </w:rPr>
          </w:pPr>
          <w:r>
            <w:rPr>
              <w:sz w:val="24"/>
              <w:szCs w:val="24"/>
            </w:rPr>
            <w:t>22.4. Da execução da garantia contratual</w:t>
          </w:r>
        </w:p>
        <w:p>
          <w:pPr>
            <w:pStyle w:val="Normal"/>
            <w:spacing w:lineRule="auto" w:line="240" w:before="120" w:after="0"/>
            <w:rPr>
              <w:sz w:val="24"/>
              <w:szCs w:val="24"/>
            </w:rPr>
          </w:pPr>
          <w:r>
            <w:rPr>
              <w:sz w:val="24"/>
              <w:szCs w:val="24"/>
            </w:rPr>
            <w:t>22.4.1. O valor da multa poderá ser descontado da garantia contratual.</w:t>
          </w:r>
        </w:p>
        <w:p>
          <w:pPr>
            <w:pStyle w:val="Normal"/>
            <w:spacing w:lineRule="auto" w:line="240" w:before="120" w:after="0"/>
            <w:rPr>
              <w:sz w:val="24"/>
              <w:szCs w:val="24"/>
            </w:rPr>
          </w:pPr>
          <w:r>
            <w:rPr>
              <w:sz w:val="24"/>
              <w:szCs w:val="24"/>
            </w:rPr>
            <w:t>22.4.2.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22.4.3.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22.4.4.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22.4.5.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23. DAS DISPOSIÇÕES FINAIS </w:t>
          </w:r>
        </w:p>
        <w:p>
          <w:pPr>
            <w:pStyle w:val="Normal"/>
            <w:spacing w:lineRule="auto" w:line="240" w:before="120" w:after="0"/>
            <w:rPr>
              <w:sz w:val="24"/>
              <w:szCs w:val="24"/>
            </w:rPr>
          </w:pPr>
          <w:r>
            <w:rPr>
              <w:sz w:val="24"/>
              <w:szCs w:val="24"/>
            </w:rPr>
            <w:t xml:space="preserve">23.1.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23.1.1.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23.1.2. Os demais atos serão registrados nos autos do processo. </w:t>
          </w:r>
        </w:p>
        <w:p>
          <w:pPr>
            <w:pStyle w:val="Normal"/>
            <w:spacing w:lineRule="auto" w:line="240" w:before="120" w:after="0"/>
            <w:rPr>
              <w:sz w:val="24"/>
              <w:szCs w:val="24"/>
            </w:rPr>
          </w:pPr>
          <w:r>
            <w:rPr>
              <w:sz w:val="24"/>
              <w:szCs w:val="24"/>
            </w:rPr>
            <w:t xml:space="preserve">23.2.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23.4.1.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23.5. As informações, atas e relatórios pertinentes à presente dispensa serão disponibilizados no site referido no </w:t>
          </w:r>
          <w:r>
            <w:rPr>
              <w:b/>
              <w:bCs/>
              <w:sz w:val="24"/>
              <w:szCs w:val="24"/>
            </w:rPr>
            <w:t>ANEXO III – FOLHA DE DADOS (CGDL 2.1)</w:t>
          </w:r>
          <w:r>
            <w:rPr>
              <w:sz w:val="24"/>
              <w:szCs w:val="24"/>
            </w:rPr>
            <w:t xml:space="preserve">, sem prejuízo às informações prestadas ao Portal Nacional de Contratações Públicas. </w:t>
          </w:r>
        </w:p>
        <w:p>
          <w:pPr>
            <w:pStyle w:val="Normal"/>
            <w:spacing w:lineRule="auto" w:line="240" w:before="120" w:after="0"/>
            <w:rPr>
              <w:color w:themeColor="text1" w:val="000000"/>
              <w:sz w:val="24"/>
              <w:szCs w:val="24"/>
            </w:rPr>
          </w:pPr>
          <w:r>
            <w:rPr>
              <w:sz w:val="24"/>
              <w:szCs w:val="24"/>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23.7.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23.8.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23.9. O adjudicatário está sujeito a observação e cumprimento de todas as cláusulas previstas no Termo de Contrato – Anexo I, mesmo na hipótese de sua substituição por outro instrumento hábil.</w:t>
          </w:r>
        </w:p>
        <w:p>
          <w:pPr>
            <w:pStyle w:val="Normal"/>
            <w:spacing w:lineRule="auto" w:line="240" w:before="120" w:after="0"/>
            <w:rPr>
              <w:sz w:val="24"/>
              <w:szCs w:val="24"/>
            </w:rPr>
          </w:pPr>
          <w:r>
            <w:rPr>
              <w:sz w:val="24"/>
              <w:szCs w:val="24"/>
            </w:rPr>
            <w:t>23.10.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 xml:space="preserve">23.11. Aplicam-se aos casos omissos as disposições constantes na Lei Federal nº </w:t>
          </w:r>
          <w:r>
            <w:rPr>
              <w:color w:val="auto"/>
              <w:sz w:val="24"/>
              <w:szCs w:val="24"/>
            </w:rPr>
            <w:t>14.133/2021.</w:t>
          </w:r>
          <w:r>
            <w:rPr>
              <w:sz w:val="24"/>
              <w:szCs w:val="24"/>
            </w:rPr>
            <w:t xml:space="preserve"> </w:t>
          </w:r>
        </w:p>
        <w:p>
          <w:pPr>
            <w:pStyle w:val="Normal"/>
            <w:spacing w:lineRule="auto" w:line="240" w:before="120" w:after="0"/>
            <w:rPr>
              <w:sz w:val="24"/>
              <w:szCs w:val="24"/>
            </w:rPr>
          </w:pPr>
          <w:r>
            <w:rPr>
              <w:sz w:val="24"/>
              <w:szCs w:val="24"/>
            </w:rPr>
            <w:t>23.12.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23.13.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23.13. Integram este Termo, ainda, para todos os fins e efeitos, os seguintes anexos:</w:t>
          </w:r>
        </w:p>
        <w:p>
          <w:pPr>
            <w:pStyle w:val="Normal"/>
            <w:spacing w:lineRule="auto" w:line="240" w:before="120" w:after="0"/>
            <w:rPr>
              <w:sz w:val="24"/>
              <w:szCs w:val="24"/>
            </w:rPr>
          </w:pPr>
          <w:r>
            <w:rPr>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ANEXO I – MINUTA DE CONTRATO</w:t>
          </w:r>
        </w:p>
        <w:p>
          <w:pPr>
            <w:pStyle w:val="Normal"/>
            <w:widowControl w:val="false"/>
            <w:spacing w:lineRule="auto" w:line="240" w:before="120" w:after="0"/>
            <w:rPr>
              <w:rFonts w:eastAsia="Times New Roman"/>
              <w:b/>
              <w:sz w:val="24"/>
              <w:szCs w:val="24"/>
            </w:rPr>
          </w:pPr>
          <w:r>
            <w:rPr>
              <w:rFonts w:eastAsia="Times New Roman"/>
              <w:b/>
              <w:sz w:val="24"/>
              <w:szCs w:val="24"/>
            </w:rPr>
            <w:t>ANEXO 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FOLHA DE DADOS</w:t>
          </w:r>
        </w:p>
        <w:p>
          <w:pPr>
            <w:pStyle w:val="Normal"/>
            <w:widowControl w:val="false"/>
            <w:spacing w:lineRule="auto" w:line="240" w:before="120" w:after="0"/>
            <w:rPr>
              <w:sz w:val="24"/>
              <w:szCs w:val="24"/>
            </w:rPr>
          </w:pPr>
          <w:r>
            <w:rPr>
              <w:rFonts w:eastAsia="Times New Roman"/>
              <w:b/>
              <w:bCs/>
              <w:sz w:val="24"/>
              <w:szCs w:val="24"/>
            </w:rPr>
            <w:t xml:space="preserve">ANEXO IV – TERMO DE REFERÊNCIA </w:t>
          </w:r>
        </w:p>
        <w:p>
          <w:pPr>
            <w:pStyle w:val="Normal"/>
            <w:widowControl w:val="false"/>
            <w:spacing w:lineRule="auto" w:line="240" w:before="120" w:after="0"/>
            <w:jc w:val="center"/>
            <w:rPr>
              <w:sz w:val="24"/>
              <w:szCs w:val="24"/>
            </w:rPr>
          </w:pPr>
          <w:r>
            <w:rPr>
              <w:sz w:val="24"/>
              <w:szCs w:val="24"/>
            </w:rPr>
          </w:r>
        </w:p>
        <w:p>
          <w:pPr>
            <w:pStyle w:val="Normal"/>
            <w:widowControl w:val="false"/>
            <w:spacing w:lineRule="auto" w:line="240" w:before="120" w:after="0"/>
            <w:jc w:val="center"/>
            <w:rPr>
              <w:sz w:val="24"/>
              <w:szCs w:val="24"/>
            </w:rPr>
          </w:pPr>
          <w:r>
            <w:rPr>
              <w:sz w:val="24"/>
              <w:szCs w:val="24"/>
            </w:rPr>
            <w:t>Porto Alegre, 29 de maio de 2026.</w:t>
          </w:r>
        </w:p>
        <w:p>
          <w:pPr>
            <w:pStyle w:val="Normal"/>
            <w:spacing w:lineRule="auto" w:line="240" w:before="120" w:after="0"/>
            <w:jc w:val="center"/>
            <w:rPr>
              <w:sz w:val="24"/>
              <w:szCs w:val="24"/>
            </w:rPr>
          </w:pPr>
          <w:r>
            <w:rPr>
              <w:sz w:val="24"/>
              <w:szCs w:val="24"/>
            </w:rPr>
            <w:t>Adriana M. Collares</w:t>
          </w:r>
        </w:p>
        <w:p>
          <w:pPr>
            <w:pStyle w:val="Normal"/>
            <w:spacing w:lineRule="auto" w:line="240" w:before="120" w:after="0"/>
            <w:jc w:val="center"/>
            <w:rPr>
              <w:sz w:val="24"/>
              <w:szCs w:val="24"/>
            </w:rPr>
          </w:pPr>
          <w:r>
            <w:rPr>
              <w:sz w:val="24"/>
              <w:szCs w:val="24"/>
            </w:rPr>
            <w:t>Agente de contratação</w:t>
          </w:r>
          <w:r>
            <w:br w:type="page"/>
          </w:r>
        </w:p>
        <w:p>
          <w:pPr>
            <w:pStyle w:val="Heading2"/>
            <w:spacing w:lineRule="auto" w:line="240" w:before="0" w:after="0"/>
            <w:rPr>
              <w:sz w:val="24"/>
              <w:szCs w:val="24"/>
            </w:rPr>
          </w:pPr>
          <w:r>
            <w:rPr>
              <w:sz w:val="24"/>
              <w:szCs w:val="24"/>
            </w:rPr>
            <w:t>ANEXO I – MINUTA DE CONTRATO</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t xml:space="preserve">TERMO DE CONTRATO DE FORNECIMENTO Nº </w:t>
          </w:r>
        </w:p>
        <w:p>
          <w:pPr>
            <w:pStyle w:val="Normal"/>
            <w:spacing w:lineRule="auto" w:line="240" w:before="120" w:after="0"/>
            <w:rPr>
              <w:b/>
              <w:sz w:val="24"/>
              <w:szCs w:val="24"/>
            </w:rPr>
          </w:pPr>
          <w:r>
            <w:rPr>
              <w:b/>
              <w:sz w:val="24"/>
              <w:szCs w:val="24"/>
            </w:rPr>
          </w:r>
        </w:p>
        <w:p>
          <w:pPr>
            <w:pStyle w:val="Normal"/>
            <w:spacing w:lineRule="auto" w:line="240" w:before="120" w:after="0"/>
            <w:rPr>
              <w:sz w:val="24"/>
              <w:szCs w:val="24"/>
            </w:rPr>
          </w:pPr>
          <w:r>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PRIMEIRA - DO OBJETO </w:t>
          </w:r>
        </w:p>
        <w:p>
          <w:pPr>
            <w:pStyle w:val="Normal"/>
            <w:spacing w:lineRule="auto" w:line="240" w:before="120" w:after="0"/>
            <w:rPr>
              <w:sz w:val="24"/>
              <w:szCs w:val="24"/>
            </w:rPr>
          </w:pPr>
          <w:r>
            <w:rPr>
              <w:sz w:val="24"/>
              <w:szCs w:val="24"/>
            </w:rPr>
            <w:t xml:space="preserve">1.1. O objeto do presente instrumento é a aquisição de bens [Reproduzir o texto do </w:t>
          </w:r>
          <w:r>
            <w:rPr>
              <w:b/>
              <w:bCs/>
              <w:sz w:val="24"/>
              <w:szCs w:val="24"/>
            </w:rPr>
            <w:t>ANEXO III – FOLHA DE DADOS (CGDL 1.1)</w:t>
          </w:r>
          <w:r>
            <w:rPr>
              <w:sz w:val="24"/>
              <w:szCs w:val="24"/>
            </w:rPr>
            <w:t xml:space="preserve">], nas condições estabelecidas no Termo de Referência, Anexo IV, ao Termo de Dispensa de Licitação. </w:t>
          </w:r>
        </w:p>
        <w:p>
          <w:pPr>
            <w:pStyle w:val="Normal"/>
            <w:spacing w:lineRule="auto" w:line="240" w:before="120" w:after="0"/>
            <w:rPr>
              <w:sz w:val="24"/>
              <w:szCs w:val="24"/>
            </w:rPr>
          </w:pPr>
          <w:r>
            <w:rPr>
              <w:sz w:val="24"/>
              <w:szCs w:val="24"/>
            </w:rPr>
            <w:t xml:space="preserve">1.2. Este contrato vincula-se ao Termo de Dispensa de Licitação, identificado no preâmbulo, e à proposta vencedora, independentemente de transcrição.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SEGUNDA - DO PREÇO </w:t>
          </w:r>
        </w:p>
        <w:p>
          <w:pPr>
            <w:pStyle w:val="Normal"/>
            <w:spacing w:lineRule="auto" w:line="240" w:before="120" w:after="0"/>
            <w:rPr>
              <w:sz w:val="24"/>
              <w:szCs w:val="24"/>
            </w:rPr>
          </w:pPr>
          <w:r>
            <w:rPr>
              <w:sz w:val="24"/>
              <w:szCs w:val="24"/>
            </w:rPr>
            <w:t xml:space="preserve">2.1. O preço do fornecimento contratado é de R$ ____ (_____), constante da proposta vencedora da dispensa de licitação, entendido este como preço justo e suficiente para a total execução do presente objeto. </w:t>
          </w:r>
        </w:p>
        <w:p>
          <w:pPr>
            <w:pStyle w:val="Normal"/>
            <w:spacing w:lineRule="auto" w:line="240" w:before="120" w:after="0"/>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TERCEIRA - DO RECURSO FINANCEIRO </w:t>
          </w:r>
        </w:p>
        <w:p>
          <w:pPr>
            <w:pStyle w:val="Normal"/>
            <w:spacing w:lineRule="auto" w:line="240" w:before="120" w:after="0"/>
            <w:rPr>
              <w:sz w:val="24"/>
              <w:szCs w:val="24"/>
            </w:rPr>
          </w:pPr>
          <w:r>
            <w:rPr>
              <w:sz w:val="24"/>
              <w:szCs w:val="24"/>
            </w:rPr>
            <w:t xml:space="preserve">3.1. As despesas decorrentes do presente contrato correrão à conta do recurso financeiro: [Reproduzir o texto do </w:t>
          </w:r>
          <w:r>
            <w:rPr>
              <w:b/>
              <w:bCs/>
              <w:sz w:val="24"/>
              <w:szCs w:val="24"/>
            </w:rPr>
            <w:t>ANEXO III – FOLHA DE DADOS (CGDL 19.1)</w:t>
          </w:r>
          <w:r>
            <w:rPr>
              <w:sz w:val="24"/>
              <w:szCs w:val="24"/>
            </w:rPr>
            <w:t>]</w:t>
          </w:r>
        </w:p>
        <w:p>
          <w:pPr>
            <w:pStyle w:val="Normal"/>
            <w:spacing w:lineRule="auto" w:line="240" w:before="120" w:after="0"/>
            <w:rPr>
              <w:sz w:val="24"/>
              <w:szCs w:val="24"/>
            </w:rPr>
          </w:pPr>
          <w:r>
            <w:rPr>
              <w:sz w:val="24"/>
              <w:szCs w:val="24"/>
            </w:rPr>
            <w:t>Empenho nº: ________</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QUARTA – DO PRAZO CONTRATUAL </w:t>
          </w:r>
        </w:p>
        <w:p>
          <w:pPr>
            <w:pStyle w:val="Normal"/>
            <w:spacing w:lineRule="auto" w:line="240" w:before="120" w:after="0"/>
            <w:rPr>
              <w:sz w:val="24"/>
              <w:szCs w:val="24"/>
            </w:rPr>
          </w:pPr>
          <w:r>
            <w:rPr>
              <w:sz w:val="24"/>
              <w:szCs w:val="24"/>
            </w:rPr>
            <w:t xml:space="preserve">4.1. O prazo de duração do contrato é de [Reproduzir o texto do </w:t>
          </w:r>
          <w:r>
            <w:rPr>
              <w:b/>
              <w:bCs/>
              <w:sz w:val="24"/>
              <w:szCs w:val="24"/>
            </w:rPr>
            <w:t>ANEXO III – FOLHA DE DADOS (CGDL 16.4)</w:t>
          </w:r>
          <w:r>
            <w:rPr>
              <w:sz w:val="24"/>
              <w:szCs w:val="24"/>
            </w:rPr>
            <w:t xml:space="preserve">].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QUINTA – DA GARANTIA </w:t>
          </w:r>
        </w:p>
        <w:p>
          <w:pPr>
            <w:pStyle w:val="Normal"/>
            <w:spacing w:lineRule="auto" w:line="240" w:before="120" w:after="0"/>
            <w:rPr>
              <w:sz w:val="24"/>
              <w:szCs w:val="24"/>
            </w:rPr>
          </w:pPr>
          <w:r>
            <w:rPr>
              <w:sz w:val="24"/>
              <w:szCs w:val="24"/>
            </w:rPr>
            <w:t xml:space="preserve">5.1. [Reproduzir </w:t>
          </w:r>
          <w:r>
            <w:rPr>
              <w:b/>
              <w:bCs/>
              <w:sz w:val="24"/>
              <w:szCs w:val="24"/>
            </w:rPr>
            <w:t>ANEXO III – FOLHA DE DADOS (CGDL 21.1)</w:t>
          </w:r>
          <w:r>
            <w:rPr>
              <w:sz w:val="24"/>
              <w:szCs w:val="24"/>
            </w:rPr>
            <w:t xml:space="preserve">].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SEXTA – DO PAGAMENTO </w:t>
          </w:r>
        </w:p>
        <w:p>
          <w:pPr>
            <w:pStyle w:val="Normal"/>
            <w:spacing w:lineRule="auto" w:line="240" w:before="120" w:after="0"/>
            <w:rPr>
              <w:sz w:val="24"/>
              <w:szCs w:val="24"/>
            </w:rPr>
          </w:pPr>
          <w:r>
            <w:rPr>
              <w:sz w:val="24"/>
              <w:szCs w:val="24"/>
            </w:rPr>
            <w:t xml:space="preserve">6.1. O pagamento deverá ser efetuado no prazo e nas condições estabelecidos no </w:t>
          </w:r>
          <w:r>
            <w:rPr>
              <w:b/>
              <w:bCs/>
              <w:sz w:val="24"/>
              <w:szCs w:val="24"/>
            </w:rPr>
            <w:t>ANEXO III – FOLHA DE DADOS (CGDL 17.1)</w:t>
          </w:r>
          <w:r>
            <w:rPr>
              <w:sz w:val="24"/>
              <w:szCs w:val="24"/>
            </w:rPr>
            <w:t xml:space="preserve"> mediante a apresentação de Nota Fiscal ou da Fatura pelo contratado, que deverá conter o detalhamento do fornecimento executado.</w:t>
          </w:r>
        </w:p>
        <w:p>
          <w:pPr>
            <w:pStyle w:val="Normal"/>
            <w:spacing w:lineRule="auto" w:line="240" w:before="120" w:after="0"/>
            <w:rPr>
              <w:sz w:val="24"/>
              <w:szCs w:val="24"/>
            </w:rPr>
          </w:pPr>
          <w:r>
            <w:rPr>
              <w:sz w:val="24"/>
              <w:szCs w:val="24"/>
            </w:rPr>
            <w:t xml:space="preserve">6.2. [Transcrever as condições estabelecidas no </w:t>
          </w:r>
          <w:r>
            <w:rPr>
              <w:b/>
              <w:bCs/>
              <w:sz w:val="24"/>
              <w:szCs w:val="24"/>
            </w:rPr>
            <w:t>ANEXO III – FOLHA DE DADOS (CGDL 17.1)</w:t>
          </w:r>
          <w:r>
            <w:rPr>
              <w:sz w:val="24"/>
              <w:szCs w:val="24"/>
            </w:rPr>
            <w:t xml:space="preserve">]. </w:t>
          </w:r>
        </w:p>
        <w:p>
          <w:pPr>
            <w:pStyle w:val="Normal"/>
            <w:spacing w:lineRule="auto" w:line="240" w:before="120" w:after="0"/>
            <w:rPr>
              <w:sz w:val="24"/>
              <w:szCs w:val="24"/>
            </w:rPr>
          </w:pPr>
          <w:r>
            <w:rPr>
              <w:sz w:val="24"/>
              <w:szCs w:val="24"/>
            </w:rPr>
            <w:t xml:space="preserve">6.3. O contratado não poderá protocolizar a Nota Fiscal ou Nota Fiscal Fatura antes do recebimento definitivo do objeto por parte do contratante. </w:t>
          </w:r>
        </w:p>
        <w:p>
          <w:pPr>
            <w:pStyle w:val="Normal"/>
            <w:spacing w:lineRule="auto" w:line="240" w:before="120" w:after="0"/>
            <w:rPr>
              <w:sz w:val="24"/>
              <w:szCs w:val="24"/>
            </w:rPr>
          </w:pPr>
          <w:r>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sz w:val="24"/>
              <w:szCs w:val="24"/>
              <w:shd w:fill="FFFF00" w:val="clear"/>
            </w:rPr>
            <w:t xml:space="preserve"> </w:t>
          </w:r>
        </w:p>
        <w:p>
          <w:pPr>
            <w:pStyle w:val="Normal"/>
            <w:spacing w:lineRule="auto" w:line="240" w:before="120" w:after="0"/>
            <w:rPr>
              <w:sz w:val="24"/>
              <w:szCs w:val="24"/>
            </w:rPr>
          </w:pPr>
          <w:r>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pPr>
            <w:pStyle w:val="Normal"/>
            <w:spacing w:lineRule="auto" w:line="240" w:before="120" w:after="0"/>
            <w:rPr>
              <w:sz w:val="24"/>
              <w:szCs w:val="24"/>
            </w:rPr>
          </w:pPr>
          <w:r>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pPr>
            <w:pStyle w:val="Normal"/>
            <w:spacing w:lineRule="auto" w:line="240" w:before="120" w:after="0"/>
            <w:rPr>
              <w:sz w:val="24"/>
              <w:szCs w:val="24"/>
            </w:rPr>
          </w:pPr>
          <w:r>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pPr>
            <w:pStyle w:val="Normal"/>
            <w:spacing w:lineRule="auto" w:line="240" w:before="120" w:after="0"/>
            <w:rPr>
              <w:sz w:val="24"/>
              <w:szCs w:val="24"/>
            </w:rPr>
          </w:pPr>
          <w:r>
            <w:rPr>
              <w:sz w:val="24"/>
              <w:szCs w:val="24"/>
            </w:rPr>
            <w:t xml:space="preserve">6.7. Na fase da liquidação da despesa deverá ser efetuada consulta ao CADIN/RS, para fins de comprovação do cumprimento da relação contratual estabelecida nos termos do disposto no artigo </w:t>
          </w:r>
          <w:r>
            <w:rPr>
              <w:color w:val="auto"/>
              <w:sz w:val="24"/>
              <w:szCs w:val="24"/>
            </w:rPr>
            <w:t>92, inciso XVI, da Lei Federal nº 14.133/2021;</w:t>
          </w:r>
          <w:r>
            <w:rPr>
              <w:sz w:val="24"/>
              <w:szCs w:val="24"/>
            </w:rPr>
            <w:t xml:space="preserve"> </w:t>
          </w:r>
        </w:p>
        <w:p>
          <w:pPr>
            <w:pStyle w:val="Normal"/>
            <w:spacing w:lineRule="auto" w:line="240" w:before="120" w:after="0"/>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sz w:val="24"/>
              <w:szCs w:val="24"/>
            </w:rPr>
          </w:pPr>
          <w:r>
            <w:rPr>
              <w:sz w:val="24"/>
              <w:szCs w:val="24"/>
            </w:rPr>
            <w:t xml:space="preserve">6.7.2. Persistindo a irregularidade, o contratante poderá adotar as medidas necessárias à rescisão contratual nos autos do processo administrativo correspondente, assegurada à contratada a ampla defesa.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SÉTIMA - DA ATUALIZAÇÃO MONETÁRIA </w:t>
          </w:r>
        </w:p>
        <w:p>
          <w:pPr>
            <w:pStyle w:val="Normal"/>
            <w:spacing w:lineRule="auto" w:line="240" w:before="120" w:after="0"/>
            <w:rPr>
              <w:sz w:val="24"/>
              <w:szCs w:val="24"/>
            </w:rPr>
          </w:pPr>
          <w:r>
            <w:rPr>
              <w:sz w:val="24"/>
              <w:szCs w:val="24"/>
            </w:rPr>
            <w:t xml:space="preserve">7.1. Os valores do presente contrato não pagos na data prevista serão corrigidos até a data do efetivo pagamento, </w:t>
          </w:r>
          <w:r>
            <w:rPr>
              <w:i/>
              <w:sz w:val="24"/>
              <w:szCs w:val="24"/>
            </w:rPr>
            <w:t>pro rata die</w:t>
          </w:r>
          <w:r>
            <w:rPr>
              <w:sz w:val="24"/>
              <w:szCs w:val="24"/>
            </w:rPr>
            <w:t xml:space="preserve">, pelo Índice de Preços ao Consumidor Amplo – IPCA, do Sistema Nacional de Índices de Preços ao Consumidor – SNIPC, ou outro que venha a substituí-lo.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OITAVA – DO REAJUSTE DO PREÇO </w:t>
          </w:r>
        </w:p>
        <w:p>
          <w:pPr>
            <w:pStyle w:val="Normal"/>
            <w:spacing w:lineRule="auto" w:line="240" w:before="120" w:after="0"/>
            <w:rPr>
              <w:sz w:val="24"/>
              <w:szCs w:val="24"/>
            </w:rPr>
          </w:pPr>
          <w:r>
            <w:rPr>
              <w:sz w:val="24"/>
              <w:szCs w:val="24"/>
            </w:rPr>
            <w:t>8.1 O contrato será reajustado, observado o interregno mínimo de um ano, a contar da data-base do orçamento estimado.</w:t>
          </w:r>
        </w:p>
        <w:p>
          <w:pPr>
            <w:pStyle w:val="Normal"/>
            <w:spacing w:lineRule="auto" w:line="240" w:before="120" w:after="0"/>
            <w:rPr>
              <w:sz w:val="24"/>
              <w:szCs w:val="24"/>
            </w:rPr>
          </w:pPr>
          <w:r>
            <w:rPr>
              <w:sz w:val="24"/>
              <w:szCs w:val="24"/>
            </w:rPr>
            <w:t>8.1.1. – Considera-se data-base, para fins de reajuste, a data de montagem da contratação, constante no Anexo IV - Termo de Referência.</w:t>
          </w:r>
        </w:p>
        <w:p>
          <w:pPr>
            <w:pStyle w:val="Normal"/>
            <w:spacing w:lineRule="auto" w:line="240" w:before="120" w:after="0"/>
            <w:rPr>
              <w:sz w:val="24"/>
              <w:szCs w:val="24"/>
            </w:rPr>
          </w:pPr>
          <w:r>
            <w:rPr>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sz w:val="24"/>
              <w:szCs w:val="24"/>
            </w:rPr>
          </w:pPr>
          <w:r>
            <w:rPr>
              <w:sz w:val="24"/>
              <w:szCs w:val="24"/>
            </w:rPr>
            <w:t>8.2. O valor do contrato será reajustado pelo IPCA, obedecendo-se a metodologia de cálculo adequada para sua atualização.</w:t>
          </w:r>
        </w:p>
        <w:p>
          <w:pPr>
            <w:pStyle w:val="Normal"/>
            <w:spacing w:lineRule="auto" w:line="240" w:before="120" w:after="0"/>
            <w:rPr>
              <w:sz w:val="24"/>
              <w:szCs w:val="24"/>
            </w:rPr>
          </w:pPr>
          <w:r>
            <w:rPr>
              <w:sz w:val="24"/>
              <w:szCs w:val="24"/>
            </w:rPr>
          </w:r>
        </w:p>
        <w:p>
          <w:pPr>
            <w:pStyle w:val="Normal"/>
            <w:spacing w:lineRule="auto" w:line="240" w:before="120" w:after="0"/>
            <w:rPr>
              <w:b/>
              <w:bCs/>
              <w:color w:themeColor="text1" w:val="000000"/>
              <w:sz w:val="24"/>
              <w:szCs w:val="24"/>
            </w:rPr>
          </w:pPr>
          <w:r>
            <w:rPr>
              <w:b/>
              <w:bCs/>
              <w:color w:themeColor="text1" w:val="000000"/>
              <w:sz w:val="24"/>
              <w:szCs w:val="24"/>
            </w:rPr>
            <w:t xml:space="preserve">CLÁUSULA NONA – REEQUILÍBRIO ECONÔMICO-FINANCEIRO </w:t>
          </w:r>
        </w:p>
        <w:p>
          <w:pPr>
            <w:pStyle w:val="Normal"/>
            <w:spacing w:lineRule="auto" w:line="240" w:before="120" w:after="0"/>
            <w:rPr>
              <w:color w:themeColor="text1" w:val="000000"/>
              <w:sz w:val="24"/>
              <w:szCs w:val="24"/>
            </w:rPr>
          </w:pPr>
          <w:r>
            <w:rPr>
              <w:color w:themeColor="text1" w:val="000000"/>
              <w:sz w:val="24"/>
              <w:szCs w:val="24"/>
            </w:rPr>
            <w:t>9.1. Caso o contratado pleiteie o reequilíbrio econômico-financeiro do contrato, fica o contratante obrigado a responder em até 30 (trinta) dias da data do requerimento.</w:t>
          </w:r>
        </w:p>
        <w:p>
          <w:pPr>
            <w:pStyle w:val="Normal"/>
            <w:spacing w:lineRule="auto" w:line="240" w:before="120" w:after="0"/>
            <w:rPr>
              <w:color w:themeColor="text1" w:val="000000"/>
              <w:sz w:val="24"/>
              <w:szCs w:val="24"/>
            </w:rPr>
          </w:pPr>
          <w:r>
            <w:rPr>
              <w:color w:themeColor="text1" w:val="000000"/>
              <w:sz w:val="24"/>
              <w:szCs w:val="24"/>
            </w:rPr>
            <w:t>9.1.1. O não cumprimento do prazo constante no item 9.1 não implica em deferimento do pedido por parte do contratante</w:t>
          </w:r>
        </w:p>
        <w:p>
          <w:pPr>
            <w:pStyle w:val="Normal"/>
            <w:spacing w:lineRule="auto" w:line="240" w:before="120" w:after="0"/>
            <w:rPr>
              <w:color w:themeColor="text1" w:val="000000"/>
              <w:sz w:val="24"/>
              <w:szCs w:val="24"/>
            </w:rPr>
          </w:pPr>
          <w:r>
            <w:rPr>
              <w:color w:themeColor="text1" w:val="000000"/>
              <w:sz w:val="24"/>
              <w:szCs w:val="24"/>
            </w:rPr>
            <w:t xml:space="preserve">9.2 </w:t>
          </w:r>
          <w:r>
            <w:rPr>
              <w:sz w:val="24"/>
              <w:szCs w:val="24"/>
            </w:rPr>
            <w:t>Todos os documentos necessários à apreciação do pedido deverão ser apresentados juntamente com o requerimento.</w:t>
          </w:r>
        </w:p>
        <w:p>
          <w:pPr>
            <w:pStyle w:val="Normal"/>
            <w:spacing w:lineRule="auto" w:line="240" w:before="120" w:after="0"/>
            <w:rPr>
              <w:sz w:val="24"/>
              <w:szCs w:val="24"/>
            </w:rPr>
          </w:pPr>
          <w:r>
            <w:rPr>
              <w:sz w:val="24"/>
              <w:szCs w:val="24"/>
            </w:rPr>
            <w:t>9.3. O pedido de restabelecimento do equilíbrio econômico-financeiro deverá ser formulado durante a vigência do contrato.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 DAS OBRIGAÇÕES DO CONTRATADO </w:t>
          </w:r>
        </w:p>
        <w:p>
          <w:pPr>
            <w:pStyle w:val="Normal"/>
            <w:spacing w:lineRule="auto" w:line="240" w:before="120" w:after="0"/>
            <w:rPr>
              <w:sz w:val="24"/>
              <w:szCs w:val="24"/>
            </w:rPr>
          </w:pPr>
          <w:r>
            <w:rPr>
              <w:sz w:val="24"/>
              <w:szCs w:val="24"/>
            </w:rPr>
            <w:t xml:space="preserve">10.1. Fornecer os bens conforme especificações contidas no </w:t>
          </w:r>
          <w:r>
            <w:rPr>
              <w:b/>
              <w:bCs/>
              <w:sz w:val="24"/>
              <w:szCs w:val="24"/>
            </w:rPr>
            <w:t>Anexo IV - Termo de Referência</w:t>
          </w:r>
          <w:r>
            <w:rPr>
              <w:sz w:val="24"/>
              <w:szCs w:val="24"/>
            </w:rPr>
            <w:t xml:space="preserve"> e de sua proposta. </w:t>
          </w:r>
        </w:p>
        <w:p>
          <w:pPr>
            <w:pStyle w:val="Normal"/>
            <w:spacing w:lineRule="auto" w:line="240" w:before="120" w:after="0"/>
            <w:rPr>
              <w:sz w:val="24"/>
              <w:szCs w:val="24"/>
            </w:rPr>
          </w:pPr>
          <w:r>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lineRule="auto" w:line="240" w:before="120" w:after="0"/>
            <w:rPr>
              <w:sz w:val="24"/>
              <w:szCs w:val="24"/>
            </w:rPr>
          </w:pPr>
          <w:r>
            <w:rPr>
              <w:sz w:val="24"/>
              <w:szCs w:val="24"/>
            </w:rPr>
            <w:t xml:space="preserve">10.3. Assumir inteira responsabilidade pelas obrigações fiscais, previdenciárias, trabalhistas e comerciais decorrentes da execução do presente contrato. </w:t>
          </w:r>
        </w:p>
        <w:p>
          <w:pPr>
            <w:pStyle w:val="Normal"/>
            <w:spacing w:lineRule="auto" w:line="240" w:before="120" w:after="0"/>
            <w:rPr>
              <w:sz w:val="24"/>
              <w:szCs w:val="24"/>
            </w:rPr>
          </w:pPr>
          <w:r>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lineRule="auto" w:line="240" w:before="120" w:after="0"/>
            <w:rPr>
              <w:sz w:val="24"/>
              <w:szCs w:val="24"/>
            </w:rPr>
          </w:pPr>
          <w:r>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sz w:val="24"/>
              <w:szCs w:val="24"/>
            </w:rPr>
          </w:pPr>
          <w:r>
            <w:rPr>
              <w:sz w:val="24"/>
              <w:szCs w:val="24"/>
            </w:rPr>
            <w:t xml:space="preserve">10.6. Atender integralmente o Termo de Referência. </w:t>
          </w:r>
        </w:p>
        <w:p>
          <w:pPr>
            <w:pStyle w:val="Normal"/>
            <w:spacing w:lineRule="auto" w:line="240" w:before="120" w:after="0"/>
            <w:rPr>
              <w:sz w:val="24"/>
              <w:szCs w:val="24"/>
            </w:rPr>
          </w:pPr>
          <w:r>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lineRule="auto" w:line="240" w:before="120" w:after="0"/>
            <w:rPr>
              <w:sz w:val="24"/>
              <w:szCs w:val="24"/>
            </w:rPr>
          </w:pPr>
          <w:r>
            <w:rPr>
              <w:sz w:val="24"/>
              <w:szCs w:val="24"/>
            </w:rPr>
            <w:t>10.8. Obrigações do contratado referentes à Lei Geral de Proteção de Dados – LGPD:</w:t>
          </w:r>
        </w:p>
        <w:p>
          <w:pPr>
            <w:pStyle w:val="Normal"/>
            <w:tabs>
              <w:tab w:val="clear" w:pos="720"/>
              <w:tab w:val="left" w:pos="8187" w:leader="none"/>
            </w:tabs>
            <w:spacing w:lineRule="auto" w:line="240" w:before="120" w:after="0"/>
            <w:rPr>
              <w:color w:val="auto"/>
              <w:sz w:val="24"/>
              <w:szCs w:val="24"/>
            </w:rPr>
          </w:pPr>
          <w:r>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color w:val="auto"/>
              <w:sz w:val="24"/>
              <w:szCs w:val="24"/>
            </w:rPr>
          </w:pPr>
          <w:r>
            <w:rPr>
              <w:color w:val="auto"/>
              <w:sz w:val="24"/>
              <w:szCs w:val="24"/>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lineRule="auto" w:line="240" w:before="120" w:after="0"/>
            <w:rPr>
              <w:color w:val="auto"/>
              <w:sz w:val="24"/>
              <w:szCs w:val="24"/>
            </w:rPr>
          </w:pPr>
          <w:r>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lineRule="auto" w:line="240" w:before="120" w:after="0"/>
            <w:rPr>
              <w:color w:val="auto"/>
              <w:sz w:val="24"/>
              <w:szCs w:val="24"/>
            </w:rPr>
          </w:pPr>
          <w:r>
            <w:rPr>
              <w:color w:val="auto"/>
              <w:sz w:val="24"/>
              <w:szCs w:val="24"/>
            </w:rPr>
            <w:t xml:space="preserve">10.8.4. É expressamente vedada a análise do comportamento dos titulares dos dados regulados pela legislação citada anteriormente com o objetivo de divulgação a terceiros. </w:t>
          </w:r>
        </w:p>
        <w:p>
          <w:pPr>
            <w:pStyle w:val="Normal"/>
            <w:spacing w:lineRule="auto" w:line="240" w:before="120" w:after="0"/>
            <w:rPr>
              <w:color w:val="auto"/>
              <w:sz w:val="24"/>
              <w:szCs w:val="24"/>
            </w:rPr>
          </w:pPr>
          <w:r>
            <w:rPr>
              <w:color w:val="auto"/>
              <w:sz w:val="24"/>
              <w:szCs w:val="24"/>
            </w:rPr>
            <w:t>10.8.5. A CONTRATADA deverá garantir que a execução do objeto da contratação esteja plenamente adequada à LGPD, permitindo assim auditorias solicitadas pela CONTRATANTE.</w:t>
          </w:r>
        </w:p>
        <w:p>
          <w:pPr>
            <w:pStyle w:val="Normal"/>
            <w:spacing w:lineRule="auto" w:line="240" w:before="120" w:after="0"/>
            <w:rPr>
              <w:iCs/>
              <w:sz w:val="24"/>
              <w:szCs w:val="24"/>
            </w:rPr>
          </w:pPr>
          <w:r>
            <w:rPr>
              <w:iCs/>
              <w:color w:val="auto"/>
              <w:sz w:val="24"/>
              <w:szCs w:val="24"/>
            </w:rPr>
            <w:t>10.9. C</w:t>
          </w:r>
          <w:r>
            <w:rPr>
              <w:iCs/>
              <w:sz w:val="24"/>
              <w:szCs w:val="24"/>
            </w:rPr>
            <w:t>umprir as exigências de reserva de cargos prevista em lei, bem como em outras normas específicas, para pessoa com deficiência, para reabilitado da Previdência Social e para aprendiz.</w:t>
          </w:r>
        </w:p>
        <w:p>
          <w:pPr>
            <w:pStyle w:val="Normal"/>
            <w:spacing w:lineRule="auto" w:line="240" w:before="120" w:after="0"/>
            <w:rPr>
              <w:sz w:val="24"/>
              <w:szCs w:val="24"/>
            </w:rPr>
          </w:pPr>
          <w:r>
            <w:rPr>
              <w:sz w:val="24"/>
              <w:szCs w:val="24"/>
            </w:rPr>
            <w:t>10.10. [Reproduzir, se for o caso, outras obrigações específicas previstas no Item ANEXO III – FOLHA DE DADOS (CGDL 20.1)].</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PRIMEIRA – DAS OBRIGAÇÕES DO CONTRATANTE</w:t>
          </w:r>
        </w:p>
        <w:p>
          <w:pPr>
            <w:pStyle w:val="Normal"/>
            <w:spacing w:lineRule="auto" w:line="240" w:before="120" w:after="0"/>
            <w:rPr>
              <w:sz w:val="24"/>
              <w:szCs w:val="24"/>
            </w:rPr>
          </w:pPr>
          <w:r>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lineRule="auto" w:line="240" w:before="120" w:after="0"/>
            <w:rPr>
              <w:sz w:val="24"/>
              <w:szCs w:val="24"/>
            </w:rPr>
          </w:pPr>
          <w:r>
            <w:rPr>
              <w:sz w:val="24"/>
              <w:szCs w:val="24"/>
            </w:rPr>
            <w:t xml:space="preserve">11.2. Exigir o cumprimento de todas as obrigações assumidas pelo contratado, de acordo com as cláusulas contratuais e os termos de sua proposta. </w:t>
          </w:r>
        </w:p>
        <w:p>
          <w:pPr>
            <w:pStyle w:val="Normal"/>
            <w:spacing w:lineRule="auto" w:line="240" w:before="120" w:after="0"/>
            <w:rPr>
              <w:sz w:val="24"/>
              <w:szCs w:val="24"/>
            </w:rPr>
          </w:pPr>
          <w:r>
            <w:rPr>
              <w:sz w:val="24"/>
              <w:szCs w:val="24"/>
            </w:rPr>
            <w:t xml:space="preserve">11.3. Notificar o contratado por escrito da ocorrência de eventuais imperfeições no curso da execução do contrato, fixando prazo para a sua correção. </w:t>
          </w:r>
        </w:p>
        <w:p>
          <w:pPr>
            <w:pStyle w:val="Normal"/>
            <w:spacing w:lineRule="auto" w:line="240" w:before="120" w:after="0"/>
            <w:rPr>
              <w:sz w:val="24"/>
              <w:szCs w:val="24"/>
            </w:rPr>
          </w:pPr>
          <w:r>
            <w:rPr>
              <w:sz w:val="24"/>
              <w:szCs w:val="24"/>
            </w:rPr>
            <w:t>11.4. Pagar ao contratado o valor resultante do fornecimento, no prazo e condições estabelecidas.</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SEGUNDA – DAS PENALIDADES </w:t>
          </w:r>
        </w:p>
        <w:p>
          <w:pPr>
            <w:pStyle w:val="Normal"/>
            <w:spacing w:lineRule="auto" w:line="240" w:before="120" w:after="0"/>
            <w:rPr>
              <w:b/>
              <w:color w:val="FFC000"/>
              <w:sz w:val="24"/>
              <w:szCs w:val="24"/>
              <w:u w:val="single"/>
            </w:rPr>
          </w:pPr>
          <w:r>
            <w:rPr>
              <w:sz w:val="24"/>
              <w:szCs w:val="24"/>
            </w:rPr>
            <w:t xml:space="preserve">12.1. Comete infração administrativa, nos termos da Lei nº </w:t>
          </w:r>
          <w:r>
            <w:rPr>
              <w:color w:val="auto"/>
              <w:sz w:val="24"/>
              <w:szCs w:val="24"/>
            </w:rPr>
            <w:t>14.133/2021</w:t>
          </w:r>
          <w:r>
            <w:rPr>
              <w:sz w:val="24"/>
              <w:szCs w:val="24"/>
            </w:rPr>
            <w:t>, o contratado que:</w:t>
          </w:r>
        </w:p>
        <w:p>
          <w:pPr>
            <w:pStyle w:val="Normal"/>
            <w:spacing w:lineRule="auto" w:line="240" w:before="120" w:after="0"/>
            <w:rPr>
              <w:sz w:val="24"/>
              <w:szCs w:val="24"/>
            </w:rPr>
          </w:pPr>
          <w:r>
            <w:rPr>
              <w:sz w:val="24"/>
              <w:szCs w:val="24"/>
            </w:rPr>
            <w:t xml:space="preserve">12.1.1. der causa à inexecução parcial do contrato; </w:t>
          </w:r>
        </w:p>
        <w:p>
          <w:pPr>
            <w:pStyle w:val="Normal"/>
            <w:spacing w:lineRule="auto" w:line="240" w:before="120" w:after="0"/>
            <w:rPr>
              <w:color w:themeColor="text1" w:val="000000"/>
              <w:sz w:val="24"/>
              <w:szCs w:val="24"/>
            </w:rPr>
          </w:pPr>
          <w:r>
            <w:rPr>
              <w:sz w:val="24"/>
              <w:szCs w:val="24"/>
            </w:rPr>
            <w:t xml:space="preserve">12.1.2. der causa à inexecução parcial do contrato que cause grave dano à Administração, ao funcionamento dos serviços públicos ou ao interesse coletivo; </w:t>
          </w:r>
        </w:p>
        <w:p>
          <w:pPr>
            <w:pStyle w:val="Normal"/>
            <w:spacing w:lineRule="auto" w:line="240" w:before="120" w:after="0"/>
            <w:rPr>
              <w:color w:themeColor="text1" w:val="000000"/>
              <w:sz w:val="24"/>
              <w:szCs w:val="24"/>
            </w:rPr>
          </w:pPr>
          <w:r>
            <w:rPr>
              <w:sz w:val="24"/>
              <w:szCs w:val="24"/>
            </w:rPr>
            <w:t xml:space="preserve">12.1.3. der causa à inexecução total do contrato; </w:t>
          </w:r>
        </w:p>
        <w:p>
          <w:pPr>
            <w:pStyle w:val="Normal"/>
            <w:spacing w:lineRule="auto" w:line="240" w:before="120" w:after="0"/>
            <w:rPr>
              <w:color w:themeColor="text1" w:val="000000"/>
              <w:sz w:val="24"/>
              <w:szCs w:val="24"/>
            </w:rPr>
          </w:pPr>
          <w:r>
            <w:rPr>
              <w:sz w:val="24"/>
              <w:szCs w:val="24"/>
            </w:rPr>
            <w:t xml:space="preserve">12.1.4. enseje o retardamento da execução ou da entrega do objeto da licitação, sem motivo justificado; </w:t>
          </w:r>
        </w:p>
        <w:p>
          <w:pPr>
            <w:pStyle w:val="Normal"/>
            <w:spacing w:lineRule="auto" w:line="240" w:before="120" w:after="0"/>
            <w:rPr>
              <w:color w:themeColor="text1" w:val="000000"/>
              <w:sz w:val="24"/>
              <w:szCs w:val="24"/>
            </w:rPr>
          </w:pPr>
          <w:r>
            <w:rPr>
              <w:sz w:val="24"/>
              <w:szCs w:val="24"/>
            </w:rPr>
            <w:t xml:space="preserve">12.1.5. apresente declaração ou documentação falsa exigida para o certame ou prestar declaração falsa durante a licitação ou a execução do contrato; </w:t>
          </w:r>
        </w:p>
        <w:p>
          <w:pPr>
            <w:pStyle w:val="Normal"/>
            <w:spacing w:lineRule="auto" w:line="240" w:before="120" w:after="0"/>
            <w:rPr>
              <w:color w:themeColor="text1" w:val="000000"/>
              <w:sz w:val="24"/>
              <w:szCs w:val="24"/>
            </w:rPr>
          </w:pPr>
          <w:r>
            <w:rPr>
              <w:sz w:val="24"/>
              <w:szCs w:val="24"/>
            </w:rPr>
            <w:t xml:space="preserve">12.1.6. fraude a licitação ou praticar ato fraudulento na execução do contrato; </w:t>
          </w:r>
        </w:p>
        <w:p>
          <w:pPr>
            <w:pStyle w:val="Normal"/>
            <w:spacing w:lineRule="auto" w:line="240" w:before="120" w:after="0"/>
            <w:rPr>
              <w:color w:themeColor="text1" w:val="000000"/>
              <w:sz w:val="24"/>
              <w:szCs w:val="24"/>
            </w:rPr>
          </w:pPr>
          <w:r>
            <w:rPr>
              <w:sz w:val="24"/>
              <w:szCs w:val="24"/>
            </w:rPr>
            <w:t xml:space="preserve">12.1.7. pratique atos ilícitos com vistas a frustrar os objetivos da licitação; </w:t>
          </w:r>
        </w:p>
        <w:p>
          <w:pPr>
            <w:pStyle w:val="Normal"/>
            <w:spacing w:lineRule="auto" w:line="240" w:before="120" w:after="0"/>
            <w:rPr>
              <w:color w:themeColor="text1" w:val="000000"/>
              <w:sz w:val="24"/>
              <w:szCs w:val="24"/>
            </w:rPr>
          </w:pPr>
          <w:r>
            <w:rPr>
              <w:sz w:val="24"/>
              <w:szCs w:val="24"/>
            </w:rPr>
            <w:t xml:space="preserve">12.1.8. pratique ato lesivo previsto no art. 5º da Lei nº 12.846, de 1º de agosto de 2013. </w:t>
          </w:r>
        </w:p>
        <w:p>
          <w:pPr>
            <w:pStyle w:val="Normal"/>
            <w:spacing w:lineRule="auto" w:line="240" w:before="120" w:after="0"/>
            <w:rPr>
              <w:sz w:val="24"/>
              <w:szCs w:val="24"/>
            </w:rPr>
          </w:pPr>
          <w:r>
            <w:rPr>
              <w:sz w:val="24"/>
              <w:szCs w:val="24"/>
            </w:rPr>
            <w:t xml:space="preserve">12.2. Serão aplicadas ao responsável pelas infrações administrativas, de acordo com a dosimetria estabelecida, as seguintes sanções: </w:t>
          </w:r>
        </w:p>
        <w:p>
          <w:pPr>
            <w:pStyle w:val="Normal"/>
            <w:spacing w:lineRule="auto" w:line="240" w:before="120" w:after="0"/>
            <w:rPr>
              <w:sz w:val="24"/>
              <w:szCs w:val="24"/>
            </w:rPr>
          </w:pPr>
          <w:r>
            <w:rPr>
              <w:sz w:val="24"/>
              <w:szCs w:val="24"/>
            </w:rPr>
            <w:t xml:space="preserve">12.2.1. advertência, para a infração prevista no item 12.1.1., </w:t>
          </w:r>
          <w:r>
            <w:rPr>
              <w:rFonts w:eastAsia="Arial"/>
              <w:color w:themeColor="text1" w:val="000000"/>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12.2.2. multa, nas modalidades:</w:t>
          </w:r>
        </w:p>
        <w:p>
          <w:pPr>
            <w:pStyle w:val="Normal"/>
            <w:spacing w:lineRule="auto" w:line="240" w:before="120" w:after="0"/>
            <w:rPr>
              <w:sz w:val="24"/>
              <w:szCs w:val="24"/>
            </w:rPr>
          </w:pPr>
          <w:r>
            <w:rPr>
              <w:sz w:val="24"/>
              <w:szCs w:val="24"/>
            </w:rPr>
            <w:t xml:space="preserve">12.2.2.1. </w:t>
          </w:r>
          <w:r>
            <w:rPr>
              <w:rFonts w:eastAsia="Times New Roman"/>
              <w:color w:themeColor="text1" w:val="000000"/>
              <w:sz w:val="24"/>
              <w:szCs w:val="24"/>
            </w:rPr>
            <w:t xml:space="preserve">compensatória, de até 10% sobre o valor da parcela inadimplida, para quaisquer das infrações previstas nos </w:t>
          </w:r>
          <w:r>
            <w:rPr>
              <w:sz w:val="24"/>
              <w:szCs w:val="24"/>
            </w:rPr>
            <w:t xml:space="preserve">itens 12.1.1. a 12.1.9 </w:t>
          </w:r>
        </w:p>
        <w:p>
          <w:pPr>
            <w:pStyle w:val="Normal"/>
            <w:spacing w:lineRule="auto" w:line="240" w:before="120" w:after="0"/>
            <w:rPr>
              <w:sz w:val="24"/>
              <w:szCs w:val="24"/>
            </w:rPr>
          </w:pPr>
          <w:r>
            <w:rPr>
              <w:sz w:val="24"/>
              <w:szCs w:val="24"/>
            </w:rPr>
            <w:t>12.2.2.2.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themeColor="text1" w:val="000000"/>
              <w:sz w:val="24"/>
              <w:szCs w:val="24"/>
            </w:rPr>
          </w:pPr>
          <w:r>
            <w:rPr>
              <w:color w:themeColor="text1" w:val="000000"/>
              <w:sz w:val="24"/>
              <w:szCs w:val="24"/>
            </w:rPr>
            <w:t xml:space="preserve">12.2.3. Impedimento de licitar e contratar, para as infrações previstas nos itens 12.1.2. a 12.1.5., </w:t>
          </w:r>
          <w:r>
            <w:rPr>
              <w:rFonts w:eastAsia="Arial"/>
              <w:color w:themeColor="text1" w:val="000000"/>
              <w:sz w:val="24"/>
              <w:szCs w:val="24"/>
            </w:rPr>
            <w:t>quando não se justificar a imposição de penalidade mais grave;</w:t>
          </w:r>
        </w:p>
        <w:p>
          <w:pPr>
            <w:pStyle w:val="Normal"/>
            <w:spacing w:lineRule="auto" w:line="240" w:before="120" w:after="0"/>
            <w:rPr>
              <w:color w:themeColor="text1" w:val="000000"/>
              <w:sz w:val="24"/>
              <w:szCs w:val="24"/>
            </w:rPr>
          </w:pPr>
          <w:r>
            <w:rPr>
              <w:color w:themeColor="text1" w:val="000000"/>
              <w:sz w:val="24"/>
              <w:szCs w:val="24"/>
            </w:rPr>
            <w:t>12.2.4. declaração de inidoneidade para licitar e contratar, para as infrações previstas nos itens 12.1.6. a 12.1.9.</w:t>
          </w:r>
        </w:p>
        <w:p>
          <w:pPr>
            <w:pStyle w:val="Normal"/>
            <w:spacing w:lineRule="auto" w:line="240" w:before="120" w:after="0"/>
            <w:rPr>
              <w:color w:themeColor="text1" w:val="000000"/>
              <w:sz w:val="24"/>
              <w:szCs w:val="24"/>
            </w:rPr>
          </w:pPr>
          <w:r>
            <w:rPr>
              <w:color w:themeColor="text1" w:val="000000"/>
              <w:sz w:val="24"/>
              <w:szCs w:val="24"/>
            </w:rPr>
            <w:t xml:space="preserve">12. 3. </w:t>
          </w:r>
          <w:r>
            <w:rPr>
              <w:rFonts w:eastAsia="Arial"/>
              <w:color w:themeColor="text1" w:val="000000"/>
              <w:sz w:val="24"/>
              <w:szCs w:val="24"/>
            </w:rPr>
            <w:t>A aplicação de multa de mora não impedirá que a Administração a converta em compensatória e promova a extinção unilateral do contrato com a aplicação cumulada de outras sanções previstas neste Termo de dispensa.</w:t>
          </w:r>
        </w:p>
        <w:p>
          <w:pPr>
            <w:pStyle w:val="Normal"/>
            <w:spacing w:lineRule="auto" w:line="240" w:before="120" w:after="0"/>
            <w:rPr>
              <w:sz w:val="24"/>
              <w:szCs w:val="24"/>
            </w:rPr>
          </w:pPr>
          <w:r>
            <w:rPr>
              <w:sz w:val="24"/>
              <w:szCs w:val="24"/>
            </w:rPr>
            <w:t>12.3.1 as penalidades de multa decorrentes de fatos diversos serão consideradas independentes entre si.</w:t>
          </w:r>
        </w:p>
        <w:p>
          <w:pPr>
            <w:pStyle w:val="Normal"/>
            <w:spacing w:lineRule="auto" w:line="240" w:before="120" w:after="0"/>
            <w:rPr>
              <w:sz w:val="24"/>
              <w:szCs w:val="24"/>
            </w:rPr>
          </w:pPr>
          <w:r>
            <w:rPr>
              <w:sz w:val="24"/>
              <w:szCs w:val="24"/>
            </w:rPr>
            <w:t>12.4. A aplicação de qualquer penalidade não exclui a aplicação da multa.</w:t>
          </w:r>
        </w:p>
        <w:p>
          <w:pPr>
            <w:pStyle w:val="Normal"/>
            <w:spacing w:lineRule="auto" w:line="240" w:before="120" w:after="0"/>
            <w:rPr>
              <w:sz w:val="24"/>
              <w:szCs w:val="24"/>
            </w:rPr>
          </w:pPr>
          <w:r>
            <w:rPr>
              <w:sz w:val="24"/>
              <w:szCs w:val="24"/>
            </w:rPr>
            <w:t xml:space="preserve">12.5. A aplicação de quaisquer das penalidades previstas realizar-se-á em processo administrativo que assegurará o contraditório e a ampla defesa, observando-se o procedimento previsto na Lei nº </w:t>
          </w:r>
          <w:r>
            <w:rPr>
              <w:color w:val="auto"/>
              <w:sz w:val="24"/>
              <w:szCs w:val="24"/>
            </w:rPr>
            <w:t>14.133/2021,</w:t>
          </w:r>
          <w:r>
            <w:rPr>
              <w:sz w:val="24"/>
              <w:szCs w:val="24"/>
            </w:rPr>
            <w:t xml:space="preserve"> e subsidiariamente na Lei Estadual nº 15.612, de 6 de maio de 2021.</w:t>
          </w:r>
        </w:p>
        <w:p>
          <w:pPr>
            <w:pStyle w:val="Normal"/>
            <w:spacing w:lineRule="auto" w:line="240" w:before="120" w:after="0"/>
            <w:rPr>
              <w:sz w:val="24"/>
              <w:szCs w:val="24"/>
            </w:rPr>
          </w:pPr>
          <w:r>
            <w:rPr>
              <w:sz w:val="24"/>
              <w:szCs w:val="24"/>
            </w:rPr>
            <w:t>12.6. O valor da multa poderá ser descontado da garantia contratual.</w:t>
          </w:r>
        </w:p>
        <w:p>
          <w:pPr>
            <w:pStyle w:val="Normal"/>
            <w:spacing w:lineRule="auto" w:line="240" w:before="120" w:after="0"/>
            <w:rPr>
              <w:sz w:val="24"/>
              <w:szCs w:val="24"/>
            </w:rPr>
          </w:pPr>
          <w:r>
            <w:rPr>
              <w:sz w:val="24"/>
              <w:szCs w:val="24"/>
            </w:rPr>
            <w:t>12.6.1. Se a multa for de valor superior ao da garantia prestada, além da perda desta, responderá o Contratado pela sua diferença, a qual será descontada dos pagamentos eventuais devidos pelo Contratante.</w:t>
          </w:r>
        </w:p>
        <w:p>
          <w:pPr>
            <w:pStyle w:val="Normal"/>
            <w:spacing w:lineRule="auto" w:line="240" w:before="120" w:after="0"/>
            <w:rPr>
              <w:sz w:val="24"/>
              <w:szCs w:val="24"/>
            </w:rPr>
          </w:pPr>
          <w:r>
            <w:rPr>
              <w:sz w:val="24"/>
              <w:szCs w:val="24"/>
            </w:rPr>
            <w:t>12.6.2. Se os valores da garantia e das faturas forem insuficientes, fica o Contratado obrigado a recolher a importância devida no prazo de 15 (quinze) dias, contados da comunicação oficial.</w:t>
          </w:r>
        </w:p>
        <w:p>
          <w:pPr>
            <w:pStyle w:val="Normal"/>
            <w:spacing w:lineRule="auto" w:line="240" w:before="120" w:after="0"/>
            <w:rPr>
              <w:sz w:val="24"/>
              <w:szCs w:val="24"/>
            </w:rPr>
          </w:pPr>
          <w:r>
            <w:rPr>
              <w:sz w:val="24"/>
              <w:szCs w:val="24"/>
            </w:rPr>
            <w:t>12.6.3.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12.6.4.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12.6.5.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12.7. As sanções de suspensão e de declaração de inidoneidade levam à inclusão do participante no CFIL/RS.</w:t>
          </w:r>
        </w:p>
        <w:p>
          <w:pPr>
            <w:pStyle w:val="Normal"/>
            <w:spacing w:lineRule="auto" w:line="240" w:before="120" w:after="0"/>
            <w:rPr>
              <w:sz w:val="24"/>
              <w:szCs w:val="24"/>
            </w:rPr>
          </w:pPr>
          <w:r>
            <w:rPr>
              <w:sz w:val="24"/>
              <w:szCs w:val="24"/>
            </w:rPr>
            <w:t>12.8.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12.9. A aplicação de sanções não exime o Contratado da obrigação de reparar os danos, perdas ou prejuízos que venha a causar ao ente público.</w:t>
          </w:r>
        </w:p>
        <w:p>
          <w:pPr>
            <w:pStyle w:val="Normal"/>
            <w:spacing w:lineRule="auto" w:line="240" w:before="120" w:after="0"/>
            <w:rPr>
              <w:sz w:val="24"/>
              <w:szCs w:val="24"/>
            </w:rPr>
          </w:pPr>
          <w:r>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Normal"/>
            <w:spacing w:lineRule="auto" w:line="240" w:before="120" w:after="0"/>
            <w:rPr>
              <w:sz w:val="24"/>
              <w:szCs w:val="24"/>
            </w:rPr>
          </w:pPr>
          <w:r>
            <w:rPr>
              <w:sz w:val="24"/>
              <w:szCs w:val="24"/>
            </w:rPr>
            <w:t xml:space="preserve">12.10. O contrato, sem prejuízo das multas e demais cominações legais previstas no instrumento, poderá ser rescindido unilateralmente, por ato formal da Administração, nos casos enumerados nos incisos do caput do art. </w:t>
          </w:r>
          <w:r>
            <w:rPr>
              <w:color w:val="auto"/>
              <w:sz w:val="24"/>
              <w:szCs w:val="24"/>
            </w:rPr>
            <w:t>137 da Lei Federal nº 14.133/2021.</w:t>
          </w:r>
        </w:p>
        <w:p>
          <w:pPr>
            <w:pStyle w:val="Normal"/>
            <w:spacing w:lineRule="auto" w:line="240" w:before="120" w:after="0"/>
            <w:rPr>
              <w:sz w:val="24"/>
              <w:szCs w:val="24"/>
            </w:rPr>
          </w:pPr>
          <w:r>
            <w:rPr>
              <w:sz w:val="24"/>
              <w:szCs w:val="24"/>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pPr>
            <w:pStyle w:val="Normal"/>
            <w:spacing w:lineRule="auto" w:line="240" w:before="120" w:after="0"/>
            <w:rPr>
              <w:sz w:val="24"/>
              <w:szCs w:val="24"/>
            </w:rPr>
          </w:pPr>
          <w:r>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TERCEIRA – DA EXTINÇÃO ANTECIPADA</w:t>
          </w:r>
        </w:p>
        <w:p>
          <w:pPr>
            <w:pStyle w:val="Normal"/>
            <w:spacing w:lineRule="auto" w:line="240" w:before="120" w:after="0"/>
            <w:rPr>
              <w:sz w:val="24"/>
              <w:szCs w:val="24"/>
            </w:rPr>
          </w:pPr>
          <w:r>
            <w:rPr>
              <w:sz w:val="24"/>
              <w:szCs w:val="24"/>
            </w:rPr>
            <w:t xml:space="preserve">13.1. O presente Contrato poderá ser extinto antecipadamente por interesse da Administração nas hipóteses do art. 137 com as consequências previstas no art. </w:t>
          </w:r>
          <w:r>
            <w:rPr>
              <w:color w:val="auto"/>
              <w:sz w:val="24"/>
              <w:szCs w:val="24"/>
            </w:rPr>
            <w:t>139 da Lei Federal nº 14.133/2021</w:t>
          </w:r>
          <w:r>
            <w:rPr>
              <w:sz w:val="24"/>
              <w:szCs w:val="24"/>
            </w:rPr>
            <w:t>, devendo a decisão ser formalmente motivada, assegurando-se ao contratado o contraditório e a ampla defesa.</w:t>
          </w:r>
        </w:p>
        <w:p>
          <w:pPr>
            <w:pStyle w:val="Normal"/>
            <w:spacing w:lineRule="auto" w:line="240" w:before="120" w:after="0"/>
            <w:rPr>
              <w:sz w:val="24"/>
              <w:szCs w:val="24"/>
            </w:rPr>
          </w:pPr>
          <w:r>
            <w:rPr>
              <w:sz w:val="24"/>
              <w:szCs w:val="24"/>
            </w:rPr>
            <w:t>13.2.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pPr>
            <w:pStyle w:val="Normal"/>
            <w:spacing w:lineRule="auto" w:line="240" w:before="120" w:after="0"/>
            <w:rPr>
              <w:sz w:val="24"/>
              <w:szCs w:val="24"/>
            </w:rPr>
          </w:pPr>
          <w:r>
            <w:rPr>
              <w:sz w:val="24"/>
              <w:szCs w:val="24"/>
            </w:rPr>
            <w:t xml:space="preserve">13.3. A extinção antecipada do contrato deverá observar os seguintes requisitos: </w:t>
          </w:r>
        </w:p>
        <w:p>
          <w:pPr>
            <w:pStyle w:val="Normal"/>
            <w:spacing w:lineRule="auto" w:line="240" w:before="120" w:after="0"/>
            <w:rPr>
              <w:sz w:val="24"/>
              <w:szCs w:val="24"/>
            </w:rPr>
          </w:pPr>
          <w:r>
            <w:rPr>
              <w:sz w:val="24"/>
              <w:szCs w:val="24"/>
            </w:rPr>
            <w:t xml:space="preserve">13.3.1. levantamento dos eventos contratuais já cumpridos ou parcialmente cumpridos; </w:t>
          </w:r>
        </w:p>
        <w:p>
          <w:pPr>
            <w:pStyle w:val="Normal"/>
            <w:spacing w:lineRule="auto" w:line="240" w:before="120" w:after="0"/>
            <w:rPr>
              <w:sz w:val="24"/>
              <w:szCs w:val="24"/>
            </w:rPr>
          </w:pPr>
          <w:r>
            <w:rPr>
              <w:sz w:val="24"/>
              <w:szCs w:val="24"/>
            </w:rPr>
            <w:t xml:space="preserve">13.3.2. relação dos pagamentos já efetuados e ainda devidos; </w:t>
          </w:r>
        </w:p>
        <w:p>
          <w:pPr>
            <w:pStyle w:val="Normal"/>
            <w:spacing w:lineRule="auto" w:line="240" w:before="120" w:after="0"/>
            <w:rPr>
              <w:sz w:val="24"/>
              <w:szCs w:val="24"/>
            </w:rPr>
          </w:pPr>
          <w:r>
            <w:rPr>
              <w:sz w:val="24"/>
              <w:szCs w:val="24"/>
            </w:rPr>
            <w:t xml:space="preserve">13.3.3. </w:t>
          </w:r>
          <w:r>
            <w:rPr>
              <w:color w:themeColor="text1" w:val="000000"/>
              <w:sz w:val="24"/>
              <w:szCs w:val="24"/>
            </w:rPr>
            <w:t xml:space="preserve">apuração de </w:t>
          </w:r>
          <w:r>
            <w:rPr>
              <w:sz w:val="24"/>
              <w:szCs w:val="24"/>
            </w:rPr>
            <w:t xml:space="preserve">indenizações e multas; </w:t>
          </w:r>
        </w:p>
        <w:p>
          <w:pPr>
            <w:pStyle w:val="Normal"/>
            <w:spacing w:lineRule="auto" w:line="240" w:before="120" w:after="0"/>
            <w:rPr>
              <w:sz w:val="24"/>
              <w:szCs w:val="24"/>
            </w:rPr>
          </w:pPr>
          <w:r>
            <w:rPr>
              <w:sz w:val="24"/>
              <w:szCs w:val="24"/>
            </w:rPr>
            <w:t>13.3.4. notificação dos emitentes da garantia prevista na cláusula quinta deste contrato, quando cabível.</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QUARTA - DAS VEDAÇÕES</w:t>
          </w:r>
        </w:p>
        <w:p>
          <w:pPr>
            <w:pStyle w:val="Normal"/>
            <w:spacing w:lineRule="auto" w:line="240" w:before="120" w:after="0"/>
            <w:rPr>
              <w:sz w:val="24"/>
              <w:szCs w:val="24"/>
            </w:rPr>
          </w:pPr>
          <w:r>
            <w:rPr>
              <w:sz w:val="24"/>
              <w:szCs w:val="24"/>
            </w:rPr>
            <w:t xml:space="preserve">14.1. É vedado ao contratado: </w:t>
          </w:r>
        </w:p>
        <w:p>
          <w:pPr>
            <w:pStyle w:val="Normal"/>
            <w:spacing w:lineRule="auto" w:line="240" w:before="120" w:after="0"/>
            <w:rPr>
              <w:sz w:val="24"/>
              <w:szCs w:val="24"/>
            </w:rPr>
          </w:pPr>
          <w:r>
            <w:rPr>
              <w:sz w:val="24"/>
              <w:szCs w:val="24"/>
            </w:rPr>
            <w:t xml:space="preserve">14.1.1. caucionar ou utilizar este Contrato para qualquer operação financeira; </w:t>
          </w:r>
        </w:p>
        <w:p>
          <w:pPr>
            <w:pStyle w:val="Normal"/>
            <w:spacing w:lineRule="auto" w:line="240" w:before="120" w:after="0"/>
            <w:rPr>
              <w:sz w:val="24"/>
              <w:szCs w:val="24"/>
            </w:rPr>
          </w:pPr>
          <w:r>
            <w:rPr>
              <w:sz w:val="24"/>
              <w:szCs w:val="24"/>
            </w:rPr>
            <w:t xml:space="preserve">14.1.2. interromper o fornecimento sob alegação de inadimplemento por parte do contratante, salvo nos casos previstos em lei.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QUINTA – DAS ALTERAÇÕES </w:t>
          </w:r>
        </w:p>
        <w:p>
          <w:pPr>
            <w:pStyle w:val="Normal"/>
            <w:spacing w:lineRule="auto" w:line="240" w:before="120" w:after="0"/>
            <w:rPr>
              <w:strike/>
              <w:sz w:val="24"/>
              <w:szCs w:val="24"/>
            </w:rPr>
          </w:pPr>
          <w:r>
            <w:rPr>
              <w:sz w:val="24"/>
              <w:szCs w:val="24"/>
            </w:rPr>
            <w:t xml:space="preserve">15.1. Eventuais alterações contratuais reger-se-ão pela disciplina dos arts. </w:t>
          </w:r>
          <w:r>
            <w:rPr>
              <w:color w:val="auto"/>
              <w:sz w:val="24"/>
              <w:szCs w:val="24"/>
            </w:rPr>
            <w:t xml:space="preserve">124 a 136 da Lei Federal 14.133/2021. </w:t>
          </w:r>
        </w:p>
        <w:p>
          <w:pPr>
            <w:pStyle w:val="Normal"/>
            <w:spacing w:lineRule="auto" w:line="240" w:before="120" w:after="0"/>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lineRule="auto" w:line="240" w:before="120" w:after="0"/>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SEXTA – DOS CASOS OMISSOS </w:t>
          </w:r>
        </w:p>
        <w:p>
          <w:pPr>
            <w:pStyle w:val="Normal"/>
            <w:spacing w:lineRule="auto" w:line="240" w:before="120" w:after="0"/>
            <w:rPr>
              <w:sz w:val="24"/>
              <w:szCs w:val="24"/>
            </w:rPr>
          </w:pPr>
          <w:r>
            <w:rPr>
              <w:sz w:val="24"/>
              <w:szCs w:val="24"/>
            </w:rPr>
            <w:t xml:space="preserve">16.1. Os casos omissos serão decididos pelo contratante, segundo as disposições contidas na Lei Federal nº </w:t>
          </w:r>
          <w:r>
            <w:rPr>
              <w:color w:val="auto"/>
              <w:sz w:val="24"/>
              <w:szCs w:val="24"/>
            </w:rPr>
            <w:t>14.133/2021</w:t>
          </w:r>
          <w:r>
            <w:rPr>
              <w:sz w:val="24"/>
              <w:szCs w:val="24"/>
            </w:rPr>
            <w:t xml:space="preserve"> e demais normas aplicáveis.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 xml:space="preserve">CLÁUSULA DÉCIMA SÉTIMA – DAS DISPOSIÇÕES ESPECIAIS </w:t>
          </w:r>
        </w:p>
        <w:p>
          <w:pPr>
            <w:pStyle w:val="Normal"/>
            <w:spacing w:lineRule="auto" w:line="240" w:before="120" w:after="0"/>
            <w:rPr>
              <w:sz w:val="24"/>
              <w:szCs w:val="24"/>
            </w:rPr>
          </w:pPr>
          <w:r>
            <w:rPr>
              <w:sz w:val="24"/>
              <w:szCs w:val="24"/>
            </w:rPr>
            <w:t xml:space="preserve">17.1. Se qualquer das partes relevar eventual falta relacionada com a execução deste contrato, tal fato não significa liberação ou desoneração a qualquer delas. </w:t>
          </w:r>
        </w:p>
        <w:p>
          <w:pPr>
            <w:pStyle w:val="Normal"/>
            <w:spacing w:lineRule="auto" w:line="240" w:before="120" w:after="0"/>
            <w:rPr>
              <w:sz w:val="24"/>
              <w:szCs w:val="24"/>
            </w:rPr>
          </w:pPr>
          <w:r>
            <w:rPr>
              <w:sz w:val="24"/>
              <w:szCs w:val="24"/>
            </w:rPr>
            <w:t xml:space="preserve">17.2. As partes considerarão cumprido o contrato no momento em que todas as obrigações aqui estipuladas estiverem efetivamente satisfeitas, nos termos de direito e aceitas pelo contratante. </w:t>
          </w:r>
        </w:p>
        <w:p>
          <w:pPr>
            <w:pStyle w:val="Normal"/>
            <w:spacing w:lineRule="auto" w:line="240" w:before="120" w:after="0"/>
            <w:rPr>
              <w:sz w:val="24"/>
              <w:szCs w:val="24"/>
            </w:rPr>
          </w:pPr>
          <w:r>
            <w:rPr>
              <w:sz w:val="24"/>
              <w:szCs w:val="24"/>
            </w:rPr>
            <w:t>17.3. Haverá consulta prévia ao CADIN/RS, pelo órgão ou entidade competente, nos termos da Lei nº 10.697/1996, regulame</w:t>
          </w:r>
          <w:r>
            <w:rPr>
              <w:color w:themeColor="text1" w:val="000000"/>
              <w:sz w:val="24"/>
              <w:szCs w:val="24"/>
            </w:rPr>
            <w:t>ntada pelo Decreto nº 36.888/1996.</w:t>
          </w:r>
        </w:p>
        <w:p>
          <w:pPr>
            <w:pStyle w:val="Normal"/>
            <w:spacing w:lineRule="auto" w:line="240" w:before="120" w:after="0"/>
            <w:rPr>
              <w:sz w:val="24"/>
              <w:szCs w:val="24"/>
            </w:rPr>
          </w:pPr>
          <w:r>
            <w:rPr>
              <w:sz w:val="24"/>
              <w:szCs w:val="24"/>
            </w:rPr>
            <w:t>17.4.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17.4.1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sz w:val="24"/>
              <w:szCs w:val="24"/>
            </w:rPr>
            <w:t>17.5. As partes devem cumprir fielmente as cláusulas avençadas neste contrato, respondendo pelas consequências de sua inexecução parcial ou total.</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CLÁUSULA DÉCIMA OITAVA - DAS DISPOSIÇÕES FINAIS</w:t>
          </w:r>
        </w:p>
        <w:p>
          <w:pPr>
            <w:pStyle w:val="Normal"/>
            <w:spacing w:lineRule="auto" w:line="240" w:before="120" w:after="0"/>
            <w:rPr>
              <w:sz w:val="24"/>
              <w:szCs w:val="24"/>
            </w:rPr>
          </w:pPr>
          <w:r>
            <w:rPr>
              <w:sz w:val="24"/>
              <w:szCs w:val="24"/>
            </w:rPr>
            <w:t xml:space="preserve">18.1. Fica eleito o Foro de Porto Alegre, como o competente para dirimir quaisquer questões advindas deste contrato, com renúncia expressa a qualquer outro. </w:t>
          </w:r>
        </w:p>
        <w:p>
          <w:pPr>
            <w:pStyle w:val="Normal"/>
            <w:spacing w:lineRule="auto" w:line="240" w:before="120" w:after="0"/>
            <w:rPr>
              <w:sz w:val="24"/>
              <w:szCs w:val="24"/>
            </w:rPr>
          </w:pPr>
          <w:r>
            <w:rPr>
              <w:sz w:val="24"/>
              <w:szCs w:val="24"/>
            </w:rPr>
            <w:t xml:space="preserve">18.2. E, assim, por estarem as partes ajustadas e acordadas, lavram e assinam este contrato, na presença de 02 (duas) testemunhas, para que produza seus jurídicos efeitos. </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CONTRATANTE </w:t>
            <w:tab/>
            <w:tab/>
            <w:tab/>
            <w:tab/>
            <w:tab/>
            <w:t>CONTRATADO</w:t>
          </w:r>
        </w:p>
        <w:p>
          <w:pPr>
            <w:pStyle w:val="Normal"/>
            <w:spacing w:lineRule="auto" w:line="240" w:before="120" w:after="0"/>
            <w:rPr>
              <w:sz w:val="24"/>
              <w:szCs w:val="24"/>
            </w:rPr>
          </w:pPr>
          <w:r>
            <w:rPr>
              <w:sz w:val="24"/>
              <w:szCs w:val="24"/>
            </w:rPr>
            <w:t>[Nome da autoridade competente]</w:t>
            <w:tab/>
            <w:tab/>
            <w:tab/>
            <w:t>[Representante]</w:t>
          </w:r>
        </w:p>
        <w:p>
          <w:pPr>
            <w:pStyle w:val="Normal"/>
            <w:spacing w:lineRule="auto" w:line="240" w:before="120" w:after="0"/>
            <w:jc w:val="left"/>
            <w:rPr>
              <w:sz w:val="24"/>
              <w:szCs w:val="24"/>
            </w:rPr>
          </w:pPr>
          <w:r>
            <w:rPr>
              <w:sz w:val="24"/>
              <w:szCs w:val="24"/>
            </w:rPr>
            <w:t>[Nome do cargo]</w:t>
            <w:tab/>
            <w:tab/>
            <w:tab/>
            <w:tab/>
            <w:tab/>
            <w:t>[Procurador/cargo]</w:t>
          </w:r>
          <w:r>
            <w:br w:type="page"/>
          </w:r>
        </w:p>
        <w:p>
          <w:pPr>
            <w:pStyle w:val="Heading2"/>
            <w:spacing w:lineRule="auto" w:line="240" w:before="0" w:after="0"/>
            <w:ind w:firstLine="851" w:left="851" w:right="849"/>
            <w:rPr>
              <w:sz w:val="24"/>
              <w:szCs w:val="24"/>
            </w:rPr>
          </w:pPr>
          <w:r>
            <w:rPr>
              <w:sz w:val="24"/>
              <w:szCs w:val="24"/>
            </w:rPr>
            <w:t>ANEXO 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paragraph"/>
            <w:spacing w:beforeAutospacing="0" w:before="120" w:afterAutospacing="0" w:after="0"/>
            <w:jc w:val="both"/>
            <w:textAlignment w:val="baseline"/>
            <w:rPr>
              <w:rFonts w:eastAsia="Calibri"/>
              <w:color w:val="000000"/>
            </w:rPr>
          </w:pPr>
          <w:r>
            <w:rPr/>
            <w:t>2</w:t>
          </w:r>
          <w:r>
            <w:rPr>
              <w:rFonts w:eastAsia="Calibri"/>
              <w:color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jc w:val="both"/>
            <w:textAlignment w:val="baseline"/>
            <w:rPr>
              <w:rFonts w:eastAsia="Calibri"/>
              <w:color w:val="000000"/>
            </w:rPr>
          </w:pPr>
          <w:r>
            <w:rPr>
              <w:rFonts w:eastAsia="Calibri"/>
              <w:color w:val="000000"/>
            </w:rPr>
            <w:t>a) prejuízos advindos do não cumprimento do contrato; </w:t>
          </w:r>
        </w:p>
        <w:p>
          <w:pPr>
            <w:pStyle w:val="paragraph"/>
            <w:spacing w:beforeAutospacing="0" w:before="120" w:afterAutospacing="0" w:after="0"/>
            <w:jc w:val="both"/>
            <w:textAlignment w:val="baseline"/>
            <w:rPr>
              <w:rFonts w:eastAsia="Calibri"/>
              <w:color w:val="000000"/>
            </w:rPr>
          </w:pPr>
          <w:r>
            <w:rPr>
              <w:rFonts w:eastAsia="Calibri"/>
              <w:color w:val="000000"/>
            </w:rPr>
            <w:t>b) multas moratórias e punitivas aplicadas pela Administração ao contratado;  </w:t>
          </w:r>
        </w:p>
        <w:p>
          <w:pPr>
            <w:pStyle w:val="paragraph"/>
            <w:spacing w:beforeAutospacing="0" w:before="120" w:afterAutospacing="0" w:after="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w:pPr>
            <w:pStyle w:val="paragraph"/>
            <w:spacing w:beforeAutospacing="0" w:before="120" w:afterAutospacing="0" w:after="0"/>
            <w:jc w:val="both"/>
            <w:textAlignment w:val="baseline"/>
            <w:rPr>
              <w:rFonts w:eastAsia="Calibri"/>
              <w:color w:val="000000"/>
            </w:rPr>
          </w:pPr>
          <w:r>
            <w:rPr>
              <w:rFonts w:eastAsia="Calibri"/>
              <w:color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rPr>
              <w:sz w:val="24"/>
              <w:szCs w:val="24"/>
            </w:rPr>
          </w:pPr>
          <w:r>
            <w:rPr>
              <w:sz w:val="24"/>
              <w:szCs w:val="24"/>
            </w:rPr>
          </w:r>
        </w:p>
        <w:p>
          <w:pPr>
            <w:pStyle w:val="Heading2"/>
            <w:spacing w:lineRule="auto" w:line="240" w:before="120" w:after="0"/>
            <w:rPr>
              <w:sz w:val="24"/>
              <w:szCs w:val="24"/>
            </w:rPr>
          </w:pPr>
          <w:r>
            <w:rPr>
              <w:sz w:val="24"/>
              <w:szCs w:val="24"/>
            </w:rPr>
            <w:t>ANEXO III – FOLHA DE DADOS</w:t>
          </w:r>
        </w:p>
        <w:p>
          <w:pPr>
            <w:pStyle w:val="Normal"/>
            <w:numPr>
              <w:ilvl w:val="0"/>
              <w:numId w:val="0"/>
            </w:numPr>
            <w:spacing w:lineRule="auto" w:line="240" w:before="120" w:after="0"/>
            <w:ind w:hanging="0" w:left="0" w:right="-1"/>
            <w:jc w:val="center"/>
            <w:outlineLvl w:val="1"/>
            <w:rPr/>
          </w:pPr>
          <w:r>
            <w:rPr>
              <w:b/>
              <w:sz w:val="24"/>
              <w:szCs w:val="24"/>
            </w:rPr>
            <w:t>CGDL - Condições Gerais de Dispensa de Licitação</w:t>
          </w:r>
        </w:p>
      </w:sdtContent>
    </w:sdt>
    <w:p>
      <w:pPr>
        <w:pStyle w:val="Normal"/>
        <w:numPr>
          <w:ilvl w:val="0"/>
          <w:numId w:val="0"/>
        </w:numPr>
        <w:spacing w:lineRule="auto" w:line="240" w:before="120" w:after="0"/>
        <w:ind w:hanging="0" w:left="0" w:right="-1"/>
        <w:jc w:val="center"/>
        <w:outlineLvl w:val="1"/>
        <w:rPr>
          <w:b/>
          <w:sz w:val="24"/>
          <w:szCs w:val="24"/>
          <w:lang w:eastAsia="en-US"/>
        </w:rPr>
      </w:pPr>
      <w:r>
        <w:rPr>
          <w:b/>
          <w:sz w:val="24"/>
          <w:szCs w:val="24"/>
          <w:lang w:eastAsia="en-US"/>
        </w:rPr>
      </w:r>
    </w:p>
    <w:tbl>
      <w:tblPr>
        <w:tblW w:w="5000" w:type="pct"/>
        <w:jc w:val="left"/>
        <w:tblInd w:w="-171" w:type="dxa"/>
        <w:tblLayout w:type="fixed"/>
        <w:tblCellMar>
          <w:top w:w="0" w:type="dxa"/>
          <w:left w:w="108" w:type="dxa"/>
          <w:bottom w:w="0" w:type="dxa"/>
          <w:right w:w="108" w:type="dxa"/>
        </w:tblCellMar>
        <w:tblLook w:firstRow="1" w:noVBand="1" w:lastRow="0" w:firstColumn="1" w:lastColumn="0" w:noHBand="0" w:val="04a0"/>
      </w:tblPr>
      <w:tblGrid>
        <w:gridCol w:w="1656"/>
        <w:gridCol w:w="7980"/>
      </w:tblGrid>
      <w:tr>
        <w:trPr>
          <w:trHeight w:val="462" w:hRule="atLeast"/>
          <w:cantSplit w:val="true"/>
        </w:trPr>
        <w:tc>
          <w:tcPr>
            <w:tcW w:w="9636" w:type="dxa"/>
            <w:gridSpan w:val="2"/>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40" w:before="120" w:after="0"/>
              <w:ind w:hanging="0" w:left="0" w:right="-1"/>
              <w:jc w:val="center"/>
              <w:outlineLvl w:val="1"/>
              <w:rPr>
                <w:b/>
                <w:sz w:val="24"/>
                <w:szCs w:val="24"/>
              </w:rPr>
            </w:pPr>
            <w:r>
              <w:rPr>
                <w:b/>
                <w:sz w:val="24"/>
                <w:szCs w:val="24"/>
              </w:rPr>
              <w:t>Complemento ou Modificação</w:t>
            </w:r>
          </w:p>
        </w:tc>
      </w:tr>
      <w:tr>
        <w:trPr>
          <w:trHeight w:val="914" w:hRule="atLeast"/>
        </w:trPr>
        <w:tc>
          <w:tcPr>
            <w:tcW w:w="1656" w:type="dxa"/>
            <w:tcBorders>
              <w:top w:val="single" w:sz="4"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Preâmbulo</w:t>
            </w:r>
          </w:p>
        </w:tc>
        <w:tc>
          <w:tcPr>
            <w:tcW w:w="7980" w:type="dxa"/>
            <w:tcBorders>
              <w:top w:val="single" w:sz="4" w:space="0" w:color="000000"/>
              <w:left w:val="single" w:sz="6" w:space="0" w:color="000000"/>
              <w:bottom w:val="single" w:sz="6" w:space="0" w:color="000000"/>
              <w:right w:val="single" w:sz="6" w:space="0" w:color="000000"/>
            </w:tcBorders>
          </w:tcPr>
          <w:p>
            <w:pPr>
              <w:pStyle w:val="Normal"/>
              <w:spacing w:lineRule="auto" w:line="240" w:before="120" w:after="0"/>
              <w:ind w:right="-1"/>
              <w:rPr>
                <w:color w:val="auto"/>
                <w:sz w:val="24"/>
                <w:szCs w:val="24"/>
                <w:lang w:eastAsia="en-US"/>
              </w:rPr>
            </w:pPr>
            <w:r>
              <w:rPr>
                <w:color w:val="auto"/>
                <w:sz w:val="24"/>
                <w:szCs w:val="24"/>
              </w:rPr>
              <w:t>O Estado do Rio Grande do Sul, por intermédio da Secretaria Estadual da Agricultura, Pecuária, Produção Sustentável e Irrigação.</w:t>
            </w:r>
          </w:p>
        </w:tc>
      </w:tr>
      <w:tr>
        <w:trPr>
          <w:trHeight w:val="266"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1.1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lang w:eastAsia="en-US"/>
              </w:rPr>
              <w:t>Aquisição de 82 (oitenta e duas) unidades de POSTE ENERGIA ELÉTRICA - EXTERNA CONCRETO - DUPLO T 3KN - 900CM S/INSTALAÇÃO (GCE nº 0475.0457.010021) e 15 (quinze) unidades de POSTE ENERGIA ELÉTRICA - EXTERNA CONCRETO DUPLO T 4 KN 1.200,00CM S/INSTALAÇÃO (GCE nº 0475.0457.010022).</w:t>
            </w:r>
          </w:p>
        </w:tc>
      </w:tr>
      <w:tr>
        <w:trPr>
          <w:trHeight w:val="572"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2.1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compras.rs.gov.br</w:t>
            </w:r>
          </w:p>
        </w:tc>
      </w:tr>
      <w:tr>
        <w:trPr>
          <w:trHeight w:val="389"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3.1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highlight w:val="none"/>
                <w:shd w:fill="auto" w:val="clear"/>
              </w:rPr>
            </w:pPr>
            <w:r>
              <w:rPr>
                <w:sz w:val="24"/>
                <w:szCs w:val="24"/>
                <w:shd w:fill="auto" w:val="clear"/>
              </w:rPr>
              <w:t xml:space="preserve">Data: </w:t>
            </w:r>
            <w:r>
              <w:rPr>
                <w:sz w:val="24"/>
                <w:szCs w:val="24"/>
                <w:shd w:fill="auto" w:val="clear"/>
              </w:rPr>
              <w:t>08</w:t>
            </w:r>
            <w:r>
              <w:rPr>
                <w:sz w:val="24"/>
                <w:szCs w:val="24"/>
                <w:shd w:fill="auto" w:val="clear"/>
              </w:rPr>
              <w:t>/06/2026</w:t>
            </w:r>
          </w:p>
          <w:p>
            <w:pPr>
              <w:pStyle w:val="Normal"/>
              <w:spacing w:lineRule="auto" w:line="240" w:before="120" w:after="0"/>
              <w:rPr>
                <w:highlight w:val="none"/>
                <w:shd w:fill="auto" w:val="clear"/>
              </w:rPr>
            </w:pPr>
            <w:r>
              <w:rPr>
                <w:sz w:val="24"/>
                <w:szCs w:val="24"/>
                <w:shd w:fill="auto" w:val="clear"/>
              </w:rPr>
              <w:t xml:space="preserve">Horário: </w:t>
            </w:r>
            <w:r>
              <w:rPr>
                <w:sz w:val="24"/>
                <w:szCs w:val="24"/>
                <w:shd w:fill="auto" w:val="clear"/>
              </w:rPr>
              <w:t>09</w:t>
            </w:r>
            <w:r>
              <w:rPr>
                <w:sz w:val="24"/>
                <w:szCs w:val="24"/>
                <w:shd w:fill="auto" w:val="clear"/>
              </w:rPr>
              <w:t>:00</w:t>
            </w:r>
          </w:p>
        </w:tc>
      </w:tr>
      <w:tr>
        <w:trPr>
          <w:trHeight w:val="386"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rPr>
            </w:pPr>
            <w:r>
              <w:rPr>
                <w:color w:themeColor="text1" w:val="000000"/>
                <w:sz w:val="24"/>
                <w:szCs w:val="24"/>
              </w:rPr>
              <w:t>CGDL 4.1.1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u w:val="single"/>
              </w:rPr>
            </w:pPr>
            <w:r>
              <w:rPr>
                <w:color w:themeColor="text1" w:val="000000"/>
                <w:sz w:val="24"/>
                <w:szCs w:val="24"/>
                <w:u w:val="single"/>
              </w:rPr>
              <w:t>( X ) Participação preferencial de Microempresa e Empresa de Pequeno Porte.</w:t>
            </w:r>
          </w:p>
          <w:p>
            <w:pPr>
              <w:pStyle w:val="Normal"/>
              <w:spacing w:lineRule="auto" w:line="240" w:before="120" w:after="0"/>
              <w:rPr>
                <w:color w:themeColor="text1" w:val="000000"/>
                <w:sz w:val="24"/>
                <w:szCs w:val="24"/>
                <w:u w:val="single"/>
              </w:rPr>
            </w:pPr>
            <w:r>
              <w:rPr>
                <w:color w:themeColor="text1" w:val="000000"/>
                <w:sz w:val="24"/>
                <w:szCs w:val="24"/>
                <w:u w:val="single"/>
              </w:rPr>
              <w:t>(    )  Participação exclusiva de Microempresa e Empresa de Pequeno Porte.</w:t>
            </w:r>
          </w:p>
          <w:p>
            <w:pPr>
              <w:pStyle w:val="Normal"/>
              <w:spacing w:lineRule="auto" w:line="240" w:before="120" w:after="0"/>
              <w:rPr>
                <w:color w:themeColor="text1" w:val="000000"/>
                <w:sz w:val="24"/>
                <w:szCs w:val="24"/>
                <w:u w:val="single"/>
              </w:rPr>
            </w:pPr>
            <w:r>
              <w:rPr>
                <w:color w:themeColor="text1" w:val="000000"/>
                <w:sz w:val="24"/>
                <w:szCs w:val="24"/>
                <w:u w:val="single"/>
              </w:rPr>
              <w:t>(  ) Participação preferencial ou exclusiva de Microempresa e Empresa de Pequeno Porte, conforme definido em cada lote do Termo de referência.</w:t>
            </w:r>
          </w:p>
          <w:p>
            <w:pPr>
              <w:pStyle w:val="Normal"/>
              <w:spacing w:lineRule="auto" w:line="240" w:before="120" w:after="0"/>
              <w:rPr>
                <w:color w:themeColor="text1" w:val="000000"/>
                <w:sz w:val="24"/>
                <w:szCs w:val="24"/>
                <w:u w:val="single"/>
              </w:rPr>
            </w:pPr>
            <w:r>
              <w:rPr>
                <w:color w:themeColor="text1" w:val="000000"/>
                <w:sz w:val="24"/>
                <w:szCs w:val="24"/>
                <w:u w:val="single"/>
              </w:rPr>
              <w:t>(     ) Sem tratamento preferencial conforme item 5.10 do Termo de Dispensa.</w:t>
            </w:r>
          </w:p>
        </w:tc>
      </w:tr>
      <w:tr>
        <w:trPr>
          <w:trHeight w:val="389"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4.1.3</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licitação, quanto na de execução do contrato;</w:t>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4.1.4</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ind w:right="-1"/>
              <w:rPr>
                <w:color w:val="auto"/>
                <w:sz w:val="24"/>
                <w:szCs w:val="24"/>
              </w:rPr>
            </w:pPr>
            <w:r>
              <w:rPr>
                <w:color w:val="auto"/>
                <w:sz w:val="24"/>
                <w:szCs w:val="24"/>
              </w:rPr>
              <w:t>Será permitida a participação de Cooperativa de Trabalho.</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Para fins de habilitação, as Cooperativas de Trabalho deverão apresentar os seguintes documentos, em conjunto com aqueles previstos no item 11 deste Termo de Dispensa de Licitação, no que couber:</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a) ata de fundação;</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pPr>
              <w:pStyle w:val="Normal"/>
              <w:tabs>
                <w:tab w:val="clear" w:pos="720"/>
                <w:tab w:val="left" w:pos="8187" w:leader="none"/>
              </w:tabs>
              <w:spacing w:lineRule="auto" w:line="240" w:before="120" w:after="0"/>
              <w:ind w:right="-1"/>
              <w:rPr>
                <w:color w:val="auto"/>
                <w:sz w:val="24"/>
                <w:szCs w:val="24"/>
              </w:rPr>
            </w:pPr>
            <w:r>
              <w:rPr>
                <w:color w:val="auto"/>
                <w:sz w:val="24"/>
                <w:szCs w:val="24"/>
              </w:rPr>
              <w:t>c) registro previsto no art. 107 da Lei 5.764/1971.</w:t>
            </w:r>
          </w:p>
        </w:tc>
      </w:tr>
      <w:tr>
        <w:trPr>
          <w:trHeight w:val="386"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themeColor="text1" w:val="000000"/>
                <w:sz w:val="24"/>
                <w:szCs w:val="24"/>
              </w:rPr>
            </w:pPr>
            <w:r>
              <w:rPr>
                <w:color w:themeColor="text1" w:val="000000"/>
                <w:sz w:val="24"/>
                <w:szCs w:val="24"/>
              </w:rPr>
              <w:t>CGDL 7.2</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i/>
                <w:i/>
                <w:iCs/>
                <w:color w:themeColor="text1" w:val="000000"/>
                <w:sz w:val="24"/>
                <w:szCs w:val="24"/>
              </w:rPr>
            </w:pPr>
            <w:r>
              <w:rPr>
                <w:color w:themeColor="text1" w:val="000000"/>
                <w:sz w:val="24"/>
                <w:szCs w:val="24"/>
              </w:rPr>
              <w:t>A proposta terá prazo de validade de 60 (sessenta) dias.</w:t>
            </w:r>
          </w:p>
        </w:tc>
      </w:tr>
      <w:tr>
        <w:trPr>
          <w:trHeight w:val="384"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10.3</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sz w:val="24"/>
                <w:szCs w:val="24"/>
              </w:rPr>
              <w:t>Critério de Julgamento: MENOR PREÇO DO LOTE, respeitando os valores unitários de cada item que compõem o lote.</w:t>
            </w:r>
          </w:p>
        </w:tc>
      </w:tr>
      <w:tr>
        <w:trPr>
          <w:trHeight w:val="170"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10.5.1</w:t>
            </w:r>
          </w:p>
        </w:tc>
        <w:tc>
          <w:tcPr>
            <w:tcW w:w="7980"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sz w:val="24"/>
                <w:szCs w:val="24"/>
              </w:rPr>
            </w:pPr>
            <w:r>
              <w:rPr>
                <w:bCs/>
                <w:sz w:val="24"/>
                <w:szCs w:val="24"/>
              </w:rPr>
              <w:t>Decremento mínimo: 0,01%</w:t>
            </w:r>
          </w:p>
        </w:tc>
      </w:tr>
      <w:tr>
        <w:trPr>
          <w:trHeight w:val="384"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rFonts w:eastAsia="Times New Roman"/>
                <w:sz w:val="24"/>
                <w:szCs w:val="24"/>
              </w:rPr>
              <w:t>CGDL 12.6.1</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sz w:val="24"/>
                <w:szCs w:val="24"/>
              </w:rPr>
              <w:t>Valor máximo conforme consta no Anexo IV - Termo de Referência, respeitando os valores unitários de cada item.</w:t>
            </w:r>
          </w:p>
        </w:tc>
      </w:tr>
      <w:tr>
        <w:trPr>
          <w:trHeight w:val="384"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rFonts w:eastAsia="Times New Roman"/>
                <w:sz w:val="24"/>
                <w:szCs w:val="24"/>
              </w:rPr>
              <w:t>CGDL 12.9</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sz w:val="24"/>
                <w:szCs w:val="24"/>
              </w:rPr>
            </w:pPr>
            <w:r>
              <w:rPr>
                <w:sz w:val="24"/>
                <w:szCs w:val="24"/>
              </w:rPr>
              <w:t>Não aplicável.</w:t>
            </w:r>
          </w:p>
        </w:tc>
      </w:tr>
      <w:tr>
        <w:trPr>
          <w:trHeight w:val="170"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13.5</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13"/>
              <w:rPr>
                <w:rFonts w:eastAsia="" w:eastAsiaTheme="minorEastAsia"/>
                <w:b/>
                <w:bCs/>
                <w:color w:val="auto"/>
                <w:lang w:eastAsia="en-US"/>
              </w:rPr>
            </w:pPr>
            <w:r>
              <w:rPr>
                <w:rFonts w:eastAsia="Arial"/>
                <w:color w:themeColor="text1" w:val="000000"/>
                <w:sz w:val="24"/>
                <w:szCs w:val="24"/>
              </w:rPr>
              <w:t>Fica dispensada a apresentação de demais documentos de habilitação, exceto os obrigatórios previstos na CGL 13.3 e CGL 13.4 e no Termo de Referência, se houver.</w:t>
            </w:r>
          </w:p>
        </w:tc>
      </w:tr>
      <w:tr>
        <w:trPr>
          <w:trHeight w:val="134"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lang w:eastAsia="en-US"/>
              </w:rPr>
            </w:pPr>
            <w:r>
              <w:rPr>
                <w:sz w:val="24"/>
                <w:szCs w:val="24"/>
              </w:rPr>
              <w:t>CGDL 16.1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lang w:eastAsia="en-US"/>
              </w:rPr>
            </w:pPr>
            <w:r>
              <w:rPr>
                <w:color w:val="auto"/>
                <w:sz w:val="24"/>
                <w:szCs w:val="24"/>
              </w:rPr>
              <w:t>O adjudicatário terá o prazo de 05 (cinco) dias, após formalmente convocado, para assinar o contrato. Em não ocorrendo o contrato, será substituído pela Nota de empenho ou outra forma equivalente prevista em Lei.</w:t>
            </w:r>
          </w:p>
        </w:tc>
      </w:tr>
      <w:tr>
        <w:trPr>
          <w:trHeight w:val="1169"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16.4</w:t>
            </w:r>
          </w:p>
          <w:p>
            <w:pPr>
              <w:pStyle w:val="Normal"/>
              <w:tabs>
                <w:tab w:val="clear" w:pos="720"/>
                <w:tab w:val="left" w:pos="1418" w:leader="none"/>
              </w:tabs>
              <w:spacing w:lineRule="auto" w:line="240" w:before="120" w:after="0"/>
              <w:ind w:right="-1"/>
              <w:rPr>
                <w:sz w:val="24"/>
                <w:szCs w:val="24"/>
                <w:lang w:eastAsia="en-US"/>
              </w:rPr>
            </w:pPr>
            <w:r>
              <w:rPr>
                <w:sz w:val="24"/>
                <w:szCs w:val="24"/>
                <w:lang w:eastAsia="en-US"/>
              </w:rPr>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bCs/>
                <w:color w:val="auto"/>
                <w:sz w:val="24"/>
                <w:szCs w:val="24"/>
              </w:rPr>
            </w:pPr>
            <w:r>
              <w:rPr>
                <w:color w:val="auto"/>
                <w:sz w:val="24"/>
                <w:szCs w:val="24"/>
              </w:rPr>
              <w:t>Para aquisição de bens/materiais</w:t>
            </w:r>
            <w:r>
              <w:rPr>
                <w:bCs/>
                <w:color w:val="auto"/>
                <w:sz w:val="24"/>
                <w:szCs w:val="24"/>
              </w:rPr>
              <w:t>:</w:t>
            </w:r>
          </w:p>
          <w:p>
            <w:pPr>
              <w:pStyle w:val="Normal"/>
              <w:tabs>
                <w:tab w:val="clear" w:pos="720"/>
                <w:tab w:val="left" w:pos="8187" w:leader="none"/>
              </w:tabs>
              <w:spacing w:lineRule="auto" w:line="240" w:before="120" w:after="0"/>
              <w:rPr>
                <w:strike/>
                <w:color w:val="FF0000"/>
                <w:sz w:val="24"/>
                <w:szCs w:val="24"/>
              </w:rPr>
            </w:pPr>
            <w:r>
              <w:rPr>
                <w:color w:val="auto"/>
                <w:sz w:val="24"/>
                <w:szCs w:val="24"/>
              </w:rPr>
              <w:t>O prazo de vigência do contrato será o equivalente ao prazo de entrega estabelecido no ANEXO IV – TERMO DE REFERÊNCIA.</w:t>
            </w:r>
          </w:p>
        </w:tc>
      </w:tr>
      <w:tr>
        <w:trPr>
          <w:trHeight w:val="363"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lang w:eastAsia="en-US"/>
              </w:rPr>
            </w:pPr>
            <w:r>
              <w:rPr>
                <w:sz w:val="24"/>
                <w:szCs w:val="24"/>
              </w:rPr>
              <w:t>CGDL 17.1</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trPr>
          <w:trHeight w:val="363"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19.1</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63" w:after="0"/>
              <w:rPr/>
            </w:pPr>
            <w:r>
              <w:rPr>
                <w:sz w:val="24"/>
                <w:szCs w:val="24"/>
              </w:rPr>
              <w:t>Unidade Orçamentária: 15.01 – SEC AGRICULTURA GABINETE E ORGAOS CENTRAIS</w:t>
            </w:r>
          </w:p>
          <w:p>
            <w:pPr>
              <w:pStyle w:val="Normal"/>
              <w:tabs>
                <w:tab w:val="clear" w:pos="720"/>
                <w:tab w:val="left" w:pos="8187" w:leader="none"/>
              </w:tabs>
              <w:spacing w:lineRule="auto" w:line="240" w:before="63" w:after="0"/>
              <w:rPr/>
            </w:pPr>
            <w:r>
              <w:rPr>
                <w:sz w:val="24"/>
                <w:szCs w:val="24"/>
              </w:rPr>
              <w:t>Projeto/Atividade: 3925.00001 – DESCARBONIZACAO DA AGROPE</w:t>
            </w:r>
          </w:p>
          <w:p>
            <w:pPr>
              <w:pStyle w:val="Normal"/>
              <w:tabs>
                <w:tab w:val="clear" w:pos="720"/>
                <w:tab w:val="left" w:pos="8187" w:leader="none"/>
              </w:tabs>
              <w:spacing w:lineRule="auto" w:line="240" w:before="63" w:after="0"/>
              <w:rPr/>
            </w:pPr>
            <w:r>
              <w:rPr>
                <w:sz w:val="24"/>
                <w:szCs w:val="24"/>
              </w:rPr>
              <w:t>Natureza da Despesa – NAD: 3.3.90.30 – MATERIAL DE CONSUMO</w:t>
            </w:r>
          </w:p>
          <w:p>
            <w:pPr>
              <w:pStyle w:val="Normal"/>
              <w:tabs>
                <w:tab w:val="clear" w:pos="720"/>
                <w:tab w:val="left" w:pos="8187" w:leader="none"/>
              </w:tabs>
              <w:spacing w:lineRule="auto" w:line="240" w:before="63" w:after="0"/>
              <w:rPr/>
            </w:pPr>
            <w:r>
              <w:rPr>
                <w:sz w:val="24"/>
                <w:szCs w:val="24"/>
              </w:rPr>
              <w:t>Recurso: 0295 - COMP FIN UTIL REC HIDRIC</w:t>
            </w:r>
          </w:p>
          <w:p>
            <w:pPr>
              <w:pStyle w:val="Normal"/>
              <w:tabs>
                <w:tab w:val="clear" w:pos="720"/>
                <w:tab w:val="left" w:pos="8187" w:leader="none"/>
              </w:tabs>
              <w:spacing w:lineRule="auto" w:line="240" w:before="63" w:after="0"/>
              <w:rPr/>
            </w:pPr>
            <w:r>
              <w:rPr>
                <w:sz w:val="24"/>
                <w:szCs w:val="24"/>
              </w:rPr>
              <w:t>Unidade Orçamentária: 15.04 – SEC. AGRIC. PEC. PROD. SU DEPARTAMENTO DE DIAGNOSTICO E PESQUISA AGROPECUARIA</w:t>
            </w:r>
          </w:p>
          <w:p>
            <w:pPr>
              <w:pStyle w:val="Normal"/>
              <w:tabs>
                <w:tab w:val="clear" w:pos="720"/>
                <w:tab w:val="left" w:pos="8187" w:leader="none"/>
              </w:tabs>
              <w:spacing w:lineRule="auto" w:line="240" w:before="63" w:after="0"/>
              <w:rPr/>
            </w:pPr>
            <w:r>
              <w:rPr>
                <w:sz w:val="24"/>
                <w:szCs w:val="24"/>
              </w:rPr>
              <w:t>Projeto/Atividade: 4170.00620 – PDI &amp; VT</w:t>
            </w:r>
          </w:p>
          <w:p>
            <w:pPr>
              <w:pStyle w:val="Normal"/>
              <w:tabs>
                <w:tab w:val="clear" w:pos="720"/>
                <w:tab w:val="left" w:pos="8187" w:leader="none"/>
              </w:tabs>
              <w:spacing w:lineRule="auto" w:line="240" w:before="63" w:after="0"/>
              <w:rPr/>
            </w:pPr>
            <w:r>
              <w:rPr>
                <w:sz w:val="24"/>
                <w:szCs w:val="24"/>
              </w:rPr>
              <w:t>Natureza da Despesa – NAD: 3.3.90.30 – MATERIAL DE CONSUMO</w:t>
            </w:r>
          </w:p>
          <w:p>
            <w:pPr>
              <w:pStyle w:val="Normal"/>
              <w:tabs>
                <w:tab w:val="clear" w:pos="720"/>
                <w:tab w:val="left" w:pos="8187" w:leader="none"/>
              </w:tabs>
              <w:spacing w:lineRule="auto" w:line="240" w:before="63" w:after="0"/>
              <w:rPr/>
            </w:pPr>
            <w:r>
              <w:rPr>
                <w:sz w:val="24"/>
                <w:szCs w:val="24"/>
              </w:rPr>
              <w:t>Recurso: 0001 – REC TESOURO-LIVRES</w:t>
            </w:r>
          </w:p>
        </w:tc>
      </w:tr>
      <w:tr>
        <w:trPr>
          <w:trHeight w:val="363"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ind w:right="-1"/>
              <w:rPr>
                <w:sz w:val="24"/>
                <w:szCs w:val="24"/>
              </w:rPr>
            </w:pPr>
            <w:r>
              <w:rPr>
                <w:sz w:val="24"/>
                <w:szCs w:val="24"/>
              </w:rPr>
              <w:t>CGDL 20.1</w:t>
            </w:r>
          </w:p>
        </w:tc>
        <w:tc>
          <w:tcPr>
            <w:tcW w:w="798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b/>
                <w:color w:val="auto"/>
                <w:sz w:val="24"/>
                <w:szCs w:val="24"/>
              </w:rPr>
            </w:pPr>
            <w:r>
              <w:rPr>
                <w:sz w:val="24"/>
                <w:szCs w:val="24"/>
              </w:rPr>
              <w:t>Não aplicável.</w:t>
            </w:r>
          </w:p>
        </w:tc>
      </w:tr>
      <w:tr>
        <w:trPr>
          <w:trHeight w:val="142"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lang w:eastAsia="en-US"/>
              </w:rPr>
            </w:pPr>
            <w:r>
              <w:rPr>
                <w:sz w:val="24"/>
                <w:szCs w:val="24"/>
              </w:rPr>
              <w:t>CGDL 21.1</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color w:val="auto"/>
                <w:sz w:val="24"/>
                <w:szCs w:val="24"/>
                <w:lang w:eastAsia="en-US"/>
              </w:rPr>
            </w:pPr>
            <w:r>
              <w:rPr>
                <w:color w:val="auto"/>
                <w:sz w:val="24"/>
                <w:szCs w:val="24"/>
              </w:rPr>
              <w:t>Não será solicitada Garantia de Cumprimento do Contrato</w:t>
            </w:r>
          </w:p>
        </w:tc>
      </w:tr>
      <w:tr>
        <w:trPr>
          <w:trHeight w:val="142" w:hRule="atLeast"/>
        </w:trPr>
        <w:tc>
          <w:tcPr>
            <w:tcW w:w="165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ind w:right="-1"/>
              <w:rPr>
                <w:sz w:val="24"/>
                <w:szCs w:val="24"/>
              </w:rPr>
            </w:pPr>
            <w:r>
              <w:rPr>
                <w:sz w:val="24"/>
                <w:szCs w:val="24"/>
              </w:rPr>
              <w:t>CGDL 22.2.2</w:t>
            </w:r>
          </w:p>
        </w:tc>
        <w:tc>
          <w:tcPr>
            <w:tcW w:w="79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Times New Roman"/>
                <w:sz w:val="24"/>
                <w:szCs w:val="24"/>
              </w:rPr>
            </w:pPr>
            <w:r>
              <w:rPr>
                <w:sz w:val="24"/>
                <w:szCs w:val="24"/>
              </w:rPr>
              <w:t>INSTRUÇÃO NORMATIVA CELIC/SPGG Nº 02/2023, publicada no DOE do Rio Grande do Sul em 29 de setembro de 2023.</w:t>
            </w:r>
          </w:p>
          <w:p>
            <w:pPr>
              <w:pStyle w:val="Normal"/>
              <w:spacing w:lineRule="auto" w:line="240" w:before="120" w:after="0"/>
              <w:rPr>
                <w:b/>
                <w:color w:val="auto"/>
                <w:sz w:val="24"/>
                <w:szCs w:val="24"/>
              </w:rPr>
            </w:pPr>
            <w:r>
              <w:rPr>
                <w:sz w:val="24"/>
                <w:szCs w:val="24"/>
              </w:rPr>
              <w:t>(https://www.diariooficial.rs.gov.br/materia?id=908247).</w:t>
            </w:r>
          </w:p>
        </w:tc>
      </w:tr>
    </w:tbl>
    <w:p>
      <w:pPr>
        <w:pStyle w:val="Heading2"/>
        <w:spacing w:lineRule="auto" w:line="240" w:before="120" w:after="0"/>
        <w:rPr>
          <w:sz w:val="24"/>
          <w:szCs w:val="24"/>
        </w:rPr>
      </w:pPr>
      <w:r>
        <w:rPr>
          <w:sz w:val="24"/>
          <w:szCs w:val="24"/>
        </w:rPr>
      </w:r>
      <w:r>
        <w:br w:type="page"/>
      </w:r>
    </w:p>
    <w:p>
      <w:pPr>
        <w:pStyle w:val="Heading2"/>
        <w:spacing w:lineRule="auto" w:line="240" w:before="0" w:after="0"/>
        <w:rPr>
          <w:sz w:val="24"/>
          <w:szCs w:val="24"/>
        </w:rPr>
      </w:pPr>
      <w:r>
        <w:rPr>
          <w:sz w:val="24"/>
          <w:szCs w:val="24"/>
        </w:rPr>
        <w:t>ANEXO IV – TERMO DE REFERÊNCIA</w:t>
      </w:r>
    </w:p>
    <w:p>
      <w:pPr>
        <w:pStyle w:val="Normal"/>
        <w:rPr/>
      </w:pPr>
      <w:r>
        <w:rPr/>
      </w:r>
    </w:p>
    <w:p>
      <w:pPr>
        <w:pStyle w:val="Normal"/>
        <w:rPr/>
      </w:pPr>
      <w:r>
        <w:rPr/>
      </w:r>
    </w:p>
    <w:p>
      <w:pPr>
        <w:pStyle w:val="Normal"/>
        <w:rPr/>
      </w:pPr>
      <w:r>
        <w:rPr/>
      </w:r>
    </w:p>
    <w:p>
      <w:pPr>
        <w:pStyle w:val="Normal"/>
        <w:jc w:val="center"/>
        <w:rPr/>
      </w:pPr>
      <w:r>
        <w:rPr/>
        <w:t xml:space="preserve">Vide Documento Anexo: </w:t>
      </w:r>
      <w:r>
        <w:rPr>
          <w:b/>
        </w:rPr>
        <w:t xml:space="preserve">“Termo de Referência – TR COMPRA </w:t>
      </w:r>
      <w:r>
        <w:rPr>
          <w:b/>
          <w:shd w:fill="auto" w:val="clear"/>
        </w:rPr>
        <w:t>42373</w:t>
      </w:r>
      <w:r>
        <w:rPr>
          <w:b/>
        </w:rPr>
        <w:t>”</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418" w:right="851" w:gutter="0" w:header="170" w:top="567" w:footer="454" w:bottom="567"/>
      <w:pgNumType w:start="1" w:fmt="decimal"/>
      <w:formProt w:val="false"/>
      <w:titlePg/>
      <w:textDirection w:val="lrTb"/>
      <w:docGrid w:type="default" w:linePitch="299"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Nov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Divisão de Compras, Materiais e Contratos – DCMC</w:t>
    </w:r>
  </w:p>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Av. Getúlio Vargas, 1384 – Departamento Administrativo - Sala 12 – CEP: 90.150-004</w:t>
    </w:r>
  </w:p>
  <w:p>
    <w:pPr>
      <w:pStyle w:val="Normal"/>
      <w:tabs>
        <w:tab w:val="clear" w:pos="720"/>
        <w:tab w:val="center" w:pos="4252" w:leader="none"/>
        <w:tab w:val="right" w:pos="8504" w:leader="none"/>
      </w:tabs>
      <w:spacing w:lineRule="auto" w:line="240"/>
      <w:jc w:val="center"/>
      <w:rPr/>
    </w:pPr>
    <w:r>
      <w:rPr>
        <w:rFonts w:eastAsia="Times New Roman"/>
        <w:color w:val="595959"/>
        <w:sz w:val="16"/>
        <w:szCs w:val="16"/>
      </w:rPr>
      <w:t>Fone: (51) 3288-6261</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adj="10800" fillcolor="silver" stroked="f" o:allowincell="f" style="position:absolute;margin-left:-48.15pt;margin-top:329.3pt;width:528.1pt;height:150.45pt;mso-wrap-style:none;v-text-anchor:middle;rotation:315;mso-position-horizontal:center;mso-position-horizontal-relative:margin;mso-position-vertical:center;mso-position-vertical-relative:margin" type="_x0000_t136">
          <v:path textpathok="t"/>
          <v:textpath on="t" fitshape="t" string="MINUTA" style="font-family:&quot;Times New Roman&quot;;font-size:1pt" trim="t"/>
          <v:fill o:detectmouseclick="t" type="solid" color2="#3f3f3f" opacity="0.5"/>
          <v:stroke color="#3465a4" joinstyle="round" endcap="flat"/>
          <w10:wrap type="none"/>
        </v:shape>
      </w:pic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rPr>
    </w:pPr>
    <w:r>
      <w:rPr/>
      <w:drawing>
        <wp:inline distT="0" distB="0" distL="0" distR="0">
          <wp:extent cx="2304415" cy="1030605"/>
          <wp:effectExtent l="0" t="0" r="0" b="0"/>
          <wp:docPr id="4"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5" descr=""/>
                  <pic:cNvPicPr>
                    <a:picLocks noChangeAspect="1" noChangeArrowheads="1"/>
                  </pic:cNvPicPr>
                </pic:nvPicPr>
                <pic:blipFill>
                  <a:blip r:embed="rId1"/>
                  <a:stretch>
                    <a:fillRect/>
                  </a:stretch>
                </pic:blipFill>
                <pic:spPr bwMode="auto">
                  <a:xfrm>
                    <a:off x="0" y="0"/>
                    <a:ext cx="2304415" cy="10306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4415" cy="1030605"/>
          <wp:effectExtent l="0" t="0" r="0" b="0"/>
          <wp:docPr id="5"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2" descr=""/>
                  <pic:cNvPicPr>
                    <a:picLocks noChangeAspect="1" noChangeArrowheads="1"/>
                  </pic:cNvPicPr>
                </pic:nvPicPr>
                <pic:blipFill>
                  <a:blip r:embed="rId1"/>
                  <a:stretch>
                    <a:fillRect/>
                  </a:stretch>
                </pic:blipFill>
                <pic:spPr bwMode="auto">
                  <a:xfrm>
                    <a:off x="0" y="0"/>
                    <a:ext cx="2304415" cy="1030605"/>
                  </a:xfrm>
                  <a:prstGeom prst="rect">
                    <a:avLst/>
                  </a:prstGeom>
                </pic:spPr>
              </pic:pic>
            </a:graphicData>
          </a:graphic>
        </wp:inline>
      </w:drawing>
      <w:drawing>
        <wp:anchor behindDoc="1" distT="0" distB="0" distL="0" distR="0" simplePos="0" locked="0" layoutInCell="0" allowOverlap="1" relativeHeight="31">
          <wp:simplePos x="0" y="0"/>
          <wp:positionH relativeFrom="margin">
            <wp:align>right</wp:align>
          </wp:positionH>
          <wp:positionV relativeFrom="paragraph">
            <wp:posOffset>1624965</wp:posOffset>
          </wp:positionV>
          <wp:extent cx="6628765" cy="8006715"/>
          <wp:effectExtent l="0" t="0" r="0" b="0"/>
          <wp:wrapNone/>
          <wp:docPr id="6" name="Imagem 13"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3" descr="Forma&#10;&#10;Descrição gerada automaticamente"/>
                  <pic:cNvPicPr>
                    <a:picLocks noChangeAspect="1" noChangeArrowheads="1"/>
                  </pic:cNvPicPr>
                </pic:nvPicPr>
                <pic:blipFill>
                  <a:blip r:embed="rId2"/>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2">
          <wp:simplePos x="0" y="0"/>
          <wp:positionH relativeFrom="page">
            <wp:posOffset>7620</wp:posOffset>
          </wp:positionH>
          <wp:positionV relativeFrom="paragraph">
            <wp:posOffset>-106680</wp:posOffset>
          </wp:positionV>
          <wp:extent cx="230505" cy="10893425"/>
          <wp:effectExtent l="0" t="0" r="0" b="0"/>
          <wp:wrapNone/>
          <wp:docPr id="7" name="Imagem 1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4"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r>
  </w:p>
</w:hdr>
</file>

<file path=word/settings.xml><?xml version="1.0" encoding="utf-8"?>
<w:settings xmlns:w="http://schemas.openxmlformats.org/wordprocessingml/2006/main">
  <w:zoom w:percent="14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Heading1">
    <w:name w:val="Heading 1"/>
    <w:basedOn w:val="Normal"/>
    <w:next w:val="Normal"/>
    <w:link w:val="Ttulo1Char"/>
    <w:qFormat/>
    <w:rsid w:val="002e6650"/>
    <w:pPr>
      <w:keepNext w:val="true"/>
      <w:keepLines/>
      <w:spacing w:before="240" w:after="0"/>
      <w:jc w:val="center"/>
      <w:outlineLvl w:val="0"/>
    </w:pPr>
    <w:rPr>
      <w:rFonts w:eastAsia="" w:eastAsiaTheme="majorEastAsia"/>
      <w:b/>
      <w:bCs/>
    </w:rPr>
  </w:style>
  <w:style w:type="paragraph" w:styleId="Heading2">
    <w:name w:val="Heading 2"/>
    <w:basedOn w:val="Normal"/>
    <w:next w:val="Normal"/>
    <w:link w:val="Ttulo2Char"/>
    <w:unhideWhenUsed/>
    <w:qFormat/>
    <w:rsid w:val="002e6650"/>
    <w:pPr>
      <w:widowControl w:val="false"/>
      <w:ind w:left="851" w:right="849"/>
      <w:jc w:val="center"/>
      <w:outlineLvl w:val="1"/>
    </w:pPr>
    <w:rPr>
      <w:b/>
      <w:bCs/>
      <w:caps/>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link w:val="Ttulo5Char"/>
    <w:unhideWhenUsed/>
    <w:qFormat/>
    <w:rsid w:val="002e6650"/>
    <w:pPr>
      <w:keepNext w:val="true"/>
      <w:spacing w:before="0" w:after="60"/>
      <w:outlineLvl w:val="4"/>
    </w:pPr>
    <w:rPr>
      <w:b/>
    </w:rPr>
  </w:style>
  <w:style w:type="paragraph" w:styleId="Heading6">
    <w:name w:val="Heading 6"/>
    <w:basedOn w:val="Normal"/>
    <w:next w:val="Normal"/>
    <w:link w:val="Ttulo6Char"/>
    <w:uiPriority w:val="9"/>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InternetLink" w:customStyle="1">
    <w:name w:val="Internet Link"/>
    <w:basedOn w:val="DefaultParagraphFont"/>
    <w:unhideWhenUsed/>
    <w:qFormat/>
    <w:rsid w:val="002e6650"/>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InternetLink1" w:customStyle="1">
    <w:name w:val="Internet Link1"/>
    <w:basedOn w:val="DefaultParagraphFont"/>
    <w:uiPriority w:val="99"/>
    <w:unhideWhenUsed/>
    <w:qFormat/>
    <w:rsid w:val="0082511e"/>
    <w:rPr>
      <w:color w:val="0000FF"/>
      <w:u w:val="single"/>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FollowedHyperlink">
    <w:name w:val="FollowedHyperlink"/>
    <w:basedOn w:val="DefaultParagraphFont"/>
    <w:uiPriority w:val="99"/>
    <w:semiHidden/>
    <w:unhideWhenUsed/>
    <w:rsid w:val="00f86371"/>
    <w:rPr>
      <w:color w:themeColor="followedHyperlink" w:val="800080"/>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character" w:styleId="InternetLink2" w:customStyle="1">
    <w:name w:val="Internet Link2"/>
    <w:qFormat/>
    <w:rPr>
      <w:color w:val="000080"/>
      <w:u w:val="single"/>
    </w:rPr>
  </w:style>
  <w:style w:type="character" w:styleId="InternetLink3" w:customStyle="1">
    <w:name w:val="Internet Link3"/>
    <w:qFormat/>
    <w:rPr>
      <w:color w:val="000080"/>
      <w:u w:val="single"/>
    </w:rPr>
  </w:style>
  <w:style w:type="character" w:styleId="InternetLink4">
    <w:name w:val="Internet Link4"/>
    <w:qFormat/>
    <w:rPr>
      <w:color w:val="000080"/>
      <w:u w:val="single"/>
    </w:rPr>
  </w:style>
  <w:style w:type="character" w:styleId="InternetLink5">
    <w:name w:val="Internet Link5"/>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Footer">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contextualSpacing/>
    </w:pPr>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59"/>
    <w:rsid w:val="006d0f9a"/>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047BCA-86D7-43E9-8F7C-73C357E7510B}">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c72c3af4-4775-450d-8502-934a6ead802a"/>
    <ds:schemaRef ds:uri="http://purl.org/dc/elements/1.1/"/>
    <ds:schemaRef ds:uri="http://schemas.microsoft.com/office/2006/metadata/properties"/>
    <ds:schemaRef ds:uri="http://schemas.microsoft.com/office/infopath/2007/PartnerControls"/>
    <ds:schemaRef ds:uri="8620d49e-90fa-4e9b-8a64-ca584156aaaf"/>
    <ds:schemaRef ds:uri="http://schemas.openxmlformats.org/package/2006/metadata/core-properties"/>
    <ds:schemaRef ds:uri="http://schemas.microsoft.com/office/2006/documentManagement/typ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Application>LibreOffice/24.2.5.2$Windows_X86_64 LibreOffice_project/bffef4ea93e59bebbeaf7f431bb02b1a39ee8a59</Application>
  <AppVersion>15.0000</AppVersion>
  <Pages>30</Pages>
  <Words>10977</Words>
  <Characters>61586</Characters>
  <CharactersWithSpaces>72345</CharactersWithSpaces>
  <Paragraphs>527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2026-04-22T18:22:00Z</dcterms:created>
  <dc:creator>Renato Coelho Caierao</dc:creator>
  <dc:description/>
  <dc:language>pt-BR</dc:language>
  <cp:lastModifiedBy/>
  <cp:lastPrinted>2026-05-14T16:08:00Z</cp:lastPrinted>
  <dcterms:modified xsi:type="dcterms:W3CDTF">2026-05-29T16:17:17Z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