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3"/>
        <w:pBdr/>
        <w:tabs>
          <w:tab w:val="clear" w:leader="none" w:pos="709"/>
          <w:tab w:val="left" w:leader="none" w:pos="851"/>
        </w:tabs>
        <w:spacing w:after="360" w:before="360" w:line="276" w:lineRule="auto"/>
        <w:ind/>
        <w:jc w:val="left"/>
        <w:rPr>
          <w:rFonts w:ascii="Arial" w:hAnsi="Arial" w:eastAsia="MS Mincho;ＭＳ 明朝" w:cs="Arial"/>
          <w:b/>
          <w:bCs/>
          <w:sz w:val="22"/>
          <w:szCs w:val="22"/>
          <w:highlight w:val="none"/>
          <w:lang w:eastAsia="ar-SA"/>
        </w:rPr>
      </w:pPr>
      <w:r>
        <w:rPr>
          <w:rFonts w:ascii="Arial" w:hAnsi="Arial" w:eastAsia="MS Mincho;ＭＳ 明朝" w:cs="Arial"/>
          <w:b/>
          <w:bCs/>
          <w:sz w:val="22"/>
          <w:szCs w:val="22"/>
          <w:highlight w:val="none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highlight w:val="none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highlight w:val="none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360" w:before="360" w:line="276" w:lineRule="auto"/>
        <w:ind/>
        <w:jc w:val="center"/>
        <w:rPr>
          <w:rFonts w:ascii="Arial" w:hAnsi="Arial" w:eastAsia="MS Mincho;ＭＳ 明朝" w:cs="Arial"/>
          <w:b/>
          <w:bCs/>
          <w:sz w:val="22"/>
          <w:szCs w:val="22"/>
          <w:highlight w:val="none"/>
          <w:lang w:eastAsia="ar-SA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4605" distB="14605" distL="0" distR="0" simplePos="0" relativeHeight="20" behindDoc="0" locked="0" layoutInCell="0" allowOverlap="1">
                <wp:simplePos x="0" y="0"/>
                <wp:positionH relativeFrom="column">
                  <wp:posOffset>-130810</wp:posOffset>
                </wp:positionH>
                <wp:positionV relativeFrom="paragraph">
                  <wp:posOffset>-133985</wp:posOffset>
                </wp:positionV>
                <wp:extent cx="5991860" cy="635"/>
                <wp:effectExtent l="0" t="14604" r="0" b="14604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991840" cy="720"/>
                        </a:xfrm>
                        <a:prstGeom prst="line">
                          <a:avLst/>
                        </a:prstGeom>
                        <a:ln w="28440">
                          <a:solidFill>
                            <a:srgbClr val="4472C4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20;mso-wrap-distance-left:0.00pt;mso-wrap-distance-top:1.15pt;mso-wrap-distance-right:0.00pt;mso-wrap-distance-bottom:1.15pt;visibility:visible;" from="-10.3pt,-10.5pt" to="461.5pt,-10.5pt" filled="f" strokecolor="#4472C4" strokeweight="2.24pt"/>
            </w:pict>
          </mc:Fallback>
        </mc:AlternateContent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TERMO DE REFERÊNCIA</w:t>
      </w:r>
      <w:r>
        <w:rPr>
          <w:rFonts w:ascii="Arial" w:hAnsi="Arial"/>
        </w:rPr>
      </w:r>
      <w:r>
        <w:rPr>
          <w:rFonts w:ascii="Arial" w:hAnsi="Arial" w:eastAsia="MS Mincho;ＭＳ 明朝" w:cs="Arial"/>
          <w:b/>
          <w:bCs/>
          <w:sz w:val="22"/>
          <w:szCs w:val="22"/>
          <w:highlight w:val="none"/>
          <w:lang w:eastAsia="ar-SA"/>
        </w:rPr>
      </w:r>
    </w:p>
    <w:p>
      <w:pPr>
        <w:pStyle w:val="913"/>
        <w:numPr>
          <w:ilvl w:val="0"/>
          <w:numId w:val="5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 OBJETO E DAS CONDIÇÕES GERAIS DA CONTRATAÇÃO/LICITAÇÃO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after="120" w:before="0"/>
        <w:ind w:firstLine="0" w:left="0"/>
        <w:contextualSpacing w:val="true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Constitui objeto da presente Licitação a Contratação de show do </w:t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Grupo</w:t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 Baila</w:t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ço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 para apresentação artística no dia </w:t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23/03/2025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, durante os festejos de Aniversário de 33 anos da Cidade  que ocorrerá nos dias 20, 21, 22 e 23 de março de 2025, nos termos da tabela abaixo, conforme condições e exigências estabelecidas neste instrumento: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120" w:before="0"/>
        <w:ind/>
        <w:contextualSpacing w:val="true"/>
        <w:jc w:val="both"/>
        <w:rPr>
          <w:rFonts w:ascii="Arial" w:hAnsi="Arial" w:eastAsia="MS Mincho;ＭＳ 明朝" w:cs="Arial"/>
          <w:sz w:val="22"/>
          <w:szCs w:val="22"/>
          <w:lang w:eastAsia="ar-SA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</w:r>
      <w:r>
        <w:rPr>
          <w:rFonts w:ascii="Arial" w:hAnsi="Arial" w:eastAsia="MS Mincho;ＭＳ 明朝" w:cs="Arial"/>
          <w:sz w:val="22"/>
          <w:szCs w:val="22"/>
          <w:lang w:eastAsia="ar-SA"/>
        </w:rPr>
      </w:r>
      <w:r>
        <w:rPr>
          <w:rFonts w:ascii="Arial" w:hAnsi="Arial" w:eastAsia="MS Mincho;ＭＳ 明朝" w:cs="Arial"/>
          <w:sz w:val="22"/>
          <w:szCs w:val="22"/>
          <w:lang w:eastAsia="ar-SA"/>
        </w:rPr>
      </w:r>
    </w:p>
    <w:tbl>
      <w:tblPr>
        <w:tblW w:w="5000" w:type="pct"/>
        <w:tblInd w:w="-5" w:type="dxa"/>
        <w:tblBorders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4676"/>
        <w:gridCol w:w="4677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676" w:type="dxa"/>
            <w:textDirection w:val="lrTb"/>
            <w:noWrap w:val="false"/>
          </w:tcPr>
          <w:p>
            <w:pPr>
              <w:pStyle w:val="1021"/>
              <w:widowControl w:val="false"/>
              <w:pBdr/>
              <w:spacing/>
              <w:ind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DESCRIÇÃO DO OBJETO</w:t>
            </w:r>
            <w:r>
              <w:rPr>
                <w:rFonts w:ascii="Arial" w:hAnsi="Arial"/>
                <w:b/>
                <w:bCs/>
              </w:rPr>
            </w:r>
            <w:r>
              <w:rPr>
                <w:rFonts w:ascii="Arial" w:hAnsi="Arial"/>
                <w:b/>
                <w:b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pStyle w:val="1021"/>
              <w:widowControl w:val="false"/>
              <w:pBdr/>
              <w:spacing/>
              <w: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VALOR TOTAL DA CONTRATAÇÃO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4676" w:type="dxa"/>
            <w:textDirection w:val="lrTb"/>
            <w:noWrap w:val="false"/>
          </w:tcPr>
          <w:p>
            <w:pPr>
              <w:pStyle w:val="1021"/>
              <w:widowControl w:val="false"/>
              <w:pBdr/>
              <w:spacing/>
              <w:ind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Contratação de Show do Grupo Bailaço para apresentação Artística no dia 23/03/2025 pelo período de </w:t>
            </w:r>
            <w:r>
              <w:rPr>
                <w:rFonts w:ascii="Arial" w:hAnsi="Arial"/>
                <w:b/>
                <w:bCs/>
              </w:rPr>
              <w:t xml:space="preserve">2h30m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pStyle w:val="1021"/>
              <w:widowControl w:val="false"/>
              <w:pBdr/>
              <w:spacing/>
              <w:ind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R$ 30.000,00</w:t>
            </w:r>
            <w:r>
              <w:rPr>
                <w:rFonts w:ascii="Arial" w:hAnsi="Arial"/>
                <w:b/>
                <w:bCs/>
              </w:rPr>
            </w:r>
            <w:r>
              <w:rPr>
                <w:rFonts w:ascii="Arial" w:hAnsi="Arial"/>
                <w:b/>
                <w:bCs/>
              </w:rPr>
            </w:r>
          </w:p>
        </w:tc>
      </w:tr>
    </w:tbl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both"/>
        <w:rPr>
          <w:rFonts w:ascii="Arial" w:hAnsi="Arial" w:eastAsia="MS Mincho;ＭＳ 明朝" w:cs="Arial"/>
          <w:sz w:val="22"/>
          <w:szCs w:val="22"/>
          <w:lang w:eastAsia="ar-SA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</w:r>
      <w:r>
        <w:rPr>
          <w:rFonts w:ascii="Arial" w:hAnsi="Arial" w:eastAsia="MS Mincho;ＭＳ 明朝" w:cs="Arial"/>
          <w:sz w:val="22"/>
          <w:szCs w:val="22"/>
          <w:lang w:eastAsia="ar-SA"/>
        </w:rPr>
      </w:r>
      <w:r>
        <w:rPr>
          <w:rFonts w:ascii="Arial" w:hAnsi="Arial" w:eastAsia="MS Mincho;ＭＳ 明朝" w:cs="Arial"/>
          <w:sz w:val="22"/>
          <w:szCs w:val="22"/>
          <w:lang w:eastAsia="ar-SA"/>
        </w:rPr>
      </w:r>
    </w:p>
    <w:p>
      <w:pPr>
        <w:pStyle w:val="1014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hanging="792" w:left="716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 estimativa de valor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  <w:color w:val="auto"/>
        </w:rPr>
      </w:pPr>
      <w:r>
        <w:rPr>
          <w:rFonts w:ascii="Arial" w:hAnsi="Arial" w:cs="Arial"/>
          <w:color w:val="auto"/>
        </w:rPr>
        <w:t xml:space="preserve">A estimativa do valor da contratação é de R$ 30.000,00 (trinta  mil reais). </w:t>
      </w:r>
      <w:r>
        <w:rPr>
          <w:rFonts w:ascii="Arial" w:hAnsi="Arial"/>
          <w:color w:val="auto"/>
        </w:rPr>
      </w:r>
      <w:r>
        <w:rPr>
          <w:rFonts w:ascii="Arial" w:hAnsi="Arial"/>
          <w:color w:val="auto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 contratação será realizada por inexigibilidade de licitação;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/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 pesquisa de preços foi realizada</w:t>
      </w:r>
      <w:r>
        <w:rPr>
          <w:rStyle w:val="956"/>
          <w:rFonts w:ascii="Arial" w:hAnsi="Arial" w:eastAsia="SimSun;宋体" w:cs="Arial"/>
          <w:sz w:val="22"/>
          <w:szCs w:val="22"/>
          <w:lang w:eastAsia="hi-IN" w:bidi="hi-IN"/>
        </w:rPr>
        <w:t xml:space="preserve"> no Licitacon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 e comprova que o valor estimado é compatível com o praticado pelo mercado e também anexado três notas fiscais ao processo comprovando a veracidade dos preços praticados pela banda.</w:t>
      </w:r>
      <w:r/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 classificação/natureza do objeto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  <w:lang w:eastAsia="ar-SA"/>
        </w:rPr>
        <w:t xml:space="preserve">Os </w:t>
      </w:r>
      <w:r>
        <w:rPr>
          <w:rFonts w:ascii="Arial" w:hAnsi="Arial" w:cs="Arial"/>
          <w:color w:val="auto"/>
          <w:lang w:eastAsia="ar-SA"/>
        </w:rPr>
        <w:t xml:space="preserve">serviços têm natureza serviços comum: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spacing w:after="0" w:before="0" w:line="276" w:lineRule="auto"/>
        <w:ind w:firstLine="0" w:left="1134"/>
        <w:rPr>
          <w:rFonts w:ascii="Arial" w:hAnsi="Arial"/>
        </w:rPr>
      </w:pPr>
      <w:r>
        <w:rPr>
          <w:rFonts w:ascii="Arial" w:hAnsi="Arial"/>
          <w:i/>
          <w:iCs/>
          <w:color w:val="auto"/>
        </w:rPr>
        <w:t xml:space="preserve">Art.74. É inexegível a licitação quando, em especial nos casos de: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spacing w:after="0" w:before="0" w:line="276" w:lineRule="auto"/>
        <w:ind w:firstLine="0" w:left="1134"/>
        <w:rPr>
          <w:rFonts w:ascii="Arial" w:hAnsi="Arial"/>
        </w:rPr>
      </w:pPr>
      <w:r>
        <w:rPr>
          <w:rFonts w:ascii="Arial" w:hAnsi="Arial"/>
          <w:i/>
          <w:iCs/>
          <w:color w:val="auto"/>
        </w:rPr>
        <w:t xml:space="preserve">II – Contratação de profissional do setor artístico, diretamente ou por meio de empresário exclusivo, desde que consagrado pela crítica especializada ou pela opinião pública;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spacing w:after="0" w:before="0" w:line="276" w:lineRule="auto"/>
        <w:ind w:firstLine="0" w:left="1134"/>
        <w:rPr>
          <w:rFonts w:ascii="Arial" w:hAnsi="Arial"/>
          <w:i/>
          <w:iCs/>
          <w:color w:val="auto"/>
        </w:rPr>
      </w:pPr>
      <w:r>
        <w:rPr>
          <w:rFonts w:ascii="Arial" w:hAnsi="Arial"/>
          <w:i/>
          <w:iCs/>
          <w:color w:val="auto"/>
        </w:rPr>
        <w:t xml:space="preserve">§ 2º  Para fins dos disposto no inciso II do caput deste artigo, considera-se empresário exclusivo a pessoa física ou jurídica que possua contrato, declaração, carta ou outro documento que ateste a exclusividade perma</w:t>
      </w:r>
      <w:r>
        <w:rPr>
          <w:rFonts w:ascii="Arial" w:hAnsi="Arial"/>
          <w:i/>
          <w:iCs/>
          <w:color w:val="auto"/>
        </w:rPr>
        <w:t xml:space="preserve">nente e contínua de representação, no País ou em Estado específico, do profissional do setor artístico, afastada a possibilidade de contratação direta por inexibilidade por meio de empresário com representação restrita a evento ou local específico. [...]  </w:t>
      </w:r>
      <w:r>
        <w:rPr>
          <w:rFonts w:ascii="Arial" w:hAnsi="Arial"/>
          <w:i/>
          <w:iCs/>
          <w:color w:val="auto"/>
        </w:rPr>
      </w:r>
      <w:r>
        <w:rPr>
          <w:rFonts w:ascii="Arial" w:hAnsi="Arial"/>
          <w:i/>
          <w:iCs/>
          <w:color w:val="auto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 prazo de vigência da contratação: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6"/>
        <w:numPr>
          <w:ilvl w:val="2"/>
          <w:numId w:val="6"/>
        </w:numPr>
        <w:pBdr/>
        <w:tabs>
          <w:tab w:val="clear" w:leader="none" w:pos="0"/>
          <w:tab w:val="left" w:leader="none" w:pos="567"/>
          <w:tab w:val="clear" w:leader="none" w:pos="851"/>
          <w:tab w:val="left" w:leader="none" w:pos="1418"/>
        </w:tabs>
        <w:spacing w:after="0" w:before="0" w:line="276" w:lineRule="auto"/>
        <w:ind w:firstLine="0" w:left="0"/>
        <w:rPr/>
      </w:pPr>
      <w:r>
        <w:rPr>
          <w:i w:val="0"/>
          <w:iCs w:val="0"/>
          <w:color w:val="auto"/>
          <w:sz w:val="22"/>
          <w:szCs w:val="22"/>
        </w:rPr>
        <w:t xml:space="preserve">O prazo de vigência da contratação é </w:t>
      </w:r>
      <w:r>
        <w:rPr>
          <w:i w:val="0"/>
          <w:iCs w:val="0"/>
          <w:color w:val="000000"/>
          <w:sz w:val="22"/>
          <w:szCs w:val="22"/>
        </w:rPr>
        <w:t xml:space="preserve">de 120 dias co</w:t>
      </w:r>
      <w:r>
        <w:rPr>
          <w:i w:val="0"/>
          <w:iCs w:val="0"/>
          <w:color w:val="auto"/>
          <w:sz w:val="22"/>
          <w:szCs w:val="22"/>
        </w:rPr>
        <w:t xml:space="preserve">ntados da assinatura do contrato, na forma do artigo 105 da Lei n° 14.133, de 2021.</w:t>
      </w:r>
      <w:r/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 contra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tação pretendida está prevista no Plano de Contratações Anual do Município de Nova Santa Rita, estando assim alinhada com o planejamento desta Administração. Conforme PAC n° DFD .266/2024 e conforme consta nas informações básicas desse termo de referência.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4"/>
        <w:numPr>
          <w:ilvl w:val="0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/>
        <w:jc w:val="both"/>
        <w:rPr>
          <w:rFonts w:ascii="Arial" w:hAnsi="Arial"/>
        </w:rPr>
      </w:pPr>
      <w:r/>
      <w:bookmarkStart w:id="0" w:name="_Hlk172039611"/>
      <w:r/>
      <w:bookmarkEnd w:id="0"/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 FUNDAMENTAÇÃO E DA DESCRIÇÃO DA NECESSIDADE DA CONTRATAÇÃO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Os festejos do Aniversário da Cidade, ocorrerão nos dias 20, 21, 22 e 23 de março, na cidade de Nova Santa </w:t>
      </w:r>
      <w:r>
        <w:rPr>
          <w:rFonts w:ascii="Arial" w:hAnsi="Arial" w:eastAsia="MS Mincho;ＭＳ 明朝" w:cs="Arial"/>
          <w:color w:val="000000"/>
          <w:sz w:val="22"/>
          <w:szCs w:val="22"/>
          <w:lang w:eastAsia="ar-SA"/>
        </w:rPr>
        <w:t xml:space="preserve">Rita. A realização do evento visa promover o bem-estar social e cultural, contribuindo para a valorização das tradições do nosso Estado e do nosso município, além de impulsionar o desenvolvimento econômico e social local.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000000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color w:val="000000"/>
          <w:sz w:val="22"/>
          <w:szCs w:val="22"/>
          <w:lang w:eastAsia="ar-SA"/>
        </w:rPr>
        <w:t xml:space="preserve">A</w:t>
      </w:r>
      <w:r>
        <w:rPr>
          <w:rFonts w:ascii="Arial" w:hAnsi="Arial"/>
          <w:color w:val="000000"/>
          <w:sz w:val="22"/>
          <w:szCs w:val="22"/>
        </w:rPr>
        <w:t xml:space="preserve"> presença do público que prestigiará os festejos durante os dia</w:t>
      </w:r>
      <w:r>
        <w:rPr>
          <w:rFonts w:ascii="Arial" w:hAnsi="Arial"/>
          <w:sz w:val="22"/>
          <w:szCs w:val="22"/>
        </w:rPr>
        <w:t xml:space="preserve">s em que ocorrerão o evento será expressiva, haja vista a representatividade desta festividade para as áreas Urbana e Rural do município e cidades circunvizinhas.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Com o</w:t>
      </w:r>
      <w:r>
        <w:rPr>
          <w:rFonts w:ascii="Arial" w:hAnsi="Arial"/>
          <w:sz w:val="22"/>
          <w:szCs w:val="22"/>
        </w:rPr>
        <w:t xml:space="preserve"> in</w:t>
      </w:r>
      <w:r>
        <w:rPr>
          <w:rFonts w:ascii="Arial" w:hAnsi="Arial"/>
          <w:sz w:val="22"/>
          <w:szCs w:val="22"/>
        </w:rPr>
        <w:t xml:space="preserve">tuito de promover o evento e assegurar um retorno social e econômico ao município, verifica-se a necessidade de proporcionar atividades culturais que atraiam o público e maximize os impactos positivos esperados com as festividades do Aniversário da Cidade.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Nesse sentido, a contratação de show artístico proporciona um evento culturalmente enriquecedor que valoriza a música, contribui para o entretenimento e a diversão do público participante e principalmente fomenta a economia local.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</w:r>
      <w:r>
        <w:rPr>
          <w:rFonts w:ascii="Arial" w:hAnsi="Arial"/>
          <w:sz w:val="22"/>
          <w:szCs w:val="22"/>
        </w:rPr>
      </w:r>
    </w:p>
    <w:p>
      <w:pPr>
        <w:pStyle w:val="1014"/>
        <w:numPr>
          <w:ilvl w:val="0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 DESCRIÇÃO DA SOLUÇÃO COMO UM TODO, CONSIDERANDO O CICLO DE VIDA DO OBJETO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Bdr/>
        <w:tabs>
          <w:tab w:val="clear" w:leader="none" w:pos="709"/>
          <w:tab w:val="left" w:leader="none" w:pos="851"/>
        </w:tabs>
        <w:spacing w:line="276" w:lineRule="auto"/>
        <w:ind w:firstLine="0" w:left="36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highlight w:val="none"/>
          <w:lang w:eastAsia="ar-SA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Para que o objetivo de fomentar a cultura e tradição no Município durante os festejos da do Aniversário da Cidade seja alcançado, as contratações deverão no mínimo atender os seguintes itens: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As atrações musicais realizarão apresentações contempladas no valor total da proposta com a duração especificado no termo de referência.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Deverá cumprir fielmente o que foi descrito em sua proposta, quando esta for aceita, bem como pagará todos os encargos trabalhistas, previdenciários, fiscais e comerciais resultantes da execução do instrumento contratual.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Todas as despesas de Locomoção, alimentação, entre outras que porventura surgirem são de inteira responsabilidade e ônus da empresa contratada.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A empresa assumirá inteira responsabilidade civil, administrativa e penal por quaisquer danos e prejuízos, materiais ou pessoais causados pelos seus empregados, prepostos ou terceiros sob seu comando.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A escolha da modalidade Inexigibilidade de Licitação para haver a contratação das bandas artísticas é de integral responsabilidade do requisitante que apresenta documentos comprobatórios e documentos de responsabilidade assinados.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pBdr/>
        <w:tabs>
          <w:tab w:val="left" w:leader="none" w:pos="567"/>
          <w:tab w:val="clear" w:leader="none" w:pos="709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0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DOS REQUISITOS DA CONTRATAÇÃO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Das condições para atendimento do objeto licitado: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284"/>
          <w:tab w:val="left" w:leader="none" w:pos="851"/>
        </w:tabs>
        <w:spacing w:after="0" w:before="0" w:line="276" w:lineRule="auto"/>
        <w:ind w:firstLine="0" w:left="284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Comunicar à Secretaria de Esporte, Lazer, Cultura e Turismo, qualquer anormalidade constatada e prestar os esclarecimentos solicitados;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spacing w:after="0" w:before="0" w:line="276" w:lineRule="auto"/>
        <w:ind w:firstLine="0" w:left="284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Arcar com todos os ônus e encargos decorrentes do fornecimento;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spacing w:after="0" w:before="0" w:line="276" w:lineRule="auto"/>
        <w:ind w:firstLine="0" w:left="284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Responsabilizar-se integralmente pelo fiel cumprimento da execução do objeto nas condições previstas neste termo, prestando todos os esclarecimentos solicitados;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spacing w:after="0" w:before="0" w:line="276" w:lineRule="auto"/>
        <w:ind w:firstLine="0" w:left="284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Assumir a responsabilidade pelos encargos fiscais, comerciais e previdenciários resultantes do fornecimento;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spacing w:after="0" w:before="0" w:line="276" w:lineRule="auto"/>
        <w:ind w:firstLine="0" w:left="284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Manter, durante o período de vigência do Contrato, todas as condições que ensejaram sua habilitação e qualificação no certame licitatório;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spacing w:after="0" w:before="0" w:line="276" w:lineRule="auto"/>
        <w:ind w:firstLine="0" w:left="284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Não transferir a terceiros, por qualquer forma, nem mesmo parcialmente, as obrigações assumidas, nem subcontratar qualquer das prestações à que está obrigada, exceto nas condições autorizadas no Termo de Referência;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spacing w:after="0" w:before="0" w:line="276" w:lineRule="auto"/>
        <w:ind w:firstLine="0" w:left="284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Responsabilizar-se pelas despesas dos tributos, encargos trabalhistas, previdenciários, fiscais, comerciais, taxas, fretes, seguros, deslocamento de pessoal, prestação de garantia e</w:t>
      </w:r>
      <w:r>
        <w:rPr>
          <w:rFonts w:ascii="Arial" w:hAnsi="Arial" w:cs="Arial"/>
          <w:b/>
          <w:bCs/>
          <w:color w:val="auto"/>
        </w:rPr>
        <w:t xml:space="preserve"> </w:t>
      </w:r>
      <w:r>
        <w:rPr>
          <w:rFonts w:ascii="Arial" w:hAnsi="Arial" w:cs="Arial"/>
          <w:color w:val="auto"/>
        </w:rPr>
        <w:t xml:space="preserve">quaisquer outras que</w:t>
      </w:r>
      <w:r>
        <w:rPr>
          <w:rFonts w:ascii="Arial" w:hAnsi="Arial" w:cs="Arial"/>
          <w:b/>
          <w:bCs/>
          <w:color w:val="auto"/>
        </w:rPr>
        <w:t xml:space="preserve"> </w:t>
      </w:r>
      <w:r>
        <w:rPr>
          <w:rFonts w:ascii="Arial" w:hAnsi="Arial" w:cs="Arial"/>
          <w:color w:val="auto"/>
        </w:rPr>
        <w:t xml:space="preserve">incidam ou venham a incidir na execução do pactuado, inclusive as despesas com embalagem, seguro e transporte dos itens até o local de entrega;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Garantia do Produto/Serviço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284"/>
          <w:tab w:val="clear" w:leader="none" w:pos="709"/>
          <w:tab w:val="left" w:leader="none" w:pos="851"/>
        </w:tabs>
        <w:spacing w:line="276" w:lineRule="auto"/>
        <w:ind w:firstLine="0" w:left="284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Para a perfeita execução dos serviços, a Contratada deverá executar todo o acordado na Proposta de preço que</w:t>
      </w:r>
      <w:r>
        <w:rPr>
          <w:rFonts w:ascii="Arial" w:hAnsi="Arial" w:cs="Arial"/>
          <w:color w:val="auto"/>
          <w:spacing w:val="40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integra este processo, podendo a critério de ambas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as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partes</w:t>
      </w:r>
      <w:r>
        <w:rPr>
          <w:rFonts w:ascii="Arial" w:hAnsi="Arial" w:cs="Arial"/>
          <w:color w:val="auto"/>
          <w:spacing w:val="-14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(contratado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e</w:t>
      </w:r>
      <w:r>
        <w:rPr>
          <w:rFonts w:ascii="Arial" w:hAnsi="Arial" w:cs="Arial"/>
          <w:color w:val="auto"/>
          <w:spacing w:val="-14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contratante)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alterar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horário</w:t>
      </w:r>
      <w:r>
        <w:rPr>
          <w:rFonts w:ascii="Arial" w:hAnsi="Arial" w:cs="Arial"/>
          <w:color w:val="auto"/>
          <w:spacing w:val="-14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de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início</w:t>
      </w:r>
      <w:r>
        <w:rPr>
          <w:rFonts w:ascii="Arial" w:hAnsi="Arial" w:cs="Arial"/>
          <w:color w:val="auto"/>
          <w:spacing w:val="-14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do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show</w:t>
      </w:r>
      <w:r>
        <w:rPr>
          <w:rFonts w:ascii="Arial" w:hAnsi="Arial" w:cs="Arial"/>
          <w:color w:val="auto"/>
          <w:spacing w:val="-1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e</w:t>
      </w:r>
      <w:r>
        <w:rPr>
          <w:rFonts w:ascii="Arial" w:hAnsi="Arial" w:cs="Arial"/>
          <w:color w:val="auto"/>
          <w:spacing w:val="-14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duração do mesmo conforme </w:t>
      </w:r>
      <w:r>
        <w:rPr>
          <w:rFonts w:ascii="Arial" w:hAnsi="Arial" w:cs="Arial"/>
          <w:sz w:val="22"/>
          <w:szCs w:val="22"/>
        </w:rPr>
        <w:t xml:space="preserve">trâmites</w:t>
      </w:r>
      <w:r>
        <w:rPr>
          <w:rFonts w:ascii="Arial" w:hAnsi="Arial" w:cs="Arial"/>
          <w:color w:val="auto"/>
          <w:sz w:val="22"/>
          <w:szCs w:val="22"/>
        </w:rPr>
        <w:t xml:space="preserve"> do contrato, e/ou ofertar outras atividades </w:t>
      </w:r>
      <w:r>
        <w:rPr>
          <w:rFonts w:ascii="Arial" w:hAnsi="Arial" w:cs="Arial"/>
          <w:sz w:val="22"/>
          <w:szCs w:val="22"/>
        </w:rPr>
        <w:t xml:space="preserve">d</w:t>
      </w:r>
      <w:r>
        <w:rPr>
          <w:rFonts w:ascii="Arial" w:hAnsi="Arial" w:cs="Arial"/>
          <w:color w:val="auto"/>
          <w:sz w:val="22"/>
          <w:szCs w:val="22"/>
        </w:rPr>
        <w:t xml:space="preserve">entro do valor pactuado diretamente com a produção do evento do Município. Deverá a contratada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executar</w:t>
      </w:r>
      <w:r>
        <w:rPr>
          <w:rFonts w:ascii="Arial" w:hAnsi="Arial" w:cs="Arial"/>
          <w:color w:val="auto"/>
          <w:spacing w:val="-4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todas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os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compromissos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assumidos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fielmente,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a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fim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de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garantir</w:t>
      </w:r>
      <w:r>
        <w:rPr>
          <w:rFonts w:ascii="Arial" w:hAnsi="Arial" w:cs="Arial"/>
          <w:color w:val="auto"/>
          <w:spacing w:val="-5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a eficiência e qualidade </w:t>
      </w:r>
      <w:r>
        <w:rPr>
          <w:rFonts w:ascii="Arial" w:hAnsi="Arial" w:cs="Arial"/>
          <w:sz w:val="22"/>
          <w:szCs w:val="22"/>
        </w:rPr>
        <w:t xml:space="preserve">do trabalho.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Manutenção e/ou Assistência Técnica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É obrigação da empresa o dever pela execução e assistência técnica do serviço, as suas responsabilidades são transporte dos próprios os instrumentos, organização do espaço, montagem e desmontagem dos equipamentos.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Da indicação de Marcas ou Modelos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Não se aplica.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Da vedação de Marcas e Modelos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Não se aplica.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/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Da exigência de Amostras</w:t>
      </w:r>
      <w:r>
        <w:rPr>
          <w:rStyle w:val="956"/>
          <w:rFonts w:ascii="Arial" w:hAnsi="Arial" w:cs="Arial"/>
          <w:color w:val="auto"/>
          <w:sz w:val="22"/>
          <w:szCs w:val="22"/>
        </w:rPr>
        <w:t xml:space="preserve"> </w:t>
      </w:r>
      <w:r/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Não se aplica.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Possíveis Impactos Ambientais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Vislumbram-se impactos ambientais provenientes desta contratação, mencionados na tabela abaixo, juntamente às medidas de tratamento a serem adotadas pela contratada:</w:t>
      </w:r>
      <w:r>
        <w:rPr>
          <w:rFonts w:ascii="Arial" w:hAnsi="Arial"/>
        </w:rPr>
      </w:r>
      <w:r>
        <w:rPr>
          <w:rFonts w:ascii="Arial" w:hAnsi="Arial"/>
        </w:rPr>
      </w:r>
    </w:p>
    <w:tbl>
      <w:tblPr>
        <w:tblW w:w="5000" w:type="pct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76"/>
        <w:gridCol w:w="4677"/>
      </w:tblGrid>
      <w:tr>
        <w:trPr/>
        <w:tc>
          <w:tcPr>
            <w:shd w:val="clear" w:color="auto" w:fill="e7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6" w:type="dxa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Calibri" w:cs="Arial"/>
                <w:b/>
                <w:bCs/>
                <w:sz w:val="22"/>
                <w:szCs w:val="22"/>
              </w:rPr>
              <w:t xml:space="preserve">IMPACTO AMBIENTAL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shd w:val="clear" w:color="auto" w:fill="e7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Calibri" w:cs="Arial"/>
                <w:b/>
                <w:bCs/>
                <w:sz w:val="22"/>
                <w:szCs w:val="22"/>
              </w:rPr>
              <w:t xml:space="preserve">MEDIDA DE TRATAMENTO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6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spacing/>
              <w:ind/>
              <w:rPr>
                <w:rFonts w:ascii="Arial" w:hAnsi="Arial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Consumo elevado de energia dado o uso intensivo de eletricidade para iluminação, sistemas de som e equipamentos.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  <w:p>
            <w:pPr>
              <w:pStyle w:val="1005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ascii="Arial" w:hAnsi="Arial" w:eastAsia="Calibri"/>
                <w:sz w:val="22"/>
                <w:szCs w:val="22"/>
              </w:rPr>
            </w:pPr>
            <w:r>
              <w:rPr>
                <w:rFonts w:ascii="Arial" w:hAnsi="Arial" w:eastAsia="Calibri"/>
                <w:sz w:val="22"/>
                <w:szCs w:val="22"/>
              </w:rPr>
            </w:r>
            <w:r>
              <w:rPr>
                <w:rFonts w:ascii="Arial" w:hAnsi="Arial" w:eastAsia="Calibri"/>
                <w:sz w:val="22"/>
                <w:szCs w:val="22"/>
              </w:rPr>
            </w:r>
            <w:r>
              <w:rPr>
                <w:rFonts w:ascii="Arial" w:hAnsi="Arial" w:eastAsia="Calibri"/>
                <w:sz w:val="22"/>
                <w:szCs w:val="22"/>
              </w:rPr>
            </w:r>
          </w:p>
          <w:p>
            <w:pPr>
              <w:pStyle w:val="1005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Calibri"/>
                <w:sz w:val="22"/>
                <w:szCs w:val="22"/>
              </w:rPr>
              <w:t xml:space="preserve">Inicialmente, o consumo de energia é uma preocupação primordial, dado o </w:t>
            </w:r>
            <w:r>
              <w:rPr>
                <w:rFonts w:ascii="Arial" w:hAnsi="Arial" w:eastAsia="Calibri"/>
                <w:sz w:val="22"/>
                <w:szCs w:val="22"/>
              </w:rPr>
              <w:t xml:space="preserve">uso intensivo de eletricidade para iluminação, sistemas de som e equipamentos. Para mitigar isso, os organizadores podem optar por tecnologias mais eficientes em termos energéticos, como iluminação LED de baixo consumo e sistemas de som de alta eficiência.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  <w:p>
            <w:pPr>
              <w:pStyle w:val="1005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Calibri"/>
                <w:sz w:val="22"/>
                <w:szCs w:val="22"/>
              </w:rPr>
              <w:t xml:space="preserve">A geração de res</w:t>
            </w:r>
            <w:r>
              <w:rPr>
                <w:rFonts w:ascii="Arial" w:hAnsi="Arial" w:eastAsia="Calibri"/>
                <w:sz w:val="22"/>
                <w:szCs w:val="22"/>
              </w:rPr>
              <w:t xml:space="preserve">íduos é outro problema comum, com grandes quantidades de copos plásticos, embalagens e materiais descartáveis resultantes desses eventos. A solução inclui a implementação de práticas de gestão de resíduos, como a disponibilização de coletores de lixo por t</w:t>
            </w:r>
            <w:r>
              <w:rPr>
                <w:rFonts w:ascii="Arial" w:hAnsi="Arial" w:eastAsia="Calibri"/>
                <w:sz w:val="22"/>
                <w:szCs w:val="22"/>
              </w:rPr>
              <w:t xml:space="preserve">odo o evento e limpeza efetiva do local diariamente a fim de evitar acúmulos de lixo. Também é importante utilizar de campanhas de conscientização para incentivar o público a adotar medidas para reduzir o desperdício e depositar o lixo nos locais corretos.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  <w:p>
            <w:pPr>
              <w:pStyle w:val="1005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after="120" w:before="120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Calibri" w:cs="Arial"/>
                <w:sz w:val="22"/>
                <w:szCs w:val="22"/>
              </w:rPr>
              <w:t xml:space="preserve">A poluição sonora é uma preocup</w:t>
            </w:r>
            <w:r>
              <w:rPr>
                <w:rFonts w:ascii="Arial" w:hAnsi="Arial" w:eastAsia="Calibri" w:cs="Arial"/>
                <w:sz w:val="22"/>
                <w:szCs w:val="22"/>
              </w:rPr>
              <w:t xml:space="preserve">ação especialmente em shows ao ar livre, afetando tanto o ambiente quanto as comunidades vizinhas. Para minimizar esse impacto, é fundamental respeitar os horários de realização dos shows, evitando perturbar o sono e sossego dos moradores das proximidades.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Calibri" w:cs="Arial"/>
                <w:sz w:val="22"/>
                <w:szCs w:val="22"/>
              </w:rPr>
              <w:t xml:space="preserve">Em síntese, os impactos ambientais causados por shows podem ser expressivos, mas existem soluções à disposição para abordá-los de maneira eficaz. A adoção de</w:t>
            </w:r>
            <w:r>
              <w:rPr>
                <w:rFonts w:ascii="Arial" w:hAnsi="Arial" w:eastAsia="Calibri" w:cs="Arial"/>
                <w:sz w:val="22"/>
                <w:szCs w:val="22"/>
              </w:rPr>
              <w:t xml:space="preserve"> práticas sustentáveis e a conscientização do público são passos cruciais em direção a eventos mais eco-friendly e socialmente responsáveis, o que deve ser adotado pelo demandante em cooperação com as Secretarias: infraestrutura, Urbanismo e Meio Ambiente.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  <w:p>
            <w:pPr>
              <w:pStyle w:val="913"/>
              <w:widowControl w:val="false"/>
              <w:pBdr/>
              <w:tabs>
                <w:tab w:val="left" w:leader="none" w:pos="0"/>
                <w:tab w:val="left" w:leader="none" w:pos="567"/>
                <w:tab w:val="clear" w:leader="none" w:pos="709"/>
                <w:tab w:val="left" w:leader="none" w:pos="851"/>
              </w:tabs>
              <w:spacing w:line="276" w:lineRule="auto"/>
              <w:ind/>
              <w:jc w:val="both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ascii="Arial" w:hAnsi="Arial" w:eastAsia="Calibri" w:cs="Arial"/>
                <w:sz w:val="22"/>
                <w:szCs w:val="22"/>
              </w:rPr>
            </w:r>
            <w:r>
              <w:rPr>
                <w:rFonts w:ascii="Arial" w:hAnsi="Arial" w:eastAsia="Calibri" w:cs="Arial"/>
                <w:sz w:val="22"/>
                <w:szCs w:val="22"/>
              </w:rPr>
            </w:r>
            <w:r>
              <w:rPr>
                <w:rFonts w:ascii="Arial" w:hAnsi="Arial" w:eastAsia="Calibri" w:cs="Arial"/>
                <w:sz w:val="22"/>
                <w:szCs w:val="22"/>
              </w:rPr>
            </w:r>
          </w:p>
        </w:tc>
      </w:tr>
    </w:tbl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Orientações complementares acerca da sustentabilidade da prestação almejada poderão ser repassadas pela fiscalização competente.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Das Condições de Recebimento: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Recebimento Provisório</w:t>
      </w:r>
      <w:bookmarkStart w:id="1" w:name="_Hlk172042171"/>
      <w:r/>
      <w:bookmarkEnd w:id="1"/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3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Provisoriamente, a partir da entrega, para efeito de verificação da conformidade com as especificações deste termo de referência, da proposta do fornecedor e Contrato quando couber.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Recebimento Definitivo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3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Definitivamente, após a verificação da conformidade com as especificações constantes no termo de referência, da proposta do fornecedor e Contrato quando couber, e sua consequente aceitação.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3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Na hipótese de a verificação a que se refere o subitem anterior não ser procedida dentro do prazo fixado, reputar-se-á como realizada, consumando-se o recebimento definitivo no dia do esgotamento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do prazo.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3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O serviço poderá ser rejeitado, no todo ou em parte, quando em desacordo com as especificações contidas neste Termo de Referência, na proposta do fornecedor e no Contrato, quando couber.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3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O recebimento provisório ou definitivo do objeto não exclui a responsabilidade da contratada pelos prejuízos decorrentes da incorreta execução do contrato.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Da Subcontratação: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A contratada não poderá transferir ou subcontratar, ceder ou subempreitar, total ou parcialmente, a qualquer título, os direitos e obrigações decorrentes desta contratação.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Das Obrigações da Contratada: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 contratada deve assumir o compromisso e responsabilizar-se pela sua presença no evento, no Parque de Eventos Olmiro Brandão sito a </w:t>
      </w:r>
      <w:r>
        <w:rPr>
          <w:rFonts w:ascii="Arial" w:hAnsi="Arial" w:eastAsia="MS Mincho;ＭＳ 明朝" w:cs="Arial"/>
          <w:color w:val="000000"/>
          <w:sz w:val="22"/>
          <w:szCs w:val="22"/>
          <w:lang w:eastAsia="ar-SA"/>
        </w:rPr>
        <w:t xml:space="preserve">Rua Passo do Caí;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Não transferir a outrem a execução do objeto e demais obrigações avançadas;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Entregar o (s) objeto (s) de acordo com as especificações exigidas no termo de referência e contrato na forma, local e dentro do prazo determinado;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Manter, durante toda execução do Contrato, em compatibilidade com as obrigações por ela assumidas, todas as condições de habilitação e qualificação exigidas na licitação;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Responsabilizar-se por todos os custos, diretos e indiretos, que incidem na execução do objeto;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Reparar, corrigir, remover, reconstruir ou substituir, às suas expensas, no total ou em parte, o objeto que vier a ser recusado em razão de vícios, defeitos ou incorreções resultantes de sua execução ou de materiais e produtos nela empregados;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Responsabilizar-se pelos danos causados diretamente à Administração ou a terceiros em razão da execução do objeto;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Responsabilizar-se pelo pagamento dos encargos tributários, sociais, fiscais, trabalhistas, previdenciários, securitários e de gerenciamento, resultantes do fornecimento do objeto;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Cumprir com a reserva de cargos prevista em lei para pessoa com deficiência ou para reabilitado da Previdência Social e que, se aplicado ao número de funcionários da minha empresa, atendo às regras de acessibilidade previstas na legislação;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 contratada deverá oferecer, cachê artístico, hospedagem, transporte aéreo e terrestre, transporte local: vans ou carro executivo, alimentação (diárias), carregadores e abastecimento de camarins;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 contratada se responsabiliza pela presença da Banda, com no mínimo 30 (trinta) minutos de antecedência do horário marcado para o início da apresentação, no Parque Olmiro Brandão, Rua Passo do Caí S/N</w:t>
      </w:r>
      <w:r>
        <w:rPr>
          <w:rFonts w:ascii="Arial" w:hAnsi="Arial" w:eastAsia="MS Mincho;ＭＳ 明朝" w:cs="Arial"/>
          <w:sz w:val="26"/>
          <w:szCs w:val="22"/>
          <w:lang w:eastAsia="ar-SA"/>
        </w:rPr>
        <w:t xml:space="preserve">º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, para fazer sua apresentação, salvo as situações de caso fortuito ou força maior (enchentes, queda de barre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iras que impeçam a passagem da rodovia dos membros da equipe, catástrofes, qualquer doença ou mal súbito, ou algum problema grave) que impeça qualquer um dos artistas de comparecer, o que ocasionará a escolha de outra data para a realização do espetáculo.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Vistoria: A empresa tem o direito de fazer a vistoria local antes do início dos eventos.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Das Obrigações da Contratante: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Designar servidor para exercer a função de fiscalização e acompanhamento da execução da ata de registro de preços e/ou contrato;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Receber o objeto no prazo e condições estabelecidas;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Efetuar o pagamento à proponente vencedora no valor correspondente ao fornecimento/execução do objeto, no prazo e forma estabelecidos no contrato;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Emitir a Solicitação e a respectiva Nota de Empenho e comunicar à contratada para que efetue a entrega do bem ou prestação do serviço;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Caberá ainda a contratante o Fornecimento de palco, a contratação de empresa se sonorização, iluminação, conforme Rider e segurança para os músicos e ECAD.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Promover condições para a execução dos serviços, objeto deste contrato;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Assegurar À CONTRATADA os esclarecimentos que eventualmente venham a ser solicitados;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Empenhar os recursos necessários, garantindo os pagamentos das notas fiscais, respeitada a ordem cronológica;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Fiscalizar a prestação dos serviços, por meio da secretaria contratante, comunicando à CONTRATADA quaisquer fatos que necessitem de sua imediata intervenção;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clear" w:leader="none" w:pos="709"/>
          <w:tab w:val="left" w:leader="none" w:pos="851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Publicar o extrato do contrato e de seus aditivos, se ocorrerem, nos sites públicos, conforme exigido pela legislação;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0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 MODELO DE EXECUÇÃO DO OBJETO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Das condições de execução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As parcelas serão entregues nos seguintes prazos e condições: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color w:val="auto"/>
          <w:sz w:val="22"/>
          <w:szCs w:val="22"/>
        </w:rPr>
        <w:t xml:space="preserve">Caso não seja possível iniciar a execução dos serviços na data assinalada, o contratado d</w:t>
      </w:r>
      <w:r>
        <w:rPr>
          <w:rFonts w:ascii="Arial" w:hAnsi="Arial" w:cs="Arial"/>
          <w:color w:val="auto"/>
          <w:sz w:val="22"/>
          <w:szCs w:val="22"/>
        </w:rPr>
        <w:t xml:space="preserve">everá comunicar ao Fiscal do Contrato das razões respectivas, com pelo menos 5 (cinco) dias de antecedência, para que qualquer pleito de prorrogação de prazo seja analisado pela Secretaria requisitante, ressalvadas situações de caso fortuito e força maior.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Da descrição detalhada dos serviços a serem prestados e rotinas a serem cumpridas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  <w:color w:val="ed0000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A prestação do serviço compreende apresentação artística com duração de 1h30m, que ocorrerá no Parque Olmiro Brandão, conforme descrição do objeto supra citado, de modo a compor as atrações do Aniversário da Cidade em  2025, do município</w:t>
      </w:r>
      <w:r>
        <w:rPr>
          <w:rFonts w:ascii="Arial" w:hAnsi="Arial" w:eastAsia="MS Mincho;ＭＳ 明朝" w:cs="Arial"/>
          <w:color w:val="ed0000"/>
          <w:sz w:val="22"/>
          <w:szCs w:val="22"/>
          <w:lang w:eastAsia="ar-SA"/>
        </w:rPr>
        <w:t xml:space="preserve">.</w:t>
      </w:r>
      <w:r>
        <w:rPr>
          <w:rFonts w:ascii="Arial" w:hAnsi="Arial"/>
          <w:color w:val="ed0000"/>
        </w:rPr>
      </w:r>
      <w:r>
        <w:rPr>
          <w:rFonts w:ascii="Arial" w:hAnsi="Arial"/>
          <w:color w:val="ed0000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Dos locais da prest</w:t>
      </w:r>
      <w:r>
        <w:rPr>
          <w:rFonts w:ascii="Arial" w:hAnsi="Arial" w:cs="Arial"/>
          <w:b/>
          <w:bCs/>
          <w:sz w:val="22"/>
          <w:szCs w:val="22"/>
        </w:rPr>
        <w:t xml:space="preserve">ação de serviço e contatos dos responsáveis pelos estabelecimentos.</w:t>
      </w:r>
      <w:r>
        <w:rPr>
          <w:rFonts w:ascii="Arial" w:hAnsi="Arial"/>
        </w:rPr>
      </w:r>
      <w:r>
        <w:rPr>
          <w:rFonts w:ascii="Arial" w:hAnsi="Arial"/>
        </w:rPr>
      </w:r>
    </w:p>
    <w:tbl>
      <w:tblPr>
        <w:tblW w:w="9750" w:type="dxa"/>
        <w:jc w:val="center"/>
        <w:tblInd w:w="0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71"/>
        <w:gridCol w:w="3343"/>
        <w:gridCol w:w="3198"/>
        <w:gridCol w:w="1737"/>
      </w:tblGrid>
      <w:tr>
        <w:trPr/>
        <w:tc>
          <w:tcPr>
            <w:shd w:val="clear" w:color="auto" w:fill="d4d4d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1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after="0" w:before="120"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Secretaria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shd w:val="clear" w:color="auto" w:fill="d4d4d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3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after="0" w:before="120"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Local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shd w:val="clear" w:color="auto" w:fill="d4d4d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98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after="0" w:before="120"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Endereço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shd w:val="clear" w:color="auto" w:fill="d4d4d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37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after="0" w:before="120"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Contato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1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SMELCT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3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PARQUE OLMIRO BRANDÃO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98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PASSO DO CAI S/N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37" w:type="dxa"/>
            <w:vAlign w:val="center"/>
            <w:textDirection w:val="lrTb"/>
            <w:noWrap w:val="false"/>
          </w:tcPr>
          <w:p>
            <w:pPr>
              <w:pStyle w:val="913"/>
              <w:widowControl w:val="false"/>
              <w:pBdr/>
              <w:tabs>
                <w:tab w:val="clear" w:leader="none" w:pos="709"/>
                <w:tab w:val="left" w:leader="none" w:pos="851"/>
              </w:tabs>
              <w:spacing w:line="276" w:lineRule="auto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 w:eastAsia="MS Mincho;ＭＳ 明朝" w:cs="Arial"/>
                <w:b/>
                <w:sz w:val="22"/>
                <w:szCs w:val="22"/>
                <w:lang w:eastAsia="ar-SA"/>
              </w:rPr>
              <w:t xml:space="preserve">Vagner 51 999309151</w: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</w:r>
          </w:p>
        </w:tc>
      </w:tr>
    </w:tbl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Dos horários da prestação dos serviços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75"/>
        <w:numPr>
          <w:ilvl w:val="2"/>
          <w:numId w:val="6"/>
        </w:numPr>
        <w:pBdr/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O evento será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promovido</w:t>
      </w:r>
      <w:r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pela </w:t>
      </w:r>
      <w:r>
        <w:rPr>
          <w:rFonts w:ascii="Arial" w:hAnsi="Arial" w:cs="Arial"/>
          <w:sz w:val="22"/>
          <w:szCs w:val="22"/>
        </w:rPr>
        <w:t xml:space="preserve">Secretaria de Esportes, Lazer, Cultura e Turismo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(Smelct), a empresa será comunicada</w:t>
      </w:r>
      <w:r>
        <w:rPr>
          <w:rFonts w:ascii="Arial" w:hAnsi="Arial" w:eastAsia="MS Mincho;ＭＳ 明朝" w:cs="Arial"/>
          <w:spacing w:val="1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pelos</w:t>
      </w:r>
      <w:r>
        <w:rPr>
          <w:rFonts w:ascii="Arial" w:hAnsi="Arial" w:eastAsia="MS Mincho;ＭＳ 明朝" w:cs="Arial"/>
          <w:spacing w:val="-5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servidores</w:t>
      </w:r>
      <w:r>
        <w:rPr>
          <w:rFonts w:ascii="Arial" w:hAnsi="Arial" w:eastAsia="MS Mincho;ＭＳ 明朝" w:cs="Arial"/>
          <w:spacing w:val="-4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responsáveis,</w:t>
      </w:r>
      <w:r>
        <w:rPr>
          <w:rFonts w:ascii="Arial" w:hAnsi="Arial" w:eastAsia="MS Mincho;ＭＳ 明朝" w:cs="Arial"/>
          <w:spacing w:val="2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no</w:t>
      </w:r>
      <w:r>
        <w:rPr>
          <w:rFonts w:ascii="Arial" w:hAnsi="Arial" w:eastAsia="MS Mincho;ＭＳ 明朝" w:cs="Arial"/>
          <w:spacing w:val="-3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mínimo</w:t>
      </w:r>
      <w:r>
        <w:rPr>
          <w:rFonts w:ascii="Arial" w:hAnsi="Arial" w:eastAsia="MS Mincho;ＭＳ 明朝" w:cs="Arial"/>
          <w:spacing w:val="2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7(sete)</w:t>
      </w:r>
      <w:r>
        <w:rPr>
          <w:rFonts w:ascii="Arial" w:hAnsi="Arial" w:eastAsia="MS Mincho;ＭＳ 明朝" w:cs="Arial"/>
          <w:spacing w:val="-7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dias</w:t>
      </w:r>
      <w:r>
        <w:rPr>
          <w:rFonts w:ascii="Arial" w:hAnsi="Arial" w:eastAsia="MS Mincho;ＭＳ 明朝" w:cs="Arial"/>
          <w:spacing w:val="-4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antes</w:t>
      </w:r>
      <w:r>
        <w:rPr>
          <w:rFonts w:ascii="Arial" w:hAnsi="Arial" w:eastAsia="MS Mincho;ＭＳ 明朝" w:cs="Arial"/>
          <w:spacing w:val="-5"/>
          <w:sz w:val="22"/>
          <w:szCs w:val="22"/>
          <w:lang w:eastAsia="ar-SA"/>
        </w:rPr>
        <w:t xml:space="preserve"> 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do show.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75"/>
        <w:numPr>
          <w:ilvl w:val="2"/>
          <w:numId w:val="6"/>
        </w:numPr>
        <w:pBdr/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A banda contratada realizará um Show baile Artístico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 xml:space="preserve">com duração de 1h30m.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Dos materiais e equipamentos a serem disponibilizados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A prefeitura disponibilizará a sonorização, iluminação, palco e demais estruturas para a apresentação artística.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color w:val="auto"/>
          <w:sz w:val="22"/>
          <w:szCs w:val="22"/>
          <w:lang w:eastAsia="ar-SA"/>
        </w:rPr>
        <w:t xml:space="preserve">A CONTRATADA deverá arcar com todos os custos com hospedagem, alimentação, transporte, tributos e tudo que venha a incidir de custos adicionais relativos a apresentação artísticas.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pBdr/>
        <w:tabs>
          <w:tab w:val="left" w:leader="none" w:pos="567"/>
          <w:tab w:val="clear" w:leader="none" w:pos="709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0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DOS DOCUMENTOS RELATIVOS À HABILITAÇÃO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after="0" w:before="120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Os documentos necessários e suficientes para demonstrar a capacidade Jurídica, Fiscal, Social, Trabalhista e Econômico-financeira serão indicados no Edital;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Dos documentos relativos a Qualificação Técnica: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Contrato Social da contratante atualizado;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Inscrição no Cadastro de Pessoas Físicas (CPF) ou no Cadastro Nacional da Pessoa Jurídica (CNPJ);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Inscrição no cadastro de contribuintes estadual e/ou municipal, se houver, relativo ao domicílio ou sede do licitante, pertinente ao seu ramo de atividade e compatível com o objeto contratual;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Regularidade perante a Fazenda federal, estadual e/ou municipal do domicílio ou sede do licitante, ou outra equivalente, na forma da lei;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Regularidade relativa à Seguridade Social e ao FGTS, que demonstre cumprimento dos encargos sociais instituídos por lei;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Regularidade perante a justiça do Trabalho, cumprimento do disposto no inciso XXXIII do art. 7º da Constituição Federal;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Certidão negativa de feitos sobre falência expedida pelo distribuidor da sede do licitante;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 w:cs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lang w:eastAsia="ar-SA"/>
        </w:rPr>
        <w:t xml:space="preserve">Comprovação de profissional do setor artístico (contratação direta ou empresário exclusivo), apresentar a comprovação da consagração pela crítica especializada e pela opinião pú</w:t>
      </w:r>
      <w:r>
        <w:rPr>
          <w:rFonts w:ascii="Arial" w:hAnsi="Arial" w:eastAsia="Arial" w:cs="Arial"/>
          <w:bCs/>
          <w:color w:val="auto"/>
          <w:sz w:val="22"/>
          <w:szCs w:val="22"/>
          <w:lang w:eastAsia="ar-SA"/>
        </w:rPr>
        <w:t xml:space="preserve">blica (cópia de cap</w:t>
      </w:r>
      <w:r>
        <w:rPr>
          <w:rFonts w:ascii="Arial" w:hAnsi="Arial" w:eastAsia="Arial" w:cs="Arial"/>
          <w:bCs/>
          <w:color w:val="auto"/>
          <w:sz w:val="22"/>
          <w:szCs w:val="22"/>
          <w:lang w:eastAsia="ar-SA"/>
        </w:rPr>
        <w:t xml:space="preserve">a de CD, anúncios de jornais sobre o artista, cartazes ou folders inserindo o profissional numa determinada programação de evento, declarações fornecidas por órgãos ligados ao setor dando conta de apresentações anteriores do profissional a ser contratado).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A escolha da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Banda Bailaço </w:t>
      </w:r>
      <w:r>
        <w:rPr>
          <w:rFonts w:ascii="Arial" w:hAnsi="Arial" w:eastAsia="Arial" w:cs="Arial"/>
          <w:sz w:val="22"/>
          <w:szCs w:val="22"/>
        </w:rPr>
        <w:t xml:space="preserve">deve-se à sua notória especialização e ao grande apelo popular, o que garante a ampliação do alcance cultural e a valorização da tradição musical local. Além disso, a banda foi indicada por ser a única que atende aos requisitos a</w:t>
      </w:r>
      <w:r>
        <w:rPr>
          <w:rFonts w:ascii="Arial" w:hAnsi="Arial" w:eastAsia="Arial" w:cs="Arial"/>
          <w:sz w:val="22"/>
          <w:szCs w:val="22"/>
        </w:rPr>
        <w:t xml:space="preserve">rtísticos e culturais especificados para o evento.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1006"/>
        <w:pBdr/>
        <w:tabs>
          <w:tab w:val="left" w:leader="none" w:pos="567"/>
          <w:tab w:val="clear" w:leader="none" w:pos="709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Cs/>
          <w:color w:val="auto"/>
          <w:sz w:val="22"/>
          <w:szCs w:val="22"/>
          <w:highlight w:val="none"/>
          <w:lang w:eastAsia="ar-SA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pBdr/>
        <w:tabs>
          <w:tab w:val="left" w:leader="none" w:pos="567"/>
          <w:tab w:val="clear" w:leader="none" w:pos="709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06"/>
        <w:pBdr/>
        <w:tabs>
          <w:tab w:val="left" w:leader="none" w:pos="567"/>
          <w:tab w:val="clear" w:leader="none" w:pos="709"/>
        </w:tabs>
        <w:spacing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0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 GESTÃO E FISCALIZAÇÃO DO CONTRATO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Das orientações gerais da fiscalização contratual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O contrato deverá ser executado fielmente pelas partes, de acordo com as cláusulas avençadas e as normas da Lei nº 14.133, de 2021, e cada parte responderá pelas consequências de sua inexecução total ou parcial;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Dos responsáveis pela fiscalização e Gestão do Contrato: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Gestor do Contrato: Vagner Machado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Fiscal: Administrativo: Clandio Santos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Do gestor do contrato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2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  <w:lang w:eastAsia="ar-SA"/>
        </w:rPr>
        <w:t xml:space="preserve">O gestor entrará em contato com a banda e acertará todos trâmites para a realização do evento.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sz w:val="22"/>
          <w:szCs w:val="22"/>
          <w:lang w:eastAsia="ar-SA"/>
        </w:rPr>
        <w:t xml:space="preserve">Do Fiscal do Contrato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2"/>
          <w:numId w:val="6"/>
        </w:numPr>
        <w:pBdr/>
        <w:tabs>
          <w:tab w:val="left" w:leader="none" w:pos="567"/>
          <w:tab w:val="clear" w:leader="none" w:pos="709"/>
        </w:tabs>
        <w:spacing w:line="360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 fiscal fiscalizará a documentação da banda e durante a realização do evento.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360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0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DOS CRITÉRIOS DE PAGAMENTO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Aprovada a execução do objeto e comprovada a manutenção das condições de habilitação do licitante, a Nota será encaminhado à Secretaria Municipal de Finanças Públicas. 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 pagamento será efetuado em até 30 (trinta) dias após o recebimento definitivo e aprovação da fatura, pelo servidor responsável pela fiscalização do contrato e pelo Secretário Municipal solicitante.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 licitant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e deverá obrigatoriamente informar nas Notas Fiscais de fatura, em local de fácil visualização, a identificação do presente Pregão Eletrônico, a fim de acelerar o trâmite de recebimento dos produtos e posterior liberação do documento fiscal para pagamento.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 pagamento deverá ser efetuado mediante a apresentação de Nota Fiscal ou da Fatura pelo licitante, a indicação do número do Processo Licitatório e sua modalidade e ser acompanhada de todos os documentos necessário ao seu pagamento;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 CNPJ do licitante constante na Nota Fiscal de fatura deverá ser o mesmo da documentação apresentada no processo licitatório, bem como a empresa deverá possuir conta bancária vinculada a este CNPJ para fins de recebimento dos valores.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Em se tratando de prestação de serviços, quando do pagamento, será retido, do valor da contratação, todas as retenções tributárias, como ISSQN e INSS, conforme legislação vigente.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É assegurado ao Município o direito de efetuar retenções tributárias incidentes sobre a relação contratual previstas na legislação.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 valor devido ao licitan</w:t>
      </w: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te vencedor, não sendo pago no prazo estabelecido, e desde que o atraso decorra de responsabilidade do Município, será corrigido segundo a variação do IPCA, acumulado no período que mediar entre a data prevista para pagamento e a data do efetivo pagamento.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Para efeito de desconto de eventuais faltas dos funcionários do licitante, será considerado o período mensal a que se refere a prestação dos serviços.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O pagamento será efetuado por serviço efetivamente prestado e aceito.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sz w:val="22"/>
          <w:szCs w:val="22"/>
          <w:lang w:eastAsia="ar-SA"/>
        </w:rPr>
        <w:t xml:space="preserve">A glosa do pagamento durante a execução contratual, sem prejuízo das sanções cabíveis, só deverá ocorrer quando o licitante: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1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Não produzir os resultados, deixar de executar, ou não executar as atividades com a qualidade mínima exigida no contrato;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1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Deixar de utilizar materiais e recursos humanos exigidos para a execução do serviço, ou utilizá-los com qualidade ou quantidade inferior à demandada. 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1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É condição para o pagamento da Nota Fiscal/Fatura, o fornecimento por original, cópia ou qualquer outro meio admitido pela Administração, os documentos relacionados abaixo, os quais deverão ficar arquivados junto ao contratante: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1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Certidão de regularidade fiscal Federal, Estadual, Municipal;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1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Certidão de regularidade trabalhista;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1"/>
          <w:numId w:val="6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Certidão de regularidade do FGTS.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7"/>
        <w:numPr>
          <w:ilvl w:val="0"/>
          <w:numId w:val="0"/>
        </w:numPr>
        <w:pBdr/>
        <w:tabs>
          <w:tab w:val="left" w:leader="none" w:pos="0"/>
          <w:tab w:val="left" w:leader="none" w:pos="567"/>
          <w:tab w:val="clear" w:leader="none" w:pos="851"/>
        </w:tabs>
        <w:spacing w:after="0" w:before="0" w:line="276" w:lineRule="auto"/>
        <w:ind w:firstLine="0" w:left="0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0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  <w:t xml:space="preserve">DA DOTAÇÃO ORÇAMENTÁRIA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numPr>
          <w:ilvl w:val="1"/>
          <w:numId w:val="6"/>
        </w:numPr>
        <w:pBdr/>
        <w:tabs>
          <w:tab w:val="left" w:leader="none" w:pos="567"/>
          <w:tab w:val="clear" w:leader="none" w:pos="709"/>
        </w:tabs>
        <w:spacing w:line="276" w:lineRule="auto"/>
        <w:ind w:firstLine="0" w:left="0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 xml:space="preserve">As despesas e custeio do objeto deste contrato, serão subsidiadas com recursos consignados na seguinte Dotação Orçamentária: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highlight w:val="none"/>
        </w:rPr>
      </w:r>
      <w:r>
        <w:rPr>
          <w:rFonts w:ascii="Arial" w:hAnsi="Arial" w:cs="Arial"/>
          <w:color w:val="auto"/>
        </w:rPr>
      </w:r>
      <w:r>
        <w:rPr>
          <w:rFonts w:ascii="Arial" w:hAnsi="Arial" w:cs="Arial"/>
          <w:color w:val="auto"/>
        </w:rPr>
      </w:r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>
          <w:rFonts w:ascii="Arial" w:hAnsi="Arial" w:cs="Arial"/>
          <w:color w:val="auto"/>
          <w:highlight w:val="none"/>
        </w:rPr>
      </w:pPr>
      <w:r>
        <w:rPr>
          <w:rFonts w:ascii="Arial" w:hAnsi="Arial" w:cs="Arial"/>
          <w:color w:val="auto"/>
        </w:rPr>
        <w:t xml:space="preserve">Órgão: 15</w:t>
      </w:r>
      <w:r>
        <w:rPr>
          <w:rFonts w:ascii="Arial" w:hAnsi="Arial" w:cs="Arial"/>
          <w:color w:val="auto"/>
          <w:highlight w:val="none"/>
        </w:rPr>
      </w:r>
      <w:r>
        <w:rPr>
          <w:rFonts w:ascii="Arial" w:hAnsi="Arial" w:cs="Arial"/>
          <w:color w:val="auto"/>
          <w:highlight w:val="none"/>
        </w:rPr>
      </w:r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/>
      </w:pPr>
      <w:r>
        <w:rPr>
          <w:rFonts w:ascii="Arial" w:hAnsi="Arial" w:cs="Arial"/>
          <w:color w:val="auto"/>
        </w:rPr>
        <w:t xml:space="preserve">Secretaria Municipal de Esportes, Lazer, Cultura e Turismo</w:t>
      </w:r>
      <w:r/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/>
      </w:pPr>
      <w:r>
        <w:rPr>
          <w:rFonts w:ascii="Arial" w:hAnsi="Arial" w:cs="Arial"/>
          <w:color w:val="auto"/>
        </w:rPr>
        <w:t xml:space="preserve">Unidade: 001</w:t>
      </w:r>
      <w:r/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/>
      </w:pPr>
      <w:r>
        <w:rPr>
          <w:rFonts w:ascii="Arial" w:hAnsi="Arial" w:cs="Arial"/>
          <w:color w:val="auto"/>
        </w:rPr>
        <w:t xml:space="preserve">Ação: 2097 </w:t>
      </w:r>
      <w:r/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/>
      </w:pPr>
      <w:r>
        <w:rPr>
          <w:rFonts w:ascii="Arial" w:hAnsi="Arial" w:cs="Arial"/>
          <w:color w:val="auto"/>
        </w:rPr>
        <w:t xml:space="preserve">Elemento: 33390390000000000000 – Outros serviços de pessoa jurídica</w:t>
      </w:r>
      <w:r/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/>
      </w:pPr>
      <w:r>
        <w:rPr>
          <w:rFonts w:ascii="Arial" w:hAnsi="Arial" w:cs="Arial"/>
          <w:color w:val="auto"/>
        </w:rPr>
        <w:t xml:space="preserve">Referência Dotação: 1816</w:t>
      </w:r>
      <w:r/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>
          <w:rFonts w:ascii="Arial" w:hAnsi="Arial"/>
        </w:rPr>
      </w:pPr>
      <w:r>
        <w:rPr>
          <w:rFonts w:ascii="Arial" w:hAnsi="Arial" w:cs="Arial"/>
          <w:color w:val="auto"/>
        </w:rPr>
        <w:t xml:space="preserve">Recurso: 15000001 – Recurso Livre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1019"/>
        <w:pBdr/>
        <w:tabs>
          <w:tab w:val="clear" w:leader="none" w:pos="709"/>
          <w:tab w:val="left" w:leader="none" w:pos="1680"/>
        </w:tabs>
        <w:spacing w:line="276" w:lineRule="auto"/>
        <w:ind w:firstLine="0" w:left="851"/>
        <w:jc w:val="both"/>
        <w:rPr>
          <w:rFonts w:ascii="Arial" w:hAnsi="Arial" w:eastAsia="MS Mincho;ＭＳ 明朝" w:cs="Arial"/>
          <w:b/>
          <w:bCs/>
          <w:color w:val="auto"/>
          <w:lang w:eastAsia="ar-SA"/>
        </w:rPr>
      </w:pPr>
      <w:r>
        <w:rPr>
          <w:rFonts w:ascii="Arial" w:hAnsi="Arial" w:eastAsia="MS Mincho;ＭＳ 明朝" w:cs="Arial"/>
          <w:b/>
          <w:bCs/>
          <w:color w:val="auto"/>
          <w:lang w:eastAsia="ar-SA"/>
        </w:rPr>
      </w:r>
      <w:r>
        <w:rPr>
          <w:rFonts w:ascii="Arial" w:hAnsi="Arial" w:eastAsia="MS Mincho;ＭＳ 明朝" w:cs="Arial"/>
          <w:b/>
          <w:bCs/>
          <w:color w:val="auto"/>
          <w:lang w:eastAsia="ar-SA"/>
        </w:rPr>
      </w:r>
      <w:r>
        <w:rPr>
          <w:rFonts w:ascii="Arial" w:hAnsi="Arial" w:eastAsia="MS Mincho;ＭＳ 明朝" w:cs="Arial"/>
          <w:b/>
          <w:bCs/>
          <w:color w:val="auto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center"/>
        <w:rPr>
          <w:rFonts w:ascii="Arial" w:hAnsi="Arial"/>
        </w:rPr>
      </w:pPr>
      <w:r/>
      <w:bookmarkStart w:id="2" w:name="_Hlk177046214"/>
      <w:r/>
      <w:bookmarkEnd w:id="2"/>
      <w:r>
        <w:rPr>
          <w:rFonts w:ascii="Arial" w:hAnsi="Arial" w:cs="Arial"/>
          <w:sz w:val="22"/>
          <w:szCs w:val="22"/>
        </w:rPr>
        <w:t xml:space="preserve">_____________________________________________________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center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 xml:space="preserve">Eduardo Ivanowski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center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 xml:space="preserve">Secretaria Municipal de Esporte, Lazer, Cultura e Turismo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center"/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center"/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pP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  <w:r>
        <w:rPr>
          <w:rFonts w:ascii="Arial" w:hAnsi="Arial" w:eastAsia="MS Mincho;ＭＳ 明朝" w:cs="Arial"/>
          <w:b/>
          <w:bCs/>
          <w:sz w:val="22"/>
          <w:szCs w:val="22"/>
          <w:lang w:eastAsia="ar-SA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center"/>
        <w:rPr>
          <w:rFonts w:ascii="Arial" w:hAnsi="Arial"/>
        </w:rPr>
      </w:pPr>
      <w:r>
        <w:rPr>
          <w:rFonts w:ascii="Arial" w:hAnsi="Arial" w:cs="Arial"/>
          <w:sz w:val="22"/>
          <w:szCs w:val="22"/>
        </w:rPr>
        <w:t xml:space="preserve">_____________________________________________________</w:t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line="276" w:lineRule="auto"/>
        <w:ind/>
        <w:jc w:val="center"/>
        <w:rPr>
          <w:rFonts w:ascii="Arial" w:hAnsi="Arial"/>
        </w:rPr>
      </w:pPr>
      <w:r/>
      <w:bookmarkStart w:id="3" w:name="_Hlk143607850"/>
      <w:r>
        <w:rPr>
          <w:rFonts w:ascii="Arial" w:hAnsi="Arial" w:cs="Arial"/>
          <w:sz w:val="22"/>
          <w:szCs w:val="22"/>
        </w:rPr>
        <w:t xml:space="preserve">Responsável pelo Termo de Referência</w:t>
      </w:r>
      <w:bookmarkEnd w:id="3"/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bookmarkStart w:id="5" w:name="_Hlk177046214"/>
      <w:r/>
      <w:bookmarkEnd w:id="5"/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p>
      <w:pPr>
        <w:pStyle w:val="913"/>
        <w:pBdr/>
        <w:tabs>
          <w:tab w:val="clear" w:leader="none" w:pos="709"/>
          <w:tab w:val="left" w:leader="none" w:pos="851"/>
        </w:tabs>
        <w:spacing w:after="0" w:before="120" w:line="276" w:lineRule="auto"/>
        <w:ind/>
        <w:jc w:val="both"/>
        <w:rPr>
          <w:rFonts w:ascii="Arial" w:hAnsi="Arial"/>
        </w:rPr>
      </w:pPr>
      <w:r>
        <w:rPr>
          <w:rFonts w:ascii="Arial" w:hAnsi="Arial"/>
        </w:rPr>
      </w:r>
      <w:r>
        <w:rPr>
          <w:rFonts w:ascii="Arial" w:hAnsi="Arial"/>
        </w:rPr>
      </w:r>
      <w:r>
        <w:rPr>
          <w:rFonts w:ascii="Arial" w:hAnsi="Arial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701" w:right="1134" w:bottom="1702" w:left="1418" w:header="426" w:footer="567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MS Gothic;ＭＳ ゴシック">
    <w:panose1 w:val="020B0609070205080204"/>
  </w:font>
  <w:font w:name="Tahoma">
    <w:panose1 w:val="020B0604030504040204"/>
  </w:font>
  <w:font w:name="SimSun;宋体">
    <w:panose1 w:val="02010600030101010101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Liberation Serif;Times New Roma">
    <w:panose1 w:val="02000603000000000000"/>
  </w:font>
  <w:font w:name="Symbol">
    <w:panose1 w:val="05050102010706020507"/>
  </w:font>
  <w:font w:name="MS Mincho;ＭＳ 明朝">
    <w:panose1 w:val="02000603000000000000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Arial Unicode MS">
    <w:panose1 w:val="020B0604020202020204"/>
  </w:font>
  <w:font w:name="NSimSun">
    <w:panose1 w:val="02010609030101010101"/>
  </w:font>
  <w:font w:name="Liberation Sans">
    <w:panose1 w:val="020B0604020202020204"/>
  </w:font>
  <w:font w:name="Lucida Sans">
    <w:panose1 w:val="020B0602030504020204"/>
  </w:font>
  <w:font w:name="Wingdings">
    <w:panose1 w:val="05000000000000000000"/>
  </w:font>
  <w:font w:name="Liberation Serif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6"/>
      <w:pBdr/>
      <w:spacing w:line="360" w:lineRule="auto"/>
      <w:ind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Hélio Fraga de Moraes Sarmento, 64 – Fone (51) </w:t>
    </w:r>
    <w:r>
      <w:rPr>
        <w:rFonts w:ascii="Arial" w:hAnsi="Arial" w:cs="Arial"/>
        <w:color w:val="000000"/>
        <w:sz w:val="18"/>
        <w:szCs w:val="18"/>
      </w:rPr>
      <w:t xml:space="preserve">34792200</w:t>
    </w:r>
    <w:r>
      <w:rPr>
        <w:rFonts w:ascii="Arial" w:hAnsi="Arial" w:cs="Arial"/>
        <w:sz w:val="18"/>
        <w:szCs w:val="18"/>
      </w:rPr>
      <w:t xml:space="preserve"> – CEP 92480-000 – Nova Santa Rita – RS</w:t>
    </w:r>
    <w:r>
      <w:rPr>
        <w:rFonts w:ascii="Arial" w:hAnsi="Arial" w:cs="Arial"/>
        <w:sz w:val="18"/>
        <w:szCs w:val="18"/>
      </w:rPr>
    </w:r>
    <w:r>
      <w:rPr>
        <w:rFonts w:ascii="Arial" w:hAnsi="Arial" w:cs="Arial"/>
        <w:sz w:val="18"/>
        <w:szCs w:val="18"/>
      </w:rPr>
    </w:r>
  </w:p>
  <w:p>
    <w:pPr>
      <w:pStyle w:val="976"/>
      <w:pBdr/>
      <w:spacing w:line="360" w:lineRule="auto"/>
      <w:ind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</w:t>
    </w:r>
    <w:hyperlink r:id="rId1" w:tooltip="mailto:gp.prefeitura@novasantarita.rs.gov.br" w:history="1">
      <w:r>
        <w:rPr>
          <w:rStyle w:val="948"/>
          <w:rFonts w:ascii="Arial" w:hAnsi="Arial" w:cs="Arial"/>
          <w:sz w:val="18"/>
          <w:szCs w:val="18"/>
        </w:rPr>
        <w:t xml:space="preserve">gp.prefeitura@novasantarita.rs.gov.br</w:t>
      </w:r>
    </w:hyperlink>
    <w:r>
      <w:rPr>
        <w:rFonts w:ascii="Arial" w:hAnsi="Arial" w:cs="Arial"/>
        <w:sz w:val="18"/>
        <w:szCs w:val="18"/>
      </w:rPr>
      <w:t xml:space="preserve">  site:</w:t>
    </w:r>
    <w:hyperlink r:id="rId2" w:tooltip="http://www.novasantarita.rs.gov.br/" w:history="1">
      <w:r>
        <w:rPr>
          <w:rStyle w:val="948"/>
          <w:rFonts w:ascii="Arial" w:hAnsi="Arial" w:cs="Arial"/>
          <w:sz w:val="18"/>
          <w:szCs w:val="18"/>
        </w:rPr>
        <w:t xml:space="preserve">www.novasantarita.rs.gov.br</w:t>
      </w:r>
    </w:hyperlink>
    <w:r>
      <w:rPr>
        <w:rFonts w:ascii="Arial" w:hAnsi="Arial" w:cs="Arial"/>
        <w:sz w:val="18"/>
        <w:szCs w:val="18"/>
      </w:rPr>
      <w:t xml:space="preserve"> CNPJ: 94.309.291/0001-48</w:t>
    </w:r>
    <w:r>
      <w:rPr>
        <w:rFonts w:ascii="Arial" w:hAnsi="Arial" w:cs="Arial"/>
        <w:sz w:val="18"/>
        <w:szCs w:val="18"/>
      </w:rPr>
    </w:r>
    <w:r>
      <w:rPr>
        <w:rFonts w:ascii="Arial" w:hAnsi="Arial" w:cs="Arial"/>
        <w:sz w:val="18"/>
        <w:szCs w:val="18"/>
      </w:rPr>
    </w:r>
  </w:p>
  <w:p>
    <w:pPr>
      <w:pStyle w:val="976"/>
      <w:pBdr/>
      <w:spacing w:line="360" w:lineRule="auto"/>
      <w:ind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</w:r>
    <w:r>
      <w:rPr>
        <w:rFonts w:ascii="Arial" w:hAnsi="Arial" w:cs="Arial"/>
        <w:sz w:val="18"/>
        <w:szCs w:val="18"/>
      </w:rPr>
    </w:r>
    <w:r>
      <w:rPr>
        <w:rFonts w:ascii="Arial" w:hAnsi="Arial" w:cs="Arial"/>
        <w:sz w:val="18"/>
        <w:szCs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5"/>
      <w:pBdr/>
      <w:tabs>
        <w:tab w:val="left" w:leader="none" w:pos="3975"/>
        <w:tab w:val="clear" w:leader="none" w:pos="4419"/>
        <w:tab w:val="clear" w:leader="none" w:pos="8838"/>
      </w:tabs>
      <w:spacing w:line="360" w:lineRule="auto"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647700" cy="771525"/>
              <wp:effectExtent l="0" t="0" r="0" b="0"/>
              <wp:docPr id="1" name="Imagem 7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7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47700" cy="7715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00pt;height:60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620260" cy="838200"/>
              <wp:effectExtent l="0" t="0" r="0" b="0"/>
              <wp:docPr id="2" name="Imagem 6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m 6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4620260" cy="838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63.80pt;height:66.00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  <w:p>
    <w:pPr>
      <w:pStyle w:val="975"/>
      <w:pBdr/>
      <w:tabs>
        <w:tab w:val="left" w:leader="none" w:pos="3975"/>
        <w:tab w:val="clear" w:leader="none" w:pos="4419"/>
        <w:tab w:val="clear" w:leader="none" w:pos="8838"/>
      </w:tabs>
      <w:spacing w:line="360" w:lineRule="auto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14"/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15"/>
      <w:rPr/>
      <w:start w:val="1"/>
      <w:suff w:val="nothing"/>
    </w:lvl>
    <w:lvl w:ilvl="2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16"/>
      <w:rPr/>
      <w:start w:val="1"/>
      <w:suff w:val="nothing"/>
    </w:lvl>
    <w:lvl w:ilvl="3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pStyle w:val="917"/>
      <w:rPr/>
      <w:start w:val="1"/>
      <w:suff w:val="nothing"/>
    </w:lvl>
    <w:lvl w:ilvl="4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pStyle w:val="1009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999"/>
      </w:pPr>
      <w:rPr>
        <w:b w:val="0"/>
        <w:i w:val="0"/>
        <w:strike w:val="0"/>
        <w:color w:val="000000"/>
        <w:sz w:val="20"/>
        <w:szCs w:val="20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1781"/>
      </w:pPr>
      <w:rPr>
        <w:rFonts w:ascii="Arial" w:hAnsi="Arial" w:cs="Arial"/>
        <w:b w:val="0"/>
        <w:i w:val="0"/>
        <w:strike w:val="0"/>
        <w:color w:val="000000"/>
        <w:sz w:val="20"/>
        <w:szCs w:val="2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2491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%1"/>
      <w:numFmt w:val="decimalZero"/>
      <w:pPr>
        <w:pBdr/>
        <w:tabs>
          <w:tab w:val="num" w:leader="none" w:pos="540"/>
        </w:tabs>
        <w:spacing/>
        <w:ind w:hanging="540" w:left="540"/>
      </w:pPr>
      <w:pStyle w:val="1016"/>
      <w:rPr/>
      <w:start w:val="3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</w:abstractNum>
  <w:abstractNum w:abstractNumId="3">
    <w:lvl w:ilvl="0">
      <w:isLgl w:val="false"/>
      <w:lvlJc w:val="left"/>
      <w:lvlText w:val="%1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2"/>
      <w:suff w:val="tab"/>
    </w:lvl>
    <w:lvl w:ilvl="1">
      <w:isLgl w:val="false"/>
      <w:lvlJc w:val="left"/>
      <w:lvlText w:val="%1.%2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2">
      <w:isLgl w:val="false"/>
      <w:lvlJc w:val="left"/>
      <w:lvlText w:val="%1.%2.%3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0"/>
        </w:tabs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0"/>
        </w:tabs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444" w:left="444"/>
      </w:pPr>
      <w:pStyle w:val="1017"/>
      <w:rPr>
        <w:rFonts w:eastAsia="MS Mincho;ＭＳ 明朝"/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44" w:left="444"/>
      </w:pPr>
      <w:rPr>
        <w:rFonts w:eastAsia="MS Mincho;ＭＳ 明朝"/>
        <w:b w:val="0"/>
        <w:bCs/>
        <w:color w:val="auto"/>
        <w:sz w:val="24"/>
        <w:szCs w:val="24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720" w:left="720"/>
      </w:pPr>
      <w:rPr>
        <w:rFonts w:ascii="Liberation Serif;Times New Roma" w:hAnsi="Liberation Serif;Times New Roma" w:eastAsia="MS Mincho;ＭＳ 明朝" w:cs="Times New Roman"/>
        <w:b w:val="0"/>
        <w:bCs/>
        <w:color w:val="000000"/>
        <w:sz w:val="24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720" w:left="720"/>
      </w:pPr>
      <w:rPr>
        <w:rFonts w:eastAsia="MS Mincho;ＭＳ 明朝"/>
        <w:b w:val="0"/>
        <w:bCs w:val="0"/>
        <w:sz w:val="24"/>
        <w:szCs w:val="24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1080" w:left="1080"/>
      </w:pPr>
      <w:rPr>
        <w:rFonts w:eastAsia="MS Mincho;ＭＳ 明朝"/>
        <w:b/>
      </w:rPr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1080" w:left="1080"/>
      </w:pPr>
      <w:rPr>
        <w:rFonts w:eastAsia="MS Mincho;ＭＳ 明朝"/>
        <w:b/>
      </w:rPr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440" w:left="1440"/>
      </w:pPr>
      <w:rPr>
        <w:rFonts w:eastAsia="MS Mincho;ＭＳ 明朝"/>
        <w:b/>
      </w:rPr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440" w:left="1440"/>
      </w:pPr>
      <w:rPr>
        <w:rFonts w:eastAsia="MS Mincho;ＭＳ 明朝"/>
        <w:b/>
      </w:rPr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800" w:left="1800"/>
      </w:pPr>
      <w:rPr>
        <w:rFonts w:eastAsia="MS Mincho;ＭＳ 明朝"/>
        <w:b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>
        <w:rFonts w:ascii="Arial" w:hAnsi="Arial"/>
        <w:b/>
        <w:sz w:val="22"/>
        <w:szCs w:val="22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432" w:left="716"/>
      </w:pPr>
      <w:rPr>
        <w:rFonts w:ascii="Arial" w:hAnsi="Arial"/>
        <w:b w:val="0"/>
        <w:bCs/>
        <w:color w:val="auto"/>
        <w:sz w:val="20"/>
        <w:szCs w:val="20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504" w:left="646"/>
      </w:pPr>
      <w:rPr>
        <w:rFonts w:ascii="Arial" w:hAnsi="Arial"/>
        <w:b w:val="0"/>
        <w:bCs/>
        <w:i w:val="0"/>
        <w:iCs w:val="0"/>
        <w:color w:val="auto"/>
        <w:sz w:val="20"/>
        <w:szCs w:val="2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648" w:left="1728"/>
      </w:pPr>
      <w:rPr>
        <w:rFonts w:ascii="Arial" w:hAnsi="Arial"/>
        <w:b w:val="0"/>
        <w:bCs w:val="0"/>
        <w:sz w:val="20"/>
        <w:szCs w:val="20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92" w:left="2232"/>
      </w:pPr>
      <w:rPr>
        <w:b w:val="0"/>
        <w:bCs/>
      </w:rPr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936" w:left="2736"/>
      </w:pPr>
      <w:rPr>
        <w:b/>
      </w:rPr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3240"/>
      </w:pPr>
      <w:rPr>
        <w:b/>
      </w:rPr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224" w:left="3744"/>
      </w:pPr>
      <w:rPr>
        <w:b/>
      </w:rPr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4320"/>
      </w:pPr>
      <w:rPr>
        <w:b/>
      </w:rPr>
      <w:start w:val="1"/>
      <w:suff w:val="tab"/>
    </w:lvl>
  </w:abstractNum>
  <w:abstractNum w:abstractNumId="6">
    <w:lvl w:ilvl="0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2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3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9">
    <w:name w:val="Table Grid"/>
    <w:basedOn w:val="103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Table Grid Light"/>
    <w:basedOn w:val="103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1"/>
    <w:basedOn w:val="103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2"/>
    <w:basedOn w:val="103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"/>
    <w:basedOn w:val="10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1"/>
    <w:basedOn w:val="10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2"/>
    <w:basedOn w:val="10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3"/>
    <w:basedOn w:val="10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4"/>
    <w:basedOn w:val="10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5"/>
    <w:basedOn w:val="10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6"/>
    <w:basedOn w:val="103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1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2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3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4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5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6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1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2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3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4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5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6"/>
    <w:basedOn w:val="103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1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2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3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4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5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6"/>
    <w:basedOn w:val="103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5">
    <w:name w:val="Heading 5"/>
    <w:basedOn w:val="913"/>
    <w:next w:val="913"/>
    <w:link w:val="88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6">
    <w:name w:val="Heading 6"/>
    <w:basedOn w:val="913"/>
    <w:next w:val="913"/>
    <w:link w:val="88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7">
    <w:name w:val="Heading 7"/>
    <w:basedOn w:val="913"/>
    <w:next w:val="913"/>
    <w:link w:val="88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8">
    <w:name w:val="Heading 8"/>
    <w:basedOn w:val="913"/>
    <w:next w:val="913"/>
    <w:link w:val="88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9">
    <w:name w:val="Heading 9"/>
    <w:basedOn w:val="913"/>
    <w:next w:val="913"/>
    <w:link w:val="88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0">
    <w:name w:val="Heading 1 Char"/>
    <w:basedOn w:val="918"/>
    <w:link w:val="91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81">
    <w:name w:val="Heading 2 Char"/>
    <w:basedOn w:val="918"/>
    <w:link w:val="91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2">
    <w:name w:val="Heading 3 Char"/>
    <w:basedOn w:val="918"/>
    <w:link w:val="91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3">
    <w:name w:val="Heading 4 Char"/>
    <w:basedOn w:val="918"/>
    <w:link w:val="91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4">
    <w:name w:val="Heading 5 Char"/>
    <w:basedOn w:val="918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5">
    <w:name w:val="Heading 6 Char"/>
    <w:basedOn w:val="918"/>
    <w:link w:val="87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6">
    <w:name w:val="Heading 7 Char"/>
    <w:basedOn w:val="918"/>
    <w:link w:val="87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7">
    <w:name w:val="Heading 8 Char"/>
    <w:basedOn w:val="918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8">
    <w:name w:val="Heading 9 Char"/>
    <w:basedOn w:val="918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9">
    <w:name w:val="Title Char"/>
    <w:basedOn w:val="918"/>
    <w:link w:val="97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90">
    <w:name w:val="Subtitle"/>
    <w:basedOn w:val="913"/>
    <w:next w:val="913"/>
    <w:link w:val="89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1">
    <w:name w:val="Subtitle Char"/>
    <w:basedOn w:val="918"/>
    <w:link w:val="89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2">
    <w:name w:val="Quote"/>
    <w:basedOn w:val="913"/>
    <w:next w:val="913"/>
    <w:link w:val="89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3">
    <w:name w:val="Quote Char"/>
    <w:basedOn w:val="918"/>
    <w:link w:val="89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4">
    <w:name w:val="Intense Emphasis"/>
    <w:basedOn w:val="9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5">
    <w:name w:val="Intense Quote"/>
    <w:basedOn w:val="913"/>
    <w:next w:val="913"/>
    <w:link w:val="89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6">
    <w:name w:val="Intense Quote Char"/>
    <w:basedOn w:val="918"/>
    <w:link w:val="89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7">
    <w:name w:val="Intense Reference"/>
    <w:basedOn w:val="9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8">
    <w:name w:val="Subtle Emphasis"/>
    <w:basedOn w:val="9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9">
    <w:name w:val="Emphasis"/>
    <w:basedOn w:val="918"/>
    <w:uiPriority w:val="20"/>
    <w:qFormat/>
    <w:pPr>
      <w:pBdr/>
      <w:spacing/>
      <w:ind/>
    </w:pPr>
    <w:rPr>
      <w:i/>
      <w:iCs/>
    </w:rPr>
  </w:style>
  <w:style w:type="character" w:styleId="900">
    <w:name w:val="Subtle Reference"/>
    <w:basedOn w:val="9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1">
    <w:name w:val="Book Title"/>
    <w:basedOn w:val="91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02">
    <w:name w:val="Header Char"/>
    <w:basedOn w:val="918"/>
    <w:link w:val="975"/>
    <w:uiPriority w:val="99"/>
    <w:pPr>
      <w:pBdr/>
      <w:spacing/>
      <w:ind/>
    </w:pPr>
  </w:style>
  <w:style w:type="character" w:styleId="903">
    <w:name w:val="Footer Char"/>
    <w:basedOn w:val="918"/>
    <w:link w:val="976"/>
    <w:uiPriority w:val="99"/>
    <w:pPr>
      <w:pBdr/>
      <w:spacing/>
      <w:ind/>
    </w:pPr>
  </w:style>
  <w:style w:type="paragraph" w:styleId="904">
    <w:name w:val="footnote text"/>
    <w:basedOn w:val="913"/>
    <w:link w:val="90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5">
    <w:name w:val="Footnote Text Char"/>
    <w:basedOn w:val="918"/>
    <w:link w:val="904"/>
    <w:uiPriority w:val="99"/>
    <w:semiHidden/>
    <w:pPr>
      <w:pBdr/>
      <w:spacing/>
      <w:ind/>
    </w:pPr>
    <w:rPr>
      <w:sz w:val="20"/>
      <w:szCs w:val="20"/>
    </w:rPr>
  </w:style>
  <w:style w:type="character" w:styleId="906">
    <w:name w:val="footnote reference"/>
    <w:basedOn w:val="918"/>
    <w:uiPriority w:val="99"/>
    <w:semiHidden/>
    <w:unhideWhenUsed/>
    <w:pPr>
      <w:pBdr/>
      <w:spacing/>
      <w:ind/>
    </w:pPr>
    <w:rPr>
      <w:vertAlign w:val="superscript"/>
    </w:rPr>
  </w:style>
  <w:style w:type="paragraph" w:styleId="907">
    <w:name w:val="endnote text"/>
    <w:basedOn w:val="913"/>
    <w:link w:val="90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8">
    <w:name w:val="Endnote Text Char"/>
    <w:basedOn w:val="918"/>
    <w:link w:val="907"/>
    <w:uiPriority w:val="99"/>
    <w:semiHidden/>
    <w:pPr>
      <w:pBdr/>
      <w:spacing/>
      <w:ind/>
    </w:pPr>
    <w:rPr>
      <w:sz w:val="20"/>
      <w:szCs w:val="20"/>
    </w:rPr>
  </w:style>
  <w:style w:type="character" w:styleId="909">
    <w:name w:val="endnote reference"/>
    <w:basedOn w:val="918"/>
    <w:uiPriority w:val="99"/>
    <w:semiHidden/>
    <w:unhideWhenUsed/>
    <w:pPr>
      <w:pBdr/>
      <w:spacing/>
      <w:ind/>
    </w:pPr>
    <w:rPr>
      <w:vertAlign w:val="superscript"/>
    </w:rPr>
  </w:style>
  <w:style w:type="character" w:styleId="910">
    <w:name w:val="FollowedHyperlink"/>
    <w:basedOn w:val="9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1">
    <w:name w:val="TOC Heading"/>
    <w:uiPriority w:val="39"/>
    <w:unhideWhenUsed/>
    <w:pPr>
      <w:pBdr/>
      <w:spacing/>
      <w:ind/>
    </w:pPr>
  </w:style>
  <w:style w:type="paragraph" w:styleId="912">
    <w:name w:val="table of figures"/>
    <w:basedOn w:val="913"/>
    <w:next w:val="913"/>
    <w:uiPriority w:val="99"/>
    <w:unhideWhenUsed/>
    <w:pPr>
      <w:pBdr/>
      <w:spacing w:after="0" w:afterAutospacing="0"/>
      <w:ind/>
    </w:pPr>
  </w:style>
  <w:style w:type="paragraph" w:styleId="913" w:default="1">
    <w:name w:val="Normal"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Times New Roman" w:cs="Times New Roman"/>
      <w:color w:val="auto"/>
      <w:sz w:val="24"/>
      <w:szCs w:val="20"/>
      <w:lang w:val="pt-BR" w:eastAsia="zh-CN" w:bidi="ar-SA"/>
    </w:rPr>
  </w:style>
  <w:style w:type="paragraph" w:styleId="914">
    <w:name w:val="Heading 1"/>
    <w:basedOn w:val="913"/>
    <w:next w:val="913"/>
    <w:uiPriority w:val="9"/>
    <w:qFormat/>
    <w:pPr>
      <w:keepNext w:val="true"/>
      <w:numPr>
        <w:ilvl w:val="0"/>
        <w:numId w:val="1"/>
      </w:numPr>
      <w:pBdr/>
      <w:spacing/>
      <w:ind/>
      <w:jc w:val="center"/>
      <w:outlineLvl w:val="0"/>
    </w:pPr>
    <w:rPr>
      <w:b/>
    </w:rPr>
  </w:style>
  <w:style w:type="paragraph" w:styleId="915">
    <w:name w:val="Heading 2"/>
    <w:basedOn w:val="913"/>
    <w:next w:val="913"/>
    <w:uiPriority w:val="9"/>
    <w:semiHidden/>
    <w:unhideWhenUsed/>
    <w:qFormat/>
    <w:pPr>
      <w:keepNext w:val="true"/>
      <w:numPr>
        <w:ilvl w:val="1"/>
        <w:numId w:val="1"/>
      </w:numPr>
      <w:pBdr/>
      <w:tabs>
        <w:tab w:val="clear" w:leader="none" w:pos="709"/>
        <w:tab w:val="left" w:leader="hyphen" w:pos="7371"/>
      </w:tabs>
      <w:spacing/>
      <w:ind/>
      <w:jc w:val="both"/>
      <w:outlineLvl w:val="1"/>
    </w:pPr>
    <w:rPr>
      <w:b/>
    </w:rPr>
  </w:style>
  <w:style w:type="paragraph" w:styleId="916">
    <w:name w:val="Heading 3"/>
    <w:basedOn w:val="913"/>
    <w:next w:val="913"/>
    <w:uiPriority w:val="9"/>
    <w:semiHidden/>
    <w:unhideWhenUsed/>
    <w:qFormat/>
    <w:pPr>
      <w:keepNext w:val="true"/>
      <w:numPr>
        <w:ilvl w:val="2"/>
        <w:numId w:val="1"/>
      </w:numPr>
      <w:pBdr/>
      <w:spacing/>
      <w:ind w:right="1253" w:firstLine="0"/>
      <w:jc w:val="center"/>
      <w:outlineLvl w:val="2"/>
    </w:pPr>
    <w:rPr>
      <w:rFonts w:ascii="Arial" w:hAnsi="Arial" w:cs="Arial"/>
      <w:b/>
      <w:bCs/>
    </w:rPr>
  </w:style>
  <w:style w:type="paragraph" w:styleId="917">
    <w:name w:val="Heading 4"/>
    <w:basedOn w:val="913"/>
    <w:next w:val="913"/>
    <w:uiPriority w:val="9"/>
    <w:semiHidden/>
    <w:unhideWhenUsed/>
    <w:qFormat/>
    <w:pPr>
      <w:keepNext w:val="true"/>
      <w:numPr>
        <w:ilvl w:val="3"/>
        <w:numId w:val="1"/>
      </w:numPr>
      <w:pBdr/>
      <w:spacing/>
      <w:ind w:right="988" w:firstLine="0"/>
      <w:jc w:val="center"/>
      <w:outlineLvl w:val="3"/>
    </w:pPr>
    <w:rPr>
      <w:rFonts w:ascii="Arial" w:hAnsi="Arial" w:cs="Arial"/>
      <w:b/>
      <w:bCs/>
    </w:rPr>
  </w:style>
  <w:style w:type="character" w:styleId="918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919" w:customStyle="1">
    <w:name w:val="WW8Num2z0"/>
    <w:qFormat/>
    <w:pPr>
      <w:pBdr/>
      <w:spacing/>
      <w:ind/>
    </w:pPr>
    <w:rPr>
      <w:color w:val="auto"/>
      <w:sz w:val="24"/>
      <w:szCs w:val="24"/>
    </w:rPr>
  </w:style>
  <w:style w:type="character" w:styleId="920" w:customStyle="1">
    <w:name w:val="WW8Num3z0"/>
    <w:qFormat/>
    <w:pPr>
      <w:pBdr/>
      <w:spacing/>
      <w:ind/>
    </w:pPr>
    <w:rPr>
      <w:b/>
    </w:rPr>
  </w:style>
  <w:style w:type="character" w:styleId="921" w:customStyle="1">
    <w:name w:val="WW8Num3z1"/>
    <w:qFormat/>
    <w:pPr>
      <w:pBdr/>
      <w:spacing/>
      <w:ind/>
    </w:pPr>
    <w:rPr>
      <w:b w:val="0"/>
      <w:i w:val="0"/>
      <w:strike w:val="0"/>
      <w:color w:val="000000"/>
      <w:sz w:val="20"/>
      <w:szCs w:val="20"/>
      <w:u w:val="none"/>
    </w:rPr>
  </w:style>
  <w:style w:type="character" w:styleId="922" w:customStyle="1">
    <w:name w:val="WW8Num3z2"/>
    <w:qFormat/>
    <w:pPr>
      <w:pBdr/>
      <w:spacing/>
      <w:ind/>
    </w:pPr>
    <w:rPr>
      <w:rFonts w:ascii="Arial" w:hAnsi="Arial" w:cs="Arial"/>
      <w:b w:val="0"/>
      <w:i w:val="0"/>
      <w:strike w:val="0"/>
      <w:color w:val="000000"/>
      <w:sz w:val="20"/>
      <w:szCs w:val="20"/>
    </w:rPr>
  </w:style>
  <w:style w:type="character" w:styleId="923" w:customStyle="1">
    <w:name w:val="WW8Num4z0"/>
    <w:qFormat/>
    <w:pPr>
      <w:pBdr/>
      <w:spacing/>
      <w:ind/>
    </w:pPr>
  </w:style>
  <w:style w:type="character" w:styleId="924" w:customStyle="1">
    <w:name w:val="WW8Num5z0"/>
    <w:qFormat/>
    <w:pPr>
      <w:pBdr/>
      <w:spacing/>
      <w:ind/>
    </w:pPr>
  </w:style>
  <w:style w:type="character" w:styleId="925" w:customStyle="1">
    <w:name w:val="WW8Num6z0"/>
    <w:qFormat/>
    <w:pPr>
      <w:pBdr/>
      <w:spacing/>
      <w:ind/>
    </w:pPr>
    <w:rPr>
      <w:rFonts w:eastAsia="MS Mincho;ＭＳ 明朝"/>
      <w:b/>
    </w:rPr>
  </w:style>
  <w:style w:type="character" w:styleId="926" w:customStyle="1">
    <w:name w:val="WW8Num6z1"/>
    <w:qFormat/>
    <w:pPr>
      <w:pBdr/>
      <w:spacing/>
      <w:ind/>
    </w:pPr>
    <w:rPr>
      <w:rFonts w:eastAsia="MS Mincho;ＭＳ 明朝"/>
      <w:b w:val="0"/>
      <w:bCs/>
      <w:color w:val="auto"/>
      <w:sz w:val="24"/>
      <w:szCs w:val="24"/>
    </w:rPr>
  </w:style>
  <w:style w:type="character" w:styleId="927" w:customStyle="1">
    <w:name w:val="WW8Num6z2"/>
    <w:qFormat/>
    <w:pPr>
      <w:pBdr/>
      <w:spacing/>
      <w:ind/>
    </w:pPr>
    <w:rPr>
      <w:rFonts w:ascii="Liberation Serif;Times New Roma" w:hAnsi="Liberation Serif;Times New Roma" w:eastAsia="MS Mincho;ＭＳ 明朝" w:cs="Times New Roman"/>
      <w:b w:val="0"/>
      <w:bCs/>
      <w:color w:val="000000"/>
      <w:sz w:val="24"/>
      <w:szCs w:val="24"/>
    </w:rPr>
  </w:style>
  <w:style w:type="character" w:styleId="928" w:customStyle="1">
    <w:name w:val="WW8Num6z3"/>
    <w:qFormat/>
    <w:pPr>
      <w:pBdr/>
      <w:spacing/>
      <w:ind/>
    </w:pPr>
    <w:rPr>
      <w:rFonts w:eastAsia="MS Mincho;ＭＳ 明朝"/>
      <w:b w:val="0"/>
      <w:bCs w:val="0"/>
      <w:sz w:val="24"/>
      <w:szCs w:val="24"/>
    </w:rPr>
  </w:style>
  <w:style w:type="character" w:styleId="929" w:customStyle="1">
    <w:name w:val="WW8Num1z0"/>
    <w:qFormat/>
    <w:pPr>
      <w:pBdr/>
      <w:spacing/>
      <w:ind/>
    </w:pPr>
    <w:rPr>
      <w:rFonts w:ascii="Calibri" w:hAnsi="Calibri" w:cs="Calibri"/>
      <w:b/>
      <w:bCs/>
      <w:sz w:val="22"/>
      <w:szCs w:val="22"/>
    </w:rPr>
  </w:style>
  <w:style w:type="character" w:styleId="930" w:customStyle="1">
    <w:name w:val="WW8Num1z1"/>
    <w:qFormat/>
    <w:pPr>
      <w:pBdr/>
      <w:spacing/>
      <w:ind/>
    </w:pPr>
    <w:rPr>
      <w:b w:val="0"/>
      <w:bCs w:val="0"/>
    </w:rPr>
  </w:style>
  <w:style w:type="character" w:styleId="931" w:customStyle="1">
    <w:name w:val="WW8Num1z3"/>
    <w:qFormat/>
    <w:pPr>
      <w:pBdr/>
      <w:spacing/>
      <w:ind/>
    </w:pPr>
  </w:style>
  <w:style w:type="character" w:styleId="932" w:customStyle="1">
    <w:name w:val="WW8Num4z1"/>
    <w:qFormat/>
    <w:pPr>
      <w:pBdr/>
      <w:spacing/>
      <w:ind/>
    </w:pPr>
    <w:rPr>
      <w:b w:val="0"/>
      <w:bCs w:val="0"/>
      <w:i w:val="0"/>
      <w:iCs w:val="0"/>
    </w:rPr>
  </w:style>
  <w:style w:type="character" w:styleId="933" w:customStyle="1">
    <w:name w:val="WW8Num4z2"/>
    <w:qFormat/>
    <w:pPr>
      <w:pBdr/>
      <w:spacing/>
      <w:ind/>
    </w:pPr>
    <w:rPr>
      <w:b w:val="0"/>
      <w:bCs w:val="0"/>
    </w:rPr>
  </w:style>
  <w:style w:type="character" w:styleId="934" w:customStyle="1">
    <w:name w:val="WW8Num7z0"/>
    <w:qFormat/>
    <w:pPr>
      <w:pBdr/>
      <w:spacing/>
      <w:ind/>
    </w:pPr>
    <w:rPr>
      <w:rFonts w:eastAsia="MS Mincho;ＭＳ 明朝"/>
      <w:b/>
    </w:rPr>
  </w:style>
  <w:style w:type="character" w:styleId="935" w:customStyle="1">
    <w:name w:val="WW8Num7z1"/>
    <w:qFormat/>
    <w:pPr>
      <w:pBdr/>
      <w:spacing/>
      <w:ind/>
    </w:pPr>
    <w:rPr>
      <w:rFonts w:eastAsia="MS Mincho;ＭＳ 明朝"/>
      <w:b w:val="0"/>
      <w:bCs/>
    </w:rPr>
  </w:style>
  <w:style w:type="character" w:styleId="936" w:customStyle="1">
    <w:name w:val="WW8Num8z0"/>
    <w:qFormat/>
    <w:pPr>
      <w:pBdr/>
      <w:spacing/>
      <w:ind/>
    </w:pPr>
  </w:style>
  <w:style w:type="character" w:styleId="937" w:customStyle="1">
    <w:name w:val="WW8Num9z0"/>
    <w:qFormat/>
    <w:pPr>
      <w:pBdr/>
      <w:spacing/>
      <w:ind/>
    </w:pPr>
  </w:style>
  <w:style w:type="character" w:styleId="938" w:customStyle="1">
    <w:name w:val="WW8Num10z0"/>
    <w:qFormat/>
    <w:pPr>
      <w:pBdr/>
      <w:spacing/>
      <w:ind/>
    </w:pPr>
    <w:rPr>
      <w:rFonts w:eastAsia="MS Mincho;ＭＳ 明朝"/>
      <w:b/>
    </w:rPr>
  </w:style>
  <w:style w:type="character" w:styleId="939" w:customStyle="1">
    <w:name w:val="WW8Num10z1"/>
    <w:qFormat/>
    <w:pPr>
      <w:pBdr/>
      <w:spacing/>
      <w:ind/>
    </w:pPr>
    <w:rPr>
      <w:rFonts w:eastAsia="MS Mincho;ＭＳ 明朝"/>
      <w:b w:val="0"/>
      <w:bCs/>
      <w:color w:val="auto"/>
    </w:rPr>
  </w:style>
  <w:style w:type="character" w:styleId="940" w:customStyle="1">
    <w:name w:val="WW8Num10z2"/>
    <w:qFormat/>
    <w:pPr>
      <w:pBdr/>
      <w:spacing/>
      <w:ind/>
    </w:pPr>
    <w:rPr>
      <w:rFonts w:ascii="Times New Roman" w:hAnsi="Times New Roman" w:eastAsia="MS Mincho;ＭＳ 明朝" w:cs="Times New Roman"/>
      <w:b w:val="0"/>
      <w:bCs/>
      <w:color w:val="000000"/>
    </w:rPr>
  </w:style>
  <w:style w:type="character" w:styleId="941" w:customStyle="1">
    <w:name w:val="WW8Num10z3"/>
    <w:qFormat/>
    <w:pPr>
      <w:pBdr/>
      <w:spacing/>
      <w:ind/>
    </w:pPr>
    <w:rPr>
      <w:rFonts w:eastAsia="MS Mincho;ＭＳ 明朝"/>
      <w:b w:val="0"/>
      <w:bCs w:val="0"/>
    </w:rPr>
  </w:style>
  <w:style w:type="character" w:styleId="942" w:customStyle="1">
    <w:name w:val="WW8Num11z0"/>
    <w:qFormat/>
    <w:pPr>
      <w:pBdr/>
      <w:spacing/>
      <w:ind/>
    </w:pPr>
    <w:rPr>
      <w:rFonts w:ascii="Symbol" w:hAnsi="Symbol" w:cs="Symbol"/>
    </w:rPr>
  </w:style>
  <w:style w:type="character" w:styleId="943" w:customStyle="1">
    <w:name w:val="WW8Num11z1"/>
    <w:qFormat/>
    <w:pPr>
      <w:pBdr/>
      <w:spacing/>
      <w:ind/>
    </w:pPr>
    <w:rPr>
      <w:rFonts w:ascii="Courier New" w:hAnsi="Courier New" w:cs="Courier New"/>
    </w:rPr>
  </w:style>
  <w:style w:type="character" w:styleId="944" w:customStyle="1">
    <w:name w:val="WW8Num11z2"/>
    <w:qFormat/>
    <w:pPr>
      <w:pBdr/>
      <w:spacing/>
      <w:ind/>
    </w:pPr>
    <w:rPr>
      <w:rFonts w:ascii="Wingdings" w:hAnsi="Wingdings" w:cs="Wingdings"/>
    </w:rPr>
  </w:style>
  <w:style w:type="character" w:styleId="945" w:customStyle="1">
    <w:name w:val="WW8Num12z0"/>
    <w:qFormat/>
    <w:pPr>
      <w:pBdr/>
      <w:spacing/>
      <w:ind/>
    </w:pPr>
    <w:rPr>
      <w:rFonts w:eastAsia="Times New Roman"/>
      <w:b/>
    </w:rPr>
  </w:style>
  <w:style w:type="character" w:styleId="946" w:customStyle="1">
    <w:name w:val="WW8Num12z1"/>
    <w:qFormat/>
    <w:pPr>
      <w:pBdr/>
      <w:spacing/>
      <w:ind/>
    </w:pPr>
    <w:rPr>
      <w:rFonts w:eastAsia="Times New Roman"/>
      <w:b w:val="0"/>
      <w:bCs/>
    </w:rPr>
  </w:style>
  <w:style w:type="character" w:styleId="947" w:customStyle="1">
    <w:name w:val="WW8Num13z0"/>
    <w:qFormat/>
    <w:pPr>
      <w:pBdr/>
      <w:spacing/>
      <w:ind/>
    </w:pPr>
    <w:rPr>
      <w:rFonts w:eastAsia="Times New Roman"/>
    </w:rPr>
  </w:style>
  <w:style w:type="character" w:styleId="948">
    <w:name w:val="Hyperlink"/>
    <w:pPr>
      <w:pBdr/>
      <w:spacing/>
      <w:ind/>
    </w:pPr>
    <w:rPr>
      <w:color w:val="0000ff"/>
      <w:u w:val="single"/>
    </w:rPr>
  </w:style>
  <w:style w:type="character" w:styleId="949" w:customStyle="1">
    <w:name w:val="Texto de balão Char"/>
    <w:qFormat/>
    <w:pPr>
      <w:pBdr/>
      <w:spacing/>
      <w:ind/>
    </w:pPr>
    <w:rPr>
      <w:rFonts w:ascii="Tahoma" w:hAnsi="Tahoma" w:cs="Tahoma"/>
      <w:sz w:val="16"/>
      <w:szCs w:val="16"/>
    </w:rPr>
  </w:style>
  <w:style w:type="character" w:styleId="950" w:customStyle="1">
    <w:name w:val="Recuo de corpo de texto Char"/>
    <w:qFormat/>
    <w:pPr>
      <w:pBdr/>
      <w:spacing/>
      <w:ind/>
    </w:pPr>
    <w:rPr>
      <w:b/>
      <w:sz w:val="24"/>
    </w:rPr>
  </w:style>
  <w:style w:type="character" w:styleId="951" w:customStyle="1">
    <w:name w:val="Recuo de corpo de texto 2 Char"/>
    <w:qFormat/>
    <w:pPr>
      <w:pBdr/>
      <w:spacing/>
      <w:ind/>
    </w:pPr>
    <w:rPr>
      <w:b/>
      <w:sz w:val="24"/>
    </w:rPr>
  </w:style>
  <w:style w:type="character" w:styleId="952" w:customStyle="1">
    <w:name w:val="Título Char"/>
    <w:qFormat/>
    <w:pPr>
      <w:pBdr/>
      <w:spacing/>
      <w:ind/>
    </w:pPr>
    <w:rPr>
      <w:b/>
      <w:sz w:val="24"/>
    </w:rPr>
  </w:style>
  <w:style w:type="character" w:styleId="953" w:customStyle="1">
    <w:name w:val="fontetexto"/>
    <w:qFormat/>
    <w:pPr>
      <w:pBdr/>
      <w:spacing/>
      <w:ind/>
    </w:pPr>
  </w:style>
  <w:style w:type="character" w:styleId="954" w:customStyle="1">
    <w:name w:val="Corpo de texto Char"/>
    <w:basedOn w:val="918"/>
    <w:qFormat/>
    <w:pPr>
      <w:pBdr/>
      <w:spacing/>
      <w:ind/>
    </w:pPr>
  </w:style>
  <w:style w:type="character" w:styleId="955">
    <w:name w:val="Strong"/>
    <w:qFormat/>
    <w:pPr>
      <w:pBdr/>
      <w:spacing/>
      <w:ind/>
    </w:pPr>
    <w:rPr>
      <w:b/>
      <w:bCs/>
    </w:rPr>
  </w:style>
  <w:style w:type="character" w:styleId="956">
    <w:name w:val="annotation reference"/>
    <w:qFormat/>
    <w:pPr>
      <w:pBdr/>
      <w:spacing/>
      <w:ind/>
    </w:pPr>
    <w:rPr>
      <w:sz w:val="16"/>
      <w:szCs w:val="16"/>
    </w:rPr>
  </w:style>
  <w:style w:type="character" w:styleId="957" w:customStyle="1">
    <w:name w:val="Texto de comentário Char"/>
    <w:qFormat/>
    <w:pPr>
      <w:pBdr/>
      <w:spacing/>
      <w:ind/>
    </w:pPr>
    <w:rPr>
      <w:rFonts w:eastAsia="SimSun;宋体" w:cs="Mangal"/>
      <w:szCs w:val="18"/>
      <w:lang w:bidi="hi-IN"/>
    </w:rPr>
  </w:style>
  <w:style w:type="character" w:styleId="958" w:customStyle="1">
    <w:name w:val="Cabeçalho Char"/>
    <w:qFormat/>
    <w:pPr>
      <w:pBdr/>
      <w:spacing/>
      <w:ind/>
    </w:pPr>
    <w:rPr>
      <w:sz w:val="24"/>
    </w:rPr>
  </w:style>
  <w:style w:type="character" w:styleId="959" w:customStyle="1">
    <w:name w:val="Nivel 2 Char"/>
    <w:qFormat/>
    <w:pPr>
      <w:pBdr/>
      <w:spacing/>
      <w:ind/>
    </w:pPr>
    <w:rPr>
      <w:rFonts w:ascii="Arial" w:hAnsi="Arial" w:eastAsia="Arial" w:cs="Arial"/>
      <w:color w:val="000000"/>
    </w:rPr>
  </w:style>
  <w:style w:type="character" w:styleId="960" w:customStyle="1">
    <w:name w:val="Nivel 01 Char"/>
    <w:qFormat/>
    <w:pPr>
      <w:pBdr/>
      <w:spacing/>
      <w:ind/>
    </w:pPr>
    <w:rPr>
      <w:rFonts w:ascii="Arial" w:hAnsi="Arial" w:eastAsia="MS Gothic;ＭＳ ゴシック" w:cs="Arial"/>
      <w:b/>
      <w:bCs/>
    </w:rPr>
  </w:style>
  <w:style w:type="character" w:styleId="961" w:customStyle="1">
    <w:name w:val="ou Char"/>
    <w:qFormat/>
    <w:pPr>
      <w:pBdr/>
      <w:spacing/>
      <w:ind/>
    </w:pPr>
    <w:rPr>
      <w:rFonts w:ascii="Arial" w:hAnsi="Arial" w:eastAsia="Cambria" w:cs="Arial"/>
      <w:b/>
      <w:bCs/>
      <w:i/>
      <w:iCs/>
      <w:color w:val="ff0000"/>
      <w:szCs w:val="24"/>
      <w:u w:val="single"/>
    </w:rPr>
  </w:style>
  <w:style w:type="character" w:styleId="962" w:customStyle="1">
    <w:name w:val="Nível 2 -Red Char"/>
    <w:qFormat/>
    <w:pPr>
      <w:pBdr/>
      <w:spacing/>
      <w:ind/>
    </w:pPr>
    <w:rPr>
      <w:rFonts w:ascii="Arial" w:hAnsi="Arial" w:eastAsia="Arial" w:cs="Arial"/>
      <w:i/>
      <w:iCs/>
      <w:color w:val="ff0000"/>
    </w:rPr>
  </w:style>
  <w:style w:type="character" w:styleId="963" w:customStyle="1">
    <w:name w:val="Nível 3-R Char"/>
    <w:qFormat/>
    <w:pPr>
      <w:pBdr/>
      <w:spacing/>
      <w:ind/>
    </w:pPr>
    <w:rPr>
      <w:rFonts w:eastAsia="MS Mincho;ＭＳ 明朝"/>
      <w:color w:val="ff0000"/>
      <w:sz w:val="22"/>
      <w:szCs w:val="22"/>
    </w:rPr>
  </w:style>
  <w:style w:type="character" w:styleId="964" w:customStyle="1">
    <w:name w:val="Nível 1-Sem Num Char"/>
    <w:qFormat/>
    <w:pPr>
      <w:pBdr/>
      <w:spacing/>
      <w:ind/>
    </w:pPr>
    <w:rPr>
      <w:rFonts w:ascii="Arial" w:hAnsi="Arial" w:eastAsia="MS Gothic;ＭＳ ゴシック" w:cs="Arial"/>
      <w:b/>
      <w:bCs/>
      <w:color w:val="ff0000"/>
    </w:rPr>
  </w:style>
  <w:style w:type="character" w:styleId="965" w:customStyle="1">
    <w:name w:val="Assunto do comentário Char"/>
    <w:qFormat/>
    <w:pPr>
      <w:pBdr/>
      <w:spacing/>
      <w:ind/>
    </w:pPr>
    <w:rPr>
      <w:rFonts w:eastAsia="SimSun;宋体" w:cs="Mangal"/>
      <w:b/>
      <w:bCs/>
      <w:szCs w:val="18"/>
      <w:lang w:bidi="hi-IN"/>
    </w:rPr>
  </w:style>
  <w:style w:type="paragraph" w:styleId="966">
    <w:name w:val="Título"/>
    <w:basedOn w:val="913"/>
    <w:next w:val="967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967">
    <w:name w:val="Body Text"/>
    <w:basedOn w:val="913"/>
    <w:pPr>
      <w:pBdr/>
      <w:spacing w:after="120" w:before="0"/>
      <w:ind/>
    </w:pPr>
    <w:rPr>
      <w:sz w:val="20"/>
    </w:rPr>
  </w:style>
  <w:style w:type="paragraph" w:styleId="968">
    <w:name w:val="List"/>
    <w:basedOn w:val="967"/>
    <w:pPr>
      <w:pBdr/>
      <w:spacing/>
      <w:ind/>
    </w:pPr>
    <w:rPr>
      <w:rFonts w:cs="Lucida Sans"/>
    </w:rPr>
  </w:style>
  <w:style w:type="paragraph" w:styleId="969">
    <w:name w:val="Caption"/>
    <w:basedOn w:val="913"/>
    <w:qFormat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 w:customStyle="1">
    <w:name w:val="Índice"/>
    <w:basedOn w:val="913"/>
    <w:qFormat/>
    <w:pPr>
      <w:suppressLineNumbers w:val="true"/>
      <w:pBdr/>
      <w:spacing/>
      <w:ind/>
    </w:pPr>
    <w:rPr>
      <w:rFonts w:cs="Lucida Sans"/>
    </w:rPr>
  </w:style>
  <w:style w:type="paragraph" w:styleId="971">
    <w:name w:val="Title"/>
    <w:basedOn w:val="913"/>
    <w:next w:val="967"/>
    <w:uiPriority w:val="10"/>
    <w:qFormat/>
    <w:pPr>
      <w:pBdr/>
      <w:spacing/>
      <w:ind/>
      <w:jc w:val="center"/>
    </w:pPr>
    <w:rPr>
      <w:b/>
    </w:rPr>
  </w:style>
  <w:style w:type="paragraph" w:styleId="972">
    <w:name w:val="Caption"/>
    <w:basedOn w:val="913"/>
    <w:qFormat/>
    <w:pPr>
      <w:suppressLineNumbers w:val="true"/>
      <w:pBdr/>
      <w:spacing w:after="120" w:before="120"/>
      <w:ind/>
    </w:pPr>
    <w:rPr>
      <w:rFonts w:cs="Lucida Sans"/>
      <w:i/>
      <w:iCs/>
      <w:szCs w:val="24"/>
    </w:rPr>
  </w:style>
  <w:style w:type="paragraph" w:styleId="973">
    <w:name w:val="Body Text Indent"/>
    <w:basedOn w:val="913"/>
    <w:pPr>
      <w:pBdr/>
      <w:spacing/>
      <w:ind w:firstLine="0" w:left="4962"/>
      <w:jc w:val="both"/>
    </w:pPr>
    <w:rPr>
      <w:b/>
    </w:rPr>
  </w:style>
  <w:style w:type="paragraph" w:styleId="974" w:customStyle="1">
    <w:name w:val="Cabeçalho e Rodapé"/>
    <w:basedOn w:val="913"/>
    <w:qFormat/>
    <w:pPr>
      <w:suppressLineNumbers w:val="true"/>
      <w:pBdr/>
      <w:tabs>
        <w:tab w:val="clear" w:leader="none" w:pos="709"/>
        <w:tab w:val="center" w:leader="none" w:pos="4819"/>
        <w:tab w:val="right" w:leader="none" w:pos="9638"/>
      </w:tabs>
      <w:spacing/>
      <w:ind/>
    </w:pPr>
  </w:style>
  <w:style w:type="paragraph" w:styleId="975">
    <w:name w:val="Header"/>
    <w:basedOn w:val="913"/>
    <w:pPr>
      <w:pBdr/>
      <w:tabs>
        <w:tab w:val="clear" w:leader="none" w:pos="709"/>
        <w:tab w:val="center" w:leader="none" w:pos="4419"/>
        <w:tab w:val="right" w:leader="none" w:pos="8838"/>
      </w:tabs>
      <w:spacing/>
      <w:ind/>
    </w:pPr>
  </w:style>
  <w:style w:type="paragraph" w:styleId="976">
    <w:name w:val="Footer"/>
    <w:basedOn w:val="913"/>
    <w:pPr>
      <w:pBdr/>
      <w:tabs>
        <w:tab w:val="clear" w:leader="none" w:pos="709"/>
        <w:tab w:val="center" w:leader="none" w:pos="4419"/>
        <w:tab w:val="right" w:leader="none" w:pos="8838"/>
      </w:tabs>
      <w:spacing/>
      <w:ind/>
    </w:pPr>
  </w:style>
  <w:style w:type="paragraph" w:styleId="977">
    <w:name w:val="Body Text Indent 2"/>
    <w:basedOn w:val="913"/>
    <w:qFormat/>
    <w:pPr>
      <w:pBdr/>
      <w:tabs>
        <w:tab w:val="clear" w:leader="none" w:pos="709"/>
        <w:tab w:val="left" w:leader="none" w:pos="4253"/>
      </w:tabs>
      <w:spacing w:after="0" w:before="120"/>
      <w:ind w:firstLine="0" w:left="4253"/>
      <w:jc w:val="both"/>
    </w:pPr>
    <w:rPr>
      <w:b/>
    </w:rPr>
  </w:style>
  <w:style w:type="paragraph" w:styleId="978" w:customStyle="1">
    <w:name w:val="xl24"/>
    <w:basedOn w:val="913"/>
    <w:qFormat/>
    <w:pPr>
      <w:pBdr>
        <w:top w:val="single" w:color="000000" w:sz="8" w:space="0"/>
        <w:left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79" w:customStyle="1">
    <w:name w:val="xl25"/>
    <w:basedOn w:val="913"/>
    <w:qFormat/>
    <w:pPr>
      <w:pBdr>
        <w:top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80" w:customStyle="1">
    <w:name w:val="xl26"/>
    <w:basedOn w:val="913"/>
    <w:qFormat/>
    <w:pPr>
      <w:pBdr>
        <w:bottom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81" w:customStyle="1">
    <w:name w:val="xl27"/>
    <w:basedOn w:val="913"/>
    <w:qFormat/>
    <w:pPr>
      <w:pBdr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82" w:customStyle="1">
    <w:name w:val="xl28"/>
    <w:basedOn w:val="913"/>
    <w:qFormat/>
    <w:pPr>
      <w:pBdr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83" w:customStyle="1">
    <w:name w:val="xl29"/>
    <w:basedOn w:val="913"/>
    <w:qFormat/>
    <w:pPr>
      <w:pBdr>
        <w:top w:val="single" w:color="000000" w:sz="4" w:space="0"/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84" w:customStyle="1">
    <w:name w:val="xl30"/>
    <w:basedOn w:val="913"/>
    <w:qFormat/>
    <w:pPr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85" w:customStyle="1">
    <w:name w:val="xl31"/>
    <w:basedOn w:val="913"/>
    <w:qFormat/>
    <w:pPr>
      <w:pBdr>
        <w:top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86" w:customStyle="1">
    <w:name w:val="xl32"/>
    <w:basedOn w:val="913"/>
    <w:qFormat/>
    <w:pPr>
      <w:pBdr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szCs w:val="24"/>
    </w:rPr>
  </w:style>
  <w:style w:type="paragraph" w:styleId="987" w:customStyle="1">
    <w:name w:val="xl33"/>
    <w:basedOn w:val="913"/>
    <w:qFormat/>
    <w:pPr>
      <w:pBdr>
        <w:top w:val="single" w:color="000000" w:sz="4" w:space="0"/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szCs w:val="24"/>
    </w:rPr>
  </w:style>
  <w:style w:type="paragraph" w:styleId="988" w:customStyle="1">
    <w:name w:val="xl34"/>
    <w:basedOn w:val="913"/>
    <w:qFormat/>
    <w:pPr>
      <w:pBdr>
        <w:top w:val="single" w:color="000000" w:sz="4" w:space="0"/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szCs w:val="24"/>
    </w:rPr>
  </w:style>
  <w:style w:type="paragraph" w:styleId="989" w:customStyle="1">
    <w:name w:val="xl35"/>
    <w:basedOn w:val="913"/>
    <w:qFormat/>
    <w:pPr>
      <w:pBdr>
        <w:top w:val="single" w:color="000000" w:sz="8" w:space="0"/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90" w:customStyle="1">
    <w:name w:val="xl36"/>
    <w:basedOn w:val="913"/>
    <w:qFormat/>
    <w:pPr>
      <w:pBdr/>
      <w:spacing w:after="100" w:before="100"/>
      <w:ind/>
    </w:pPr>
    <w:rPr>
      <w:rFonts w:ascii="Arial" w:hAnsi="Arial" w:eastAsia="Arial Unicode MS" w:cs="Arial"/>
      <w:b/>
      <w:bCs/>
      <w:szCs w:val="24"/>
    </w:rPr>
  </w:style>
  <w:style w:type="paragraph" w:styleId="991" w:customStyle="1">
    <w:name w:val="xl37"/>
    <w:basedOn w:val="913"/>
    <w:qFormat/>
    <w:pPr>
      <w:pBdr/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92" w:customStyle="1">
    <w:name w:val="xl38"/>
    <w:basedOn w:val="913"/>
    <w:qFormat/>
    <w:pPr>
      <w:pBdr>
        <w:top w:val="single" w:color="000000" w:sz="8" w:space="0"/>
        <w:left w:val="single" w:color="000000" w:sz="4" w:space="0"/>
        <w:bottom w:val="single" w:color="000000" w:sz="8" w:space="0"/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93" w:customStyle="1">
    <w:name w:val="xl39"/>
    <w:basedOn w:val="913"/>
    <w:qFormat/>
    <w:pPr>
      <w:pBdr>
        <w:left w:val="single" w:color="000000" w:sz="8" w:space="0"/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94" w:customStyle="1">
    <w:name w:val="xl40"/>
    <w:basedOn w:val="913"/>
    <w:qFormat/>
    <w:pPr>
      <w:pBdr>
        <w:top w:val="single" w:color="000000" w:sz="4" w:space="0"/>
        <w:left w:val="single" w:color="000000" w:sz="8" w:space="0"/>
        <w:bottom w:val="single" w:color="000000" w:sz="4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95" w:customStyle="1">
    <w:name w:val="xl41"/>
    <w:basedOn w:val="913"/>
    <w:qFormat/>
    <w:pPr>
      <w:pBdr>
        <w:right w:val="single" w:color="000000" w:sz="8" w:space="0"/>
      </w:pBdr>
      <w:spacing w:after="100" w:before="100"/>
      <w:ind/>
      <w:jc w:val="center"/>
    </w:pPr>
    <w:rPr>
      <w:rFonts w:ascii="Arial" w:hAnsi="Arial" w:eastAsia="Arial Unicode MS" w:cs="Arial"/>
      <w:b/>
      <w:bCs/>
      <w:szCs w:val="24"/>
    </w:rPr>
  </w:style>
  <w:style w:type="paragraph" w:styleId="996" w:customStyle="1">
    <w:name w:val="xl42"/>
    <w:basedOn w:val="913"/>
    <w:qFormat/>
    <w:pPr>
      <w:pBdr>
        <w:top w:val="single" w:color="000000" w:sz="4" w:space="0"/>
        <w:left w:val="single" w:color="000000" w:sz="8" w:space="0"/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97" w:customStyle="1">
    <w:name w:val="xl43"/>
    <w:basedOn w:val="913"/>
    <w:qFormat/>
    <w:pPr>
      <w:pBdr>
        <w:top w:val="single" w:color="000000" w:sz="4" w:space="0"/>
        <w:left w:val="single" w:color="000000" w:sz="8" w:space="0"/>
        <w:bottom w:val="single" w:color="000000" w:sz="8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98" w:customStyle="1">
    <w:name w:val="xl44"/>
    <w:basedOn w:val="913"/>
    <w:qFormat/>
    <w:pPr>
      <w:pBdr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999" w:customStyle="1">
    <w:name w:val="xl45"/>
    <w:basedOn w:val="913"/>
    <w:qFormat/>
    <w:pPr>
      <w:pBdr>
        <w:top w:val="single" w:color="000000" w:sz="4" w:space="0"/>
        <w:bottom w:val="single" w:color="000000" w:sz="4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00" w:customStyle="1">
    <w:name w:val="xl46"/>
    <w:basedOn w:val="913"/>
    <w:qFormat/>
    <w:pPr>
      <w:pBdr>
        <w:top w:val="single" w:color="000000" w:sz="4" w:space="0"/>
        <w:bottom w:val="single" w:color="000000" w:sz="8" w:space="0"/>
        <w:right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01" w:customStyle="1">
    <w:name w:val="xl47"/>
    <w:basedOn w:val="913"/>
    <w:qFormat/>
    <w:pPr>
      <w:pBdr>
        <w:top w:val="single" w:color="000000" w:sz="4" w:space="0"/>
        <w:bottom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02" w:customStyle="1">
    <w:name w:val="xl48"/>
    <w:basedOn w:val="913"/>
    <w:qFormat/>
    <w:pPr>
      <w:pBdr>
        <w:top w:val="single" w:color="000000" w:sz="4" w:space="0"/>
        <w:left w:val="single" w:color="000000" w:sz="8" w:space="0"/>
        <w:bottom w:val="single" w:color="000000" w:sz="8" w:space="0"/>
      </w:pBdr>
      <w:spacing w:after="100" w:before="100"/>
      <w:ind/>
    </w:pPr>
    <w:rPr>
      <w:rFonts w:ascii="Arial" w:hAnsi="Arial" w:eastAsia="Arial Unicode MS" w:cs="Arial"/>
      <w:szCs w:val="24"/>
    </w:rPr>
  </w:style>
  <w:style w:type="paragraph" w:styleId="1003">
    <w:name w:val="Body Text Indent 3"/>
    <w:basedOn w:val="913"/>
    <w:qFormat/>
    <w:pPr>
      <w:pBdr/>
      <w:spacing w:line="360" w:lineRule="auto"/>
      <w:ind w:firstLine="1134"/>
      <w:jc w:val="both"/>
    </w:pPr>
    <w:rPr>
      <w:rFonts w:ascii="Arial" w:hAnsi="Arial" w:cs="Arial"/>
      <w:spacing w:val="10"/>
      <w:sz w:val="22"/>
    </w:rPr>
  </w:style>
  <w:style w:type="paragraph" w:styleId="1004">
    <w:name w:val="Balloon Text"/>
    <w:basedOn w:val="913"/>
    <w:qFormat/>
    <w:pPr>
      <w:pBdr/>
      <w:spacing/>
      <w:ind/>
    </w:pPr>
    <w:rPr>
      <w:rFonts w:ascii="Tahoma" w:hAnsi="Tahoma" w:cs="Tahoma"/>
      <w:sz w:val="16"/>
      <w:szCs w:val="16"/>
    </w:rPr>
  </w:style>
  <w:style w:type="paragraph" w:styleId="1005">
    <w:name w:val="Normal (Web)"/>
    <w:basedOn w:val="913"/>
    <w:qFormat/>
    <w:pPr>
      <w:pBdr/>
      <w:spacing w:after="100" w:before="100"/>
      <w:ind/>
    </w:pPr>
    <w:rPr>
      <w:szCs w:val="24"/>
    </w:rPr>
  </w:style>
  <w:style w:type="paragraph" w:styleId="1006" w:customStyle="1">
    <w:name w:val="Default"/>
    <w:qFormat/>
    <w:pPr>
      <w:widowControl w:val="true"/>
      <w:pBdr/>
      <w:bidi w:val="false"/>
      <w:spacing w:after="0" w:before="0"/>
      <w:ind/>
      <w:jc w:val="left"/>
    </w:pPr>
    <w:rPr>
      <w:rFonts w:ascii="Times New Roman" w:hAnsi="Times New Roman" w:eastAsia="Arial" w:cs="Times New Roman"/>
      <w:color w:val="000000"/>
      <w:sz w:val="24"/>
      <w:szCs w:val="24"/>
      <w:lang w:val="pt-BR" w:eastAsia="zh-CN" w:bidi="ar-SA"/>
    </w:rPr>
  </w:style>
  <w:style w:type="paragraph" w:styleId="1007" w:customStyle="1">
    <w:name w:val="Text body"/>
    <w:basedOn w:val="913"/>
    <w:qFormat/>
    <w:pPr>
      <w:widowControl w:val="false"/>
      <w:pBdr/>
      <w:spacing w:after="120" w:before="0"/>
      <w:ind/>
    </w:pPr>
    <w:rPr>
      <w:rFonts w:eastAsia="SimSun;宋体" w:cs="Tahoma"/>
      <w:szCs w:val="24"/>
      <w:lang w:bidi="hi-IN"/>
    </w:rPr>
  </w:style>
  <w:style w:type="paragraph" w:styleId="1008">
    <w:name w:val="annotation text"/>
    <w:basedOn w:val="913"/>
    <w:qFormat/>
    <w:pPr>
      <w:widowControl w:val="false"/>
      <w:pBdr/>
      <w:spacing/>
      <w:ind/>
    </w:pPr>
    <w:rPr>
      <w:rFonts w:eastAsia="SimSun;宋体" w:cs="Mangal"/>
      <w:sz w:val="20"/>
      <w:szCs w:val="18"/>
      <w:lang w:bidi="hi-IN"/>
    </w:rPr>
  </w:style>
  <w:style w:type="paragraph" w:styleId="1009" w:customStyle="1">
    <w:name w:val="Nivel 01"/>
    <w:basedOn w:val="914"/>
    <w:next w:val="913"/>
    <w:qFormat/>
    <w:pPr>
      <w:keepLines w:val="true"/>
      <w:numPr>
        <w:ilvl w:val="0"/>
        <w:numId w:val="2"/>
      </w:numPr>
      <w:pBdr/>
      <w:tabs>
        <w:tab w:val="left" w:leader="none" w:pos="0"/>
        <w:tab w:val="left" w:leader="none" w:pos="360"/>
        <w:tab w:val="left" w:leader="none" w:pos="540"/>
        <w:tab w:val="clear" w:leader="none" w:pos="709"/>
        <w:tab w:val="left" w:leader="none" w:pos="1418"/>
      </w:tabs>
      <w:spacing w:after="120" w:before="240"/>
      <w:ind w:firstLine="567" w:left="0"/>
      <w:jc w:val="both"/>
      <w:outlineLvl w:val="9"/>
    </w:pPr>
    <w:rPr>
      <w:rFonts w:ascii="Arial" w:hAnsi="Arial" w:eastAsia="MS Gothic;ＭＳ ゴシック" w:cs="Arial"/>
      <w:bCs/>
      <w:sz w:val="20"/>
    </w:rPr>
  </w:style>
  <w:style w:type="paragraph" w:styleId="1010" w:customStyle="1">
    <w:name w:val="Nivel 2"/>
    <w:basedOn w:val="913"/>
    <w:qFormat/>
    <w:pPr>
      <w:pBdr/>
      <w:tabs>
        <w:tab w:val="left" w:leader="none" w:pos="0"/>
        <w:tab w:val="clear" w:leader="none" w:pos="709"/>
        <w:tab w:val="left" w:leader="none" w:pos="851"/>
        <w:tab w:val="left" w:leader="none" w:pos="1418"/>
      </w:tabs>
      <w:spacing w:after="120" w:before="120"/>
      <w:ind/>
      <w:jc w:val="both"/>
    </w:pPr>
    <w:rPr>
      <w:rFonts w:ascii="Arial" w:hAnsi="Arial" w:eastAsia="Arial" w:cs="Arial"/>
      <w:color w:val="000000"/>
      <w:sz w:val="20"/>
    </w:rPr>
  </w:style>
  <w:style w:type="paragraph" w:styleId="1011" w:customStyle="1">
    <w:name w:val="Nivel 3"/>
    <w:basedOn w:val="913"/>
    <w:qFormat/>
    <w:pPr>
      <w:pBdr/>
      <w:tabs>
        <w:tab w:val="left" w:leader="none" w:pos="0"/>
        <w:tab w:val="left" w:leader="none" w:pos="567"/>
        <w:tab w:val="left" w:leader="none" w:pos="709"/>
        <w:tab w:val="left" w:leader="none" w:pos="1418"/>
      </w:tabs>
      <w:spacing w:after="120" w:before="120" w:line="276" w:lineRule="auto"/>
      <w:ind w:hanging="360" w:left="360"/>
      <w:jc w:val="both"/>
    </w:pPr>
    <w:rPr>
      <w:rFonts w:ascii="Arial" w:hAnsi="Arial" w:eastAsia="MS Mincho;ＭＳ 明朝" w:cs="Arial"/>
      <w:color w:val="000000"/>
      <w:sz w:val="20"/>
    </w:rPr>
  </w:style>
  <w:style w:type="paragraph" w:styleId="1012" w:customStyle="1">
    <w:name w:val="Nivel 4"/>
    <w:basedOn w:val="1011"/>
    <w:qFormat/>
    <w:pPr>
      <w:pBdr/>
      <w:spacing/>
      <w:ind w:firstLine="0" w:left="567"/>
    </w:pPr>
  </w:style>
  <w:style w:type="paragraph" w:styleId="1013" w:customStyle="1">
    <w:name w:val="Nivel 5"/>
    <w:basedOn w:val="1012"/>
    <w:qFormat/>
    <w:pPr>
      <w:pBdr/>
      <w:tabs>
        <w:tab w:val="left" w:leader="none" w:pos="0"/>
        <w:tab w:val="left" w:leader="none" w:pos="540"/>
        <w:tab w:val="left" w:leader="none" w:pos="567"/>
        <w:tab w:val="left" w:leader="none" w:pos="709"/>
        <w:tab w:val="left" w:leader="none" w:pos="1418"/>
      </w:tabs>
      <w:spacing/>
      <w:ind w:firstLine="0" w:left="851"/>
    </w:pPr>
  </w:style>
  <w:style w:type="paragraph" w:styleId="1014">
    <w:name w:val="List Paragraph"/>
    <w:basedOn w:val="913"/>
    <w:qFormat/>
    <w:pPr>
      <w:pBdr/>
      <w:spacing/>
      <w:ind w:firstLine="0" w:left="708"/>
    </w:pPr>
  </w:style>
  <w:style w:type="paragraph" w:styleId="1015" w:customStyle="1">
    <w:name w:val="ou"/>
    <w:basedOn w:val="1014"/>
    <w:qFormat/>
    <w:pPr>
      <w:pBdr/>
      <w:spacing w:after="60" w:before="60" w:line="252" w:lineRule="auto"/>
      <w:ind w:firstLine="0" w:left="0"/>
      <w:jc w:val="center"/>
    </w:pPr>
    <w:rPr>
      <w:rFonts w:ascii="Arial" w:hAnsi="Arial" w:eastAsia="Cambria" w:cs="Arial"/>
      <w:b/>
      <w:bCs/>
      <w:i/>
      <w:iCs/>
      <w:color w:val="ff0000"/>
      <w:sz w:val="20"/>
      <w:szCs w:val="24"/>
      <w:u w:val="single"/>
    </w:rPr>
  </w:style>
  <w:style w:type="paragraph" w:styleId="1016" w:customStyle="1">
    <w:name w:val="Nível 2 -Red"/>
    <w:basedOn w:val="1010"/>
    <w:qFormat/>
    <w:pPr>
      <w:numPr>
        <w:ilvl w:val="0"/>
        <w:numId w:val="3"/>
      </w:numPr>
      <w:pBdr/>
      <w:spacing/>
      <w:ind/>
    </w:pPr>
    <w:rPr>
      <w:i/>
      <w:iCs/>
      <w:color w:val="ff0000"/>
    </w:rPr>
  </w:style>
  <w:style w:type="paragraph" w:styleId="1017" w:customStyle="1">
    <w:name w:val="Nível 3-R"/>
    <w:basedOn w:val="1011"/>
    <w:qFormat/>
    <w:pPr>
      <w:numPr>
        <w:ilvl w:val="0"/>
        <w:numId w:val="5"/>
      </w:numPr>
      <w:pBdr/>
      <w:tabs>
        <w:tab w:val="left" w:leader="none" w:pos="0"/>
        <w:tab w:val="clear" w:leader="none" w:pos="567"/>
        <w:tab w:val="clear" w:leader="none" w:pos="709"/>
        <w:tab w:val="left" w:leader="none" w:pos="851"/>
        <w:tab w:val="clear" w:leader="none" w:pos="1418"/>
      </w:tabs>
      <w:spacing w:line="240" w:lineRule="auto"/>
      <w:ind w:firstLine="0" w:left="0"/>
    </w:pPr>
    <w:rPr>
      <w:rFonts w:ascii="Times New Roman" w:hAnsi="Times New Roman" w:cs="Times New Roman"/>
      <w:color w:val="ff0000"/>
      <w:sz w:val="22"/>
      <w:szCs w:val="22"/>
    </w:rPr>
  </w:style>
  <w:style w:type="paragraph" w:styleId="1018" w:customStyle="1">
    <w:name w:val="Nível 1-Sem Num"/>
    <w:basedOn w:val="1009"/>
    <w:qFormat/>
    <w:pPr>
      <w:numPr>
        <w:ilvl w:val="0"/>
        <w:numId w:val="0"/>
      </w:numPr>
      <w:pBdr/>
      <w:tabs>
        <w:tab w:val="left" w:leader="none" w:pos="0"/>
        <w:tab w:val="left" w:leader="none" w:pos="360"/>
        <w:tab w:val="clear" w:leader="none" w:pos="540"/>
        <w:tab w:val="left" w:leader="none" w:pos="1418"/>
      </w:tabs>
      <w:spacing/>
      <w:ind w:firstLine="567" w:left="0"/>
      <w:outlineLvl w:val="1"/>
    </w:pPr>
    <w:rPr>
      <w:color w:val="ff0000"/>
    </w:rPr>
  </w:style>
  <w:style w:type="paragraph" w:styleId="1019">
    <w:name w:val="No Spacing"/>
    <w:qFormat/>
    <w:pPr>
      <w:widowControl w:val="true"/>
      <w:pBdr/>
      <w:bidi w:val="false"/>
      <w:spacing w:after="0" w:before="0"/>
      <w:ind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1020">
    <w:name w:val="annotation subject"/>
    <w:basedOn w:val="1008"/>
    <w:next w:val="1008"/>
    <w:qFormat/>
    <w:pPr>
      <w:widowControl w:val="true"/>
      <w:pBdr/>
      <w:spacing/>
      <w:ind/>
    </w:pPr>
    <w:rPr>
      <w:rFonts w:eastAsia="Times New Roman" w:cs="Times New Roman"/>
      <w:b/>
      <w:bCs/>
      <w:szCs w:val="20"/>
      <w:lang w:bidi="ar-SA"/>
    </w:rPr>
  </w:style>
  <w:style w:type="paragraph" w:styleId="1021" w:customStyle="1">
    <w:name w:val="Conteúdo da tabela"/>
    <w:basedOn w:val="913"/>
    <w:qFormat/>
    <w:pPr>
      <w:widowControl w:val="false"/>
      <w:suppressLineNumbers w:val="true"/>
      <w:pBdr/>
      <w:spacing/>
      <w:ind/>
    </w:pPr>
  </w:style>
  <w:style w:type="paragraph" w:styleId="1022" w:customStyle="1">
    <w:name w:val="Título de tabela"/>
    <w:basedOn w:val="1021"/>
    <w:qFormat/>
    <w:pPr>
      <w:pBdr/>
      <w:spacing/>
      <w:ind/>
      <w:jc w:val="center"/>
    </w:pPr>
    <w:rPr>
      <w:b/>
      <w:bCs/>
    </w:rPr>
  </w:style>
  <w:style w:type="numbering" w:styleId="1023" w:default="1">
    <w:name w:val="No List"/>
    <w:uiPriority w:val="99"/>
    <w:semiHidden/>
    <w:unhideWhenUsed/>
    <w:qFormat/>
    <w:pPr>
      <w:pBdr/>
      <w:spacing/>
      <w:ind/>
    </w:pPr>
  </w:style>
  <w:style w:type="numbering" w:styleId="1024" w:customStyle="1">
    <w:name w:val="WW8Num1"/>
    <w:qFormat/>
    <w:pPr>
      <w:pBdr/>
      <w:spacing/>
      <w:ind/>
    </w:pPr>
  </w:style>
  <w:style w:type="numbering" w:styleId="1025" w:customStyle="1">
    <w:name w:val="WW8Num2"/>
    <w:qFormat/>
    <w:pPr>
      <w:pBdr/>
      <w:spacing/>
      <w:ind/>
    </w:pPr>
  </w:style>
  <w:style w:type="numbering" w:styleId="1026" w:customStyle="1">
    <w:name w:val="WW8Num3"/>
    <w:qFormat/>
    <w:pPr>
      <w:pBdr/>
      <w:spacing/>
      <w:ind/>
    </w:pPr>
  </w:style>
  <w:style w:type="numbering" w:styleId="1027" w:customStyle="1">
    <w:name w:val="WW8Num4"/>
    <w:qFormat/>
    <w:pPr>
      <w:pBdr/>
      <w:spacing/>
      <w:ind/>
    </w:pPr>
  </w:style>
  <w:style w:type="numbering" w:styleId="1028" w:customStyle="1">
    <w:name w:val="WW8Num5"/>
    <w:qFormat/>
    <w:pPr>
      <w:pBdr/>
      <w:spacing/>
      <w:ind/>
    </w:pPr>
  </w:style>
  <w:style w:type="numbering" w:styleId="1029" w:customStyle="1">
    <w:name w:val="WW8Num6"/>
    <w:qFormat/>
    <w:pPr>
      <w:pBdr/>
      <w:spacing/>
      <w:ind/>
    </w:pPr>
  </w:style>
  <w:style w:type="table" w:styleId="1030" w:default="1">
    <w:name w:val="Normal Table"/>
    <w:uiPriority w:val="99"/>
    <w:semiHidden/>
    <w:unhideWhenUsed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mailto:gp.prefeitura@novasantarita.rs.gov.br" TargetMode="External"/><Relationship Id="rId2" Type="http://schemas.openxmlformats.org/officeDocument/2006/relationships/hyperlink" Target="http://www.novasantarita.rs.gov.br/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ONLYOFFICE/8.1.0.169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/>
  <dc:creator>Pref. Mun. Nova Santa Rita</dc:creator>
  <dc:description/>
  <dc:language>pt-BR</dc:language>
  <cp:revision>15</cp:revision>
  <dcterms:created xsi:type="dcterms:W3CDTF">2024-09-12T16:31:00Z</dcterms:created>
  <dcterms:modified xsi:type="dcterms:W3CDTF">2025-03-05T17:57:24Z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