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67"/>
        <w:pBdr/>
        <w:tabs>
          <w:tab w:val="left" w:leader="none" w:pos="567"/>
          <w:tab w:val="clear" w:leader="none" w:pos="709"/>
        </w:tabs>
        <w:spacing w:after="360" w:before="360"/>
        <w:ind/>
        <w:jc w:val="center"/>
        <w:rPr/>
      </w:pPr>
      <w:r>
        <w:rPr>
          <w:rFonts w:eastAsia="MS Mincho;ＭＳ 明朝"/>
          <w:b/>
          <w:bCs/>
          <w:color w:val="000000"/>
          <w:sz w:val="22"/>
          <w:szCs w:val="22"/>
          <w:lang w:eastAsia="ar-SA"/>
        </w:rPr>
        <w:t xml:space="preserve">ESTUDO TÉCNICO PRELIMINAR</w:t>
      </w:r>
      <w:r/>
    </w:p>
    <w:p>
      <w:pPr>
        <w:pStyle w:val="967"/>
        <w:numPr>
          <w:ilvl w:val="0"/>
          <w:numId w:val="7"/>
        </w:numPr>
        <w:pBdr/>
        <w:tabs>
          <w:tab w:val="left" w:leader="none" w:pos="567"/>
          <w:tab w:val="clear" w:leader="none" w:pos="709"/>
        </w:tabs>
        <w:spacing w:after="120" w:before="240"/>
        <w:ind w:firstLine="0" w:left="0"/>
        <w:jc w:val="both"/>
        <w:rPr/>
      </w:pPr>
      <w:r>
        <w:rPr>
          <w:rFonts w:eastAsia="MS Mincho;ＭＳ 明朝"/>
          <w:b/>
          <w:bCs/>
          <w:sz w:val="22"/>
          <w:szCs w:val="22"/>
          <w:lang w:eastAsia="ar-SA"/>
        </w:rPr>
        <w:t xml:space="preserve">DESCRIÇÃO DA NECESSIDADE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/>
        <w:jc w:val="both"/>
        <w:rPr/>
      </w:pPr>
      <w:r>
        <w:rPr>
          <w:sz w:val="22"/>
          <w:szCs w:val="22"/>
        </w:rPr>
        <w:tab/>
        <w:t xml:space="preserve">Os festejos do aniversário da cidade ocorrerão nos dias </w:t>
      </w:r>
      <w:r>
        <w:rPr>
          <w:b/>
          <w:bCs/>
          <w:sz w:val="22"/>
          <w:szCs w:val="22"/>
        </w:rPr>
        <w:t xml:space="preserve">20, 21, 22  e 23 de</w:t>
      </w:r>
      <w:r>
        <w:rPr>
          <w:b/>
          <w:bCs/>
          <w:sz w:val="22"/>
          <w:szCs w:val="22"/>
        </w:rPr>
        <w:t xml:space="preserve"> març</w:t>
      </w:r>
      <w:r>
        <w:rPr>
          <w:b/>
          <w:bCs/>
          <w:sz w:val="22"/>
          <w:szCs w:val="22"/>
        </w:rPr>
        <w:t xml:space="preserve">o de 2025</w:t>
      </w:r>
      <w:r>
        <w:rPr>
          <w:sz w:val="22"/>
          <w:szCs w:val="22"/>
        </w:rPr>
        <w:t xml:space="preserve">, na cidade de Nova Santa Rita. A realização do evento visa promover o bem-estar social e cultural, contribuindo para a valorização das tradições do nosso Estado e do nosso município, além de impulsionar o desenvolvimento econômico e social local.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/>
        <w:ind/>
        <w:jc w:val="both"/>
        <w:rPr/>
      </w:pPr>
      <w:r>
        <w:rPr>
          <w:sz w:val="22"/>
          <w:szCs w:val="22"/>
        </w:rPr>
        <w:tab/>
        <w:t xml:space="preserve">A presença do público que prestigiará os festejos durante os dias em que ocorrerão o evento será expressiva, haja vista a representatividade desta festividade para as áreas Urbana e Rural do município e cidades circunvizinhas.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/>
        <w:ind/>
        <w:jc w:val="both"/>
        <w:rPr/>
      </w:pPr>
      <w:r>
        <w:rPr>
          <w:sz w:val="22"/>
          <w:szCs w:val="22"/>
        </w:rPr>
        <w:tab/>
        <w:t xml:space="preserve">Com o</w:t>
      </w:r>
      <w:r>
        <w:rPr>
          <w:sz w:val="22"/>
          <w:szCs w:val="22"/>
        </w:rPr>
        <w:t xml:space="preserve"> in</w:t>
      </w:r>
      <w:r>
        <w:rPr>
          <w:sz w:val="22"/>
          <w:szCs w:val="22"/>
        </w:rPr>
        <w:t xml:space="preserve">tuito de promover o evento e assegurar um retorno social e econômico ao município, verifica-se a necessidade de proporcionar atividades culturais que atraiam o público e maximize os impactos positivos esperados com as festividades do aniversário da cidade.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/>
        <w:ind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Nesse sentido, a contratação de show artístico proporciona um evento culturalmente enriquecedor que valoriza os diferentes estilos musicais como por exemplo  pop rock e o rock gaúcho, contribui para o entretenim</w:t>
      </w:r>
      <w:r>
        <w:rPr>
          <w:sz w:val="22"/>
          <w:szCs w:val="22"/>
        </w:rPr>
        <w:t xml:space="preserve">ento e a diversão do público participante e principalmente fomenta a economia local, a contratação do </w:t>
      </w:r>
      <w:r>
        <w:rPr>
          <w:b/>
          <w:bCs/>
          <w:sz w:val="22"/>
          <w:szCs w:val="22"/>
        </w:rPr>
        <w:t xml:space="preserve">Grupo Acústicos e Valvulados </w:t>
      </w:r>
      <w:r>
        <w:rPr>
          <w:sz w:val="22"/>
          <w:szCs w:val="22"/>
        </w:rPr>
        <w:t xml:space="preserve">vai de encontro com os objetivos do evento, pois os artistas são referencia e muito respeitados no cenário musical do gênero onde se apresentam.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67"/>
        <w:pBdr/>
        <w:tabs>
          <w:tab w:val="left" w:leader="none" w:pos="0"/>
          <w:tab w:val="clear" w:leader="none" w:pos="709"/>
          <w:tab w:val="left" w:leader="none" w:pos="851"/>
        </w:tabs>
        <w:spacing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67"/>
        <w:numPr>
          <w:ilvl w:val="0"/>
          <w:numId w:val="7"/>
        </w:numPr>
        <w:pBdr/>
        <w:tabs>
          <w:tab w:val="left" w:leader="none" w:pos="567"/>
          <w:tab w:val="clear" w:leader="none" w:pos="709"/>
        </w:tabs>
        <w:spacing w:after="120" w:before="240"/>
        <w:ind w:firstLine="0" w:left="0"/>
        <w:jc w:val="both"/>
        <w:rPr/>
      </w:pPr>
      <w:r>
        <w:rPr>
          <w:rFonts w:eastAsia="MS Mincho;ＭＳ 明朝"/>
          <w:b/>
          <w:bCs/>
          <w:sz w:val="22"/>
          <w:szCs w:val="22"/>
          <w:lang w:eastAsia="ar-SA"/>
        </w:rPr>
        <w:t xml:space="preserve">ALINHAMENTO ENTRE A CONTRATAÇÃO E O PLANEJAMENTO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/>
        <w:jc w:val="both"/>
        <w:rPr>
          <w:color w:val="ff0000"/>
        </w:rPr>
      </w:pP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</w:r>
      <w:r>
        <w:rPr>
          <w:sz w:val="22"/>
          <w:szCs w:val="22"/>
        </w:rPr>
        <w:t xml:space="preserve">A contratação pretendida está prevista no Plano de Contratações Anual do Município de Nova Santa Rita, CONSTANTE no plano de contratações anual sob o numero </w:t>
      </w:r>
      <w:r>
        <w:rPr>
          <w:b/>
          <w:bCs/>
          <w:sz w:val="22"/>
          <w:szCs w:val="22"/>
        </w:rPr>
        <w:t xml:space="preserve">296/2025,</w:t>
      </w:r>
      <w:r>
        <w:rPr>
          <w:sz w:val="22"/>
          <w:szCs w:val="22"/>
        </w:rPr>
        <w:t xml:space="preserve">  estando assim alinhada com o planejamento desta Administração.</w:t>
      </w:r>
      <w:r/>
      <w:r>
        <w:rPr>
          <w:color w:val="ff0000"/>
          <w:sz w:val="22"/>
          <w:szCs w:val="22"/>
        </w:rPr>
      </w:r>
      <w:r>
        <w:rPr>
          <w:color w:val="ff0000"/>
        </w:rPr>
      </w:r>
    </w:p>
    <w:p>
      <w:pPr>
        <w:pStyle w:val="967"/>
        <w:numPr>
          <w:ilvl w:val="0"/>
          <w:numId w:val="7"/>
        </w:numPr>
        <w:pBdr/>
        <w:tabs>
          <w:tab w:val="left" w:leader="none" w:pos="567"/>
          <w:tab w:val="clear" w:leader="none" w:pos="709"/>
        </w:tabs>
        <w:spacing w:after="120" w:before="240"/>
        <w:ind w:firstLine="0" w:left="0"/>
        <w:jc w:val="both"/>
        <w:rPr/>
      </w:pPr>
      <w:r>
        <w:rPr>
          <w:rFonts w:eastAsia="MS Mincho;ＭＳ 明朝"/>
          <w:b/>
          <w:bCs/>
          <w:sz w:val="22"/>
          <w:szCs w:val="22"/>
          <w:lang w:eastAsia="ar-SA"/>
        </w:rPr>
        <w:t xml:space="preserve">ALTERNATIVAS DISPONÍVEIS NO MERCADO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/>
        <w:ind w:firstLine="567"/>
        <w:jc w:val="both"/>
        <w:rPr/>
      </w:pPr>
      <w:r/>
      <w:bookmarkStart w:id="1" w:name="_Hlk162875057"/>
      <w:r/>
      <w:bookmarkStart w:id="2" w:name="_Hlk162875043"/>
      <w:r>
        <w:rPr>
          <w:sz w:val="22"/>
          <w:szCs w:val="22"/>
        </w:rPr>
        <w:t xml:space="preserve">Diante da necessidade apontada pelo município, foi realizado o levantamento das alternativas disponíveis para analisar soluções possíveis que venham a atender de forma eficiente a demanda</w:t>
      </w:r>
      <w:bookmarkEnd w:id="1"/>
      <w:r/>
      <w:bookmarkEnd w:id="2"/>
      <w:r>
        <w:rPr>
          <w:sz w:val="22"/>
          <w:szCs w:val="22"/>
        </w:rPr>
        <w:t xml:space="preserve">: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Foi realizado um levantamento amplo de artistas e bandas, cuja agenda do artista fosse compatível com a data do evento no município e considerando o estilo mu</w:t>
      </w:r>
      <w:r>
        <w:rPr>
          <w:sz w:val="22"/>
          <w:szCs w:val="22"/>
        </w:rPr>
        <w:t xml:space="preserve">sical que se alinhe com o tema do evento.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/>
        <w:jc w:val="both"/>
        <w:rPr/>
      </w:pPr>
      <w:r>
        <w:rPr>
          <w:sz w:val="22"/>
          <w:szCs w:val="22"/>
        </w:rPr>
        <w:t xml:space="preserve">Para justificar a escolha da banda artística foi observado o reconhecimento de sua profunda conexão com a cultura, com o estilo de rock  representando  musicais que são essenciais para a diversidade  do evento.</w:t>
      </w:r>
      <w:r/>
    </w:p>
    <w:p>
      <w:pPr>
        <w:pStyle w:val="967"/>
        <w:numPr>
          <w:ilvl w:val="0"/>
          <w:numId w:val="7"/>
        </w:numPr>
        <w:pBdr/>
        <w:tabs>
          <w:tab w:val="left" w:leader="none" w:pos="567"/>
          <w:tab w:val="clear" w:leader="none" w:pos="709"/>
        </w:tabs>
        <w:spacing w:after="120" w:before="240"/>
        <w:ind w:firstLine="0" w:left="0"/>
        <w:jc w:val="both"/>
        <w:rPr/>
      </w:pPr>
      <w:r>
        <w:rPr>
          <w:rFonts w:eastAsia="MS Mincho;ＭＳ 明朝"/>
          <w:b/>
          <w:bCs/>
          <w:sz w:val="22"/>
          <w:szCs w:val="22"/>
          <w:lang w:eastAsia="ar-SA"/>
        </w:rPr>
        <w:t xml:space="preserve">ESTIMATIVA DO VALOR DA CONTRATAÇÃO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Estima-se para a contratação almejada o </w:t>
      </w:r>
      <w:r>
        <w:rPr>
          <w:b/>
          <w:bCs/>
          <w:sz w:val="22"/>
          <w:szCs w:val="22"/>
        </w:rPr>
        <w:t xml:space="preserve">valor de R$ 27.000,00</w:t>
      </w:r>
      <w:r>
        <w:rPr>
          <w:sz w:val="22"/>
          <w:szCs w:val="22"/>
        </w:rPr>
        <w:t xml:space="preserve"> (vinte e sete mil reais) </w:t>
      </w:r>
      <w:bookmarkStart w:id="3" w:name="_Hlk175318138"/>
      <w:r>
        <w:rPr>
          <w:sz w:val="22"/>
          <w:szCs w:val="22"/>
        </w:rPr>
        <w:t xml:space="preserve">conforme</w:t>
      </w:r>
      <w:r>
        <w:rPr>
          <w:spacing w:val="1"/>
          <w:sz w:val="22"/>
          <w:szCs w:val="22"/>
        </w:rPr>
        <w:t xml:space="preserve"> </w:t>
      </w:r>
      <w:bookmarkEnd w:id="3"/>
      <w:r>
        <w:rPr>
          <w:sz w:val="22"/>
          <w:szCs w:val="22"/>
        </w:rPr>
        <w:t xml:space="preserve">pesquisa alguns anexos retirados do site Licitacon e também anexando notas fiscais de serviços correspondentes ao que será realizado no evento ANIVERSÁRIO DA CIDADE.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 w:firstLine="567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</w:r>
      <w:r>
        <w:rPr>
          <w:color w:val="ff0000"/>
          <w:sz w:val="22"/>
          <w:szCs w:val="22"/>
        </w:rPr>
      </w:r>
      <w:r>
        <w:rPr>
          <w:color w:val="ff0000"/>
          <w:sz w:val="22"/>
          <w:szCs w:val="22"/>
        </w:rPr>
      </w:r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 w:firstLine="567"/>
        <w:jc w:val="both"/>
        <w:rPr/>
      </w:pPr>
      <w:r>
        <w:rPr>
          <w:rFonts w:eastAsia="MS Mincho;ＭＳ 明朝"/>
          <w:b/>
          <w:bCs/>
          <w:sz w:val="22"/>
          <w:szCs w:val="22"/>
          <w:lang w:eastAsia="ar-SA"/>
        </w:rPr>
        <w:t xml:space="preserve">DESCRIÇÃO DA SOLUÇÃO COMO UM TODO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 w:firstLine="567"/>
        <w:jc w:val="both"/>
        <w:rPr/>
      </w:pPr>
      <w:r>
        <w:rPr>
          <w:rFonts w:eastAsia="MS Mincho;ＭＳ 明朝"/>
          <w:sz w:val="22"/>
          <w:szCs w:val="22"/>
          <w:lang w:eastAsia="ar-SA"/>
        </w:rPr>
        <w:t xml:space="preserve">Para que o objetivo de fomentar a cultura e tradição no Município durante os festejos seja </w:t>
      </w:r>
      <w:r>
        <w:rPr>
          <w:sz w:val="22"/>
          <w:szCs w:val="22"/>
        </w:rPr>
        <w:t xml:space="preserve">alcançado</w:t>
      </w:r>
      <w:r>
        <w:rPr>
          <w:rFonts w:eastAsia="MS Mincho;ＭＳ 明朝"/>
          <w:sz w:val="22"/>
          <w:szCs w:val="22"/>
          <w:lang w:eastAsia="ar-SA"/>
        </w:rPr>
        <w:t xml:space="preserve">, as contratações deverão no mínimo atender os seguintes itens: 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 w:firstLine="567"/>
        <w:jc w:val="both"/>
        <w:rPr/>
      </w:pPr>
      <w:r>
        <w:rPr>
          <w:rFonts w:eastAsia="MS Mincho;ＭＳ 明朝"/>
          <w:sz w:val="22"/>
          <w:szCs w:val="22"/>
          <w:lang w:eastAsia="ar-SA"/>
        </w:rPr>
        <w:t xml:space="preserve">a) As atrações musicais realizarão apresentações contempladas no valor total da proposta com a duração especificado no termo de referência. 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 w:firstLine="567"/>
        <w:jc w:val="both"/>
        <w:rPr/>
      </w:pPr>
      <w:r>
        <w:rPr>
          <w:rFonts w:eastAsia="MS Mincho;ＭＳ 明朝"/>
          <w:sz w:val="22"/>
          <w:szCs w:val="22"/>
          <w:lang w:eastAsia="ar-SA"/>
        </w:rPr>
        <w:t xml:space="preserve">b) Deverá cumprir fielmente o que foi descrito em sua proposta, quando esta for aceita, bem como pagará todos os encargos trabalhistas, previdenciários, fiscais e comerciais resultantes da execução do instrumento contratual. 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 w:firstLine="567"/>
        <w:jc w:val="both"/>
        <w:rPr/>
      </w:pPr>
      <w:r>
        <w:rPr>
          <w:rFonts w:eastAsia="MS Mincho;ＭＳ 明朝"/>
          <w:sz w:val="22"/>
          <w:szCs w:val="22"/>
          <w:lang w:eastAsia="ar-SA"/>
        </w:rPr>
        <w:t xml:space="preserve">c) Todas as despesas de Locomoção, alimentação, entre outras que porventura surgirem são de inteira responsabilidade e ônus da empresa contratada. 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 w:firstLine="567"/>
        <w:jc w:val="both"/>
        <w:rPr/>
      </w:pPr>
      <w:r>
        <w:rPr>
          <w:rFonts w:eastAsia="MS Mincho;ＭＳ 明朝"/>
          <w:sz w:val="22"/>
          <w:szCs w:val="22"/>
          <w:lang w:eastAsia="ar-SA"/>
        </w:rPr>
        <w:t xml:space="preserve">d) A empresa assumirá inteira responsabilidade civil, administrativa e penal por quaisquer danos e prejuízos, materiais ou pessoais causados pelos seus empregados, prepostos ou terceiros sob seu comando. 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/>
        <w:ind w:firstLine="567"/>
        <w:jc w:val="both"/>
        <w:rPr/>
      </w:pPr>
      <w:r>
        <w:rPr>
          <w:rFonts w:eastAsia="MS Mincho;ＭＳ 明朝"/>
          <w:sz w:val="22"/>
          <w:szCs w:val="22"/>
          <w:lang w:eastAsia="ar-SA"/>
        </w:rPr>
        <w:t xml:space="preserve">e) A escolha da modalidade Inexigibilidade de Licitação para haver a contratação das bandas artísticas é de integral responsabilidade do requisitante que apresenta documentos comprobatórios e documentos de responsabilidade assinados.</w:t>
      </w:r>
      <w:r/>
    </w:p>
    <w:p>
      <w:pPr>
        <w:pStyle w:val="967"/>
        <w:numPr>
          <w:ilvl w:val="0"/>
          <w:numId w:val="7"/>
        </w:numPr>
        <w:pBdr/>
        <w:tabs>
          <w:tab w:val="left" w:leader="none" w:pos="567"/>
          <w:tab w:val="clear" w:leader="none" w:pos="709"/>
        </w:tabs>
        <w:spacing w:after="120" w:before="240"/>
        <w:ind w:firstLine="0" w:left="0"/>
        <w:jc w:val="both"/>
        <w:rPr/>
      </w:pPr>
      <w:r>
        <w:rPr>
          <w:rFonts w:eastAsia="MS Mincho;ＭＳ 明朝"/>
          <w:b/>
          <w:bCs/>
          <w:sz w:val="22"/>
          <w:szCs w:val="22"/>
          <w:lang w:eastAsia="ar-SA"/>
        </w:rPr>
        <w:t xml:space="preserve">JUSTIFICATIVA PARA O PARCELAMENTO OU NÃO DA CONTRATAÇÃO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/>
        <w:ind w:firstLine="567"/>
        <w:jc w:val="both"/>
        <w:rPr/>
      </w:pPr>
      <w:r>
        <w:rPr>
          <w:sz w:val="22"/>
          <w:szCs w:val="22"/>
        </w:rPr>
        <w:t xml:space="preserve">De acordo com o estudo técnico preliminar realizado para a contratação da apresentação de banda gaúcha, no evento “ANIVERSÁRIO DA CIDADE”, temos como principais pontos a serem considerados no que diz respeito ao parcelamento ou não da solução:</w:t>
      </w:r>
      <w:r/>
    </w:p>
    <w:p>
      <w:pPr>
        <w:pStyle w:val="967"/>
        <w:numPr>
          <w:ilvl w:val="0"/>
          <w:numId w:val="3"/>
        </w:numPr>
        <w:pBdr/>
        <w:tabs>
          <w:tab w:val="left" w:leader="none" w:pos="0"/>
          <w:tab w:val="clear" w:leader="none" w:pos="709"/>
          <w:tab w:val="left" w:leader="none" w:pos="851"/>
        </w:tabs>
        <w:spacing w:after="0" w:before="120"/>
        <w:ind w:hanging="709" w:left="851"/>
        <w:jc w:val="both"/>
        <w:rPr/>
      </w:pPr>
      <w:r>
        <w:rPr>
          <w:sz w:val="22"/>
          <w:szCs w:val="22"/>
        </w:rPr>
        <w:t xml:space="preserve">A natureza do objeto: a apresentação de um show musical é um serviço caracteristicamente indivisível, que envolve a contratação de uma performance única em um evento específico, tomando-se inviável o parcelamento deste tipo de serviço;</w:t>
      </w:r>
      <w:r/>
    </w:p>
    <w:p>
      <w:pPr>
        <w:pStyle w:val="967"/>
        <w:numPr>
          <w:ilvl w:val="0"/>
          <w:numId w:val="3"/>
        </w:numPr>
        <w:pBdr/>
        <w:tabs>
          <w:tab w:val="left" w:leader="none" w:pos="0"/>
          <w:tab w:val="clear" w:leader="none" w:pos="709"/>
          <w:tab w:val="left" w:leader="none" w:pos="851"/>
        </w:tabs>
        <w:spacing w:after="0" w:before="120"/>
        <w:ind w:hanging="709" w:left="851"/>
        <w:jc w:val="both"/>
        <w:rPr/>
      </w:pPr>
      <w:r>
        <w:rPr>
          <w:sz w:val="22"/>
          <w:szCs w:val="22"/>
        </w:rPr>
        <w:t xml:space="preserve">Qualidade técnica e</w:t>
      </w:r>
      <w:r>
        <w:rPr>
          <w:sz w:val="22"/>
          <w:szCs w:val="22"/>
        </w:rPr>
        <w:t xml:space="preserve"> custo-benefício: considerando o impacto esperado e a atratividade do evento com a apresentação do artista contratado, o parcelamento poderia afetar negativamente o resultado pretendido e o engajamento do público, reduzindo assim a eficácia da contratação;</w:t>
      </w:r>
      <w:r/>
    </w:p>
    <w:p>
      <w:pPr>
        <w:pStyle w:val="967"/>
        <w:numPr>
          <w:ilvl w:val="0"/>
          <w:numId w:val="3"/>
        </w:numPr>
        <w:pBdr/>
        <w:tabs>
          <w:tab w:val="left" w:leader="none" w:pos="0"/>
          <w:tab w:val="clear" w:leader="none" w:pos="709"/>
          <w:tab w:val="left" w:leader="none" w:pos="851"/>
        </w:tabs>
        <w:spacing w:after="0" w:before="120"/>
        <w:ind w:hanging="709" w:left="851"/>
        <w:jc w:val="both"/>
        <w:rPr/>
      </w:pPr>
      <w:r>
        <w:rPr>
          <w:sz w:val="22"/>
          <w:szCs w:val="22"/>
        </w:rPr>
        <w:t xml:space="preserve">Logística e operacionalização da contratação: o parcelamento poderia gerar complexidade operacional e incremento de custos logísticos, o que vai de encontro aos principias da eficiência e economicidade, conforme Lei 14.133/2021.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 w:after="0" w:before="120"/>
        <w:ind w:firstLine="567"/>
        <w:jc w:val="both"/>
        <w:rPr/>
      </w:pPr>
      <w:r>
        <w:rPr>
          <w:sz w:val="22"/>
          <w:szCs w:val="22"/>
        </w:rPr>
        <w:t xml:space="preserve">Referenciado pela Lei 14.133, em seu Art. 23. o processo de contratação deve sempre buscar a aferição dos preços mais vantajosos e compatíveis com o mercado. No caso de uma única apresentação musical, como é o cenário proposto, a fragmentação do s</w:t>
      </w:r>
      <w:r>
        <w:rPr>
          <w:sz w:val="22"/>
          <w:szCs w:val="22"/>
        </w:rPr>
        <w:t xml:space="preserve">erviço em partes poderia não somente diluir a expertise especifica do artista ou banda, mas também prejudicar a percepção de valor pelo público, indo contra o interesse público e a expectativa de um espetáculo de qualidade e impacto cultural significativo;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 w:after="0" w:before="120"/>
        <w:ind w:firstLine="567"/>
        <w:jc w:val="both"/>
        <w:rPr/>
      </w:pPr>
      <w:r>
        <w:rPr>
          <w:sz w:val="22"/>
          <w:szCs w:val="22"/>
        </w:rPr>
        <w:t xml:space="preserve">Diante destas considerações, conclui-se que o parcelamento d</w:t>
      </w:r>
      <w:r>
        <w:rPr>
          <w:sz w:val="22"/>
          <w:szCs w:val="22"/>
        </w:rPr>
        <w:t xml:space="preserve">a solução não é uma opção viável para a presente contratação, devendo a apresentação do artista ser contratada em sua totalidade, mantendo-se assim a integridade da performance e dos resultados esperados pelo público e pela administração pública municipal;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 w:after="0" w:before="120"/>
        <w:ind w:firstLine="567"/>
        <w:jc w:val="both"/>
        <w:rPr/>
      </w:pPr>
      <w:r>
        <w:rPr>
          <w:sz w:val="22"/>
          <w:szCs w:val="22"/>
        </w:rPr>
        <w:t xml:space="preserve">Portanto, a decisão pelo não parcel</w:t>
      </w:r>
      <w:r>
        <w:rPr>
          <w:sz w:val="22"/>
          <w:szCs w:val="22"/>
        </w:rPr>
        <w:t xml:space="preserve">amento da apresentação musical do Artista/Banda está alinhada com os objetivos estratégicos do evento </w:t>
      </w:r>
      <w:r>
        <w:rPr>
          <w:sz w:val="22"/>
          <w:szCs w:val="22"/>
        </w:rPr>
        <w:t xml:space="preserve">ANIVERSÁRIO DA CIDADE</w:t>
      </w:r>
      <w:r>
        <w:rPr>
          <w:sz w:val="22"/>
          <w:szCs w:val="22"/>
        </w:rPr>
        <w:t xml:space="preserve">, com os princípios da eficiência, economicidade e do desenvolvimento nacional sustentável, conforme estabelecidos pela Lei 14.133/2021.</w:t>
      </w:r>
      <w:r/>
    </w:p>
    <w:p>
      <w:pPr>
        <w:pStyle w:val="967"/>
        <w:numPr>
          <w:ilvl w:val="0"/>
          <w:numId w:val="7"/>
        </w:numPr>
        <w:pBdr/>
        <w:tabs>
          <w:tab w:val="left" w:leader="none" w:pos="567"/>
          <w:tab w:val="clear" w:leader="none" w:pos="709"/>
        </w:tabs>
        <w:spacing w:after="120" w:before="240"/>
        <w:ind w:firstLine="0" w:left="0"/>
        <w:jc w:val="both"/>
        <w:rPr/>
      </w:pPr>
      <w:r>
        <w:rPr>
          <w:rFonts w:eastAsia="MS Mincho;ＭＳ 明朝"/>
          <w:b/>
          <w:bCs/>
          <w:sz w:val="22"/>
          <w:szCs w:val="22"/>
          <w:lang w:eastAsia="ar-SA"/>
        </w:rPr>
        <w:t xml:space="preserve">RESULTADOS PRETENDIDOS 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 w:after="0" w:before="120"/>
        <w:ind w:firstLine="567"/>
        <w:jc w:val="both"/>
        <w:rPr/>
      </w:pPr>
      <w:r/>
      <w:bookmarkStart w:id="4" w:name="art18§1ii"/>
      <w:r/>
      <w:bookmarkStart w:id="5" w:name="art18§1iii"/>
      <w:r/>
      <w:bookmarkStart w:id="6" w:name="art18§1v"/>
      <w:r/>
      <w:bookmarkStart w:id="7" w:name="art18§1vi"/>
      <w:r/>
      <w:bookmarkStart w:id="8" w:name="art18§1vii"/>
      <w:r/>
      <w:bookmarkStart w:id="9" w:name="art18§1viii"/>
      <w:r/>
      <w:bookmarkStart w:id="10" w:name="art18§1ix"/>
      <w:r/>
      <w:bookmarkStart w:id="11" w:name="art18§1x"/>
      <w:r/>
      <w:bookmarkEnd w:id="4"/>
      <w:r/>
      <w:bookmarkEnd w:id="5"/>
      <w:r/>
      <w:bookmarkEnd w:id="6"/>
      <w:r/>
      <w:bookmarkEnd w:id="7"/>
      <w:r/>
      <w:bookmarkEnd w:id="8"/>
      <w:r/>
      <w:bookmarkEnd w:id="9"/>
      <w:r/>
      <w:bookmarkEnd w:id="10"/>
      <w:r/>
      <w:bookmarkEnd w:id="11"/>
      <w:r>
        <w:rPr>
          <w:sz w:val="22"/>
          <w:szCs w:val="22"/>
        </w:rPr>
        <w:t xml:space="preserve">A demanda visa alcançar dois resultados significativos:</w:t>
      </w:r>
      <w:r/>
    </w:p>
    <w:p>
      <w:pPr>
        <w:pStyle w:val="1067"/>
        <w:numPr>
          <w:ilvl w:val="0"/>
          <w:numId w:val="5"/>
        </w:numPr>
        <w:pBdr/>
        <w:tabs>
          <w:tab w:val="clear" w:leader="none" w:pos="709"/>
          <w:tab w:val="left" w:leader="none" w:pos="851"/>
        </w:tabs>
        <w:spacing/>
        <w:ind w:firstLine="0" w:left="567"/>
        <w:jc w:val="both"/>
        <w:rPr/>
      </w:pPr>
      <w:r>
        <w:rPr>
          <w:sz w:val="22"/>
          <w:szCs w:val="22"/>
        </w:rPr>
        <w:t xml:space="preserve">Primeiramente, buscamos oferecer à população uma opção de lazer local que proporcione alegria, diversão e entretenimento. Além disso, pretendemos garantir que essa alternativa seja adequada e segura para todos, promovendo momentos de união e convivência;</w:t>
      </w:r>
      <w:r/>
    </w:p>
    <w:p>
      <w:pPr>
        <w:pStyle w:val="1067"/>
        <w:numPr>
          <w:ilvl w:val="0"/>
          <w:numId w:val="5"/>
        </w:numPr>
        <w:pBdr/>
        <w:tabs>
          <w:tab w:val="clear" w:leader="none" w:pos="709"/>
          <w:tab w:val="left" w:leader="none" w:pos="851"/>
        </w:tabs>
        <w:spacing/>
        <w:ind w:hanging="142" w:left="709"/>
        <w:jc w:val="both"/>
        <w:rPr/>
      </w:pPr>
      <w:r>
        <w:rPr>
          <w:sz w:val="22"/>
          <w:szCs w:val="22"/>
        </w:rPr>
        <w:t xml:space="preserve">Segundo, pretendemos impulsionar </w:t>
      </w:r>
      <w:r>
        <w:rPr>
          <w:sz w:val="22"/>
          <w:szCs w:val="22"/>
        </w:rPr>
        <w:t xml:space="preserve">a economia de nosso Município por meio do evento e do turismo que através da realização do evento poderá atrair mais visitantes e fortalecer economia local e o setor turístico, o que, por sua vez, poderá no aumento da renda para os residentes do município.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 w:after="0" w:before="120"/>
        <w:ind w:firstLine="567"/>
        <w:jc w:val="both"/>
        <w:rPr/>
      </w:pPr>
      <w:r>
        <w:rPr>
          <w:sz w:val="22"/>
          <w:szCs w:val="22"/>
        </w:rPr>
        <w:t xml:space="preserve">Com foco nos resultados pretendi</w:t>
      </w:r>
      <w:r>
        <w:rPr>
          <w:sz w:val="22"/>
          <w:szCs w:val="22"/>
        </w:rPr>
        <w:t xml:space="preserve">dos, visamos transformar nosso Município em um local onde os munícipes possam se divertir durante o evento, fomentar a tradição na região e consolidá-lo como um destino turístico atraente e seguro. Isso beneficiará tanto os residentes quanto os visitantes.</w:t>
      </w:r>
      <w:r/>
    </w:p>
    <w:p>
      <w:pPr>
        <w:pStyle w:val="967"/>
        <w:numPr>
          <w:ilvl w:val="0"/>
          <w:numId w:val="7"/>
        </w:numPr>
        <w:pBdr/>
        <w:tabs>
          <w:tab w:val="left" w:leader="none" w:pos="567"/>
          <w:tab w:val="clear" w:leader="none" w:pos="709"/>
        </w:tabs>
        <w:spacing w:after="120" w:before="240"/>
        <w:ind w:firstLine="0" w:left="0"/>
        <w:jc w:val="both"/>
        <w:rPr/>
      </w:pPr>
      <w:r>
        <w:rPr>
          <w:rFonts w:eastAsia="MS Mincho;ＭＳ 明朝"/>
          <w:b/>
          <w:bCs/>
          <w:sz w:val="22"/>
          <w:szCs w:val="22"/>
          <w:lang w:eastAsia="ar-SA"/>
        </w:rPr>
        <w:t xml:space="preserve">PROVIDÊNCIAS PRÉVIAS AO CONTRATO</w:t>
      </w:r>
      <w:bookmarkStart w:id="12" w:name="art18§1xi"/>
      <w:r/>
      <w:bookmarkEnd w:id="12"/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 w:after="0" w:before="120"/>
        <w:ind w:firstLine="567"/>
        <w:jc w:val="both"/>
        <w:rPr/>
      </w:pPr>
      <w:r>
        <w:rPr>
          <w:rFonts w:eastAsia="MS Mincho;ＭＳ 明朝"/>
          <w:sz w:val="22"/>
          <w:szCs w:val="22"/>
          <w:lang w:eastAsia="ar-SA"/>
        </w:rPr>
        <w:tab/>
        <w:t xml:space="preserve">As providências prévias a celebração do contrato é definir o orçamento e a data da apresentação das atrações e </w:t>
      </w:r>
      <w:r>
        <w:rPr>
          <w:sz w:val="22"/>
          <w:szCs w:val="22"/>
        </w:rPr>
        <w:t xml:space="preserve">certificar</w:t>
      </w:r>
      <w:r>
        <w:rPr>
          <w:rFonts w:eastAsia="MS Mincho;ＭＳ 明朝"/>
          <w:sz w:val="22"/>
          <w:szCs w:val="22"/>
          <w:lang w:eastAsia="ar-SA"/>
        </w:rPr>
        <w:t xml:space="preserve"> a disponibilidade das bandas musicais considerando estilo de repertório, custos e viabilid</w:t>
      </w:r>
      <w:r>
        <w:rPr>
          <w:rFonts w:eastAsia="MS Mincho;ＭＳ 明朝"/>
          <w:sz w:val="22"/>
          <w:szCs w:val="22"/>
          <w:lang w:eastAsia="ar-SA"/>
        </w:rPr>
        <w:t xml:space="preserve">ade da proposta da banda especialmente quanto ao valor do cache proposto que serão avaliadas pelo demandante com base em critérios técnicos e financeiros, para após ser firmado contrato formal contendo as datas específicas, pagamento e obrigações da banda.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 w:after="0" w:before="120"/>
        <w:ind w:firstLine="567"/>
        <w:jc w:val="both"/>
        <w:rPr/>
      </w:pPr>
      <w:r>
        <w:rPr>
          <w:rFonts w:eastAsia="MS Mincho;ＭＳ 明朝"/>
          <w:sz w:val="22"/>
          <w:szCs w:val="22"/>
          <w:lang w:eastAsia="ar-SA"/>
        </w:rPr>
        <w:tab/>
        <w:t xml:space="preserve">Aferir a documentação legal exigida pela legislação: Contrato Social da contratante a</w:t>
      </w:r>
      <w:r>
        <w:rPr>
          <w:rFonts w:eastAsia="MS Mincho;ＭＳ 明朝"/>
          <w:sz w:val="22"/>
          <w:szCs w:val="22"/>
          <w:lang w:eastAsia="ar-SA"/>
        </w:rPr>
        <w:t xml:space="preserve">tualizado; Inscrição no Cadastro de Pessoas Físicas (CPF) ou no Cadastro Nacional da Pessoa Jurídica (CNPJ); Inscrição no cadastro de contribuintes estadual e/ou municipal, se houver, relativo ao domicílio ou sede do licitante, pertinente ao seu ramo de at</w:t>
      </w:r>
      <w:r>
        <w:rPr>
          <w:rFonts w:eastAsia="MS Mincho;ＭＳ 明朝"/>
          <w:sz w:val="22"/>
          <w:szCs w:val="22"/>
          <w:lang w:eastAsia="ar-SA"/>
        </w:rPr>
        <w:t xml:space="preserve">ividade e compatível com o objeto contratual; regularidade perante a Fazenda federal, estadual e/ou municipal do domicílio ou sede do licitante, ou outra equivalente, na forma da lei; regularidade relativa à Seguridade Social e ao FGTS, que demonstre cumpr</w:t>
      </w:r>
      <w:r>
        <w:rPr>
          <w:rFonts w:eastAsia="MS Mincho;ＭＳ 明朝"/>
          <w:sz w:val="22"/>
          <w:szCs w:val="22"/>
          <w:lang w:eastAsia="ar-SA"/>
        </w:rPr>
        <w:t xml:space="preserve">imento dos encargos sociais instituídos por lei; regularidade perante a justiça do Trabalho, cumprimento do disposto no inciso XXXIII do art. 7º da Constituição Federal, certidão negativa de feitos sobre falência expedida pelo distribuidor da sede do licit</w:t>
      </w:r>
      <w:r>
        <w:rPr>
          <w:rFonts w:eastAsia="MS Mincho;ＭＳ 明朝"/>
          <w:sz w:val="22"/>
          <w:szCs w:val="22"/>
          <w:lang w:eastAsia="ar-SA"/>
        </w:rPr>
        <w:t xml:space="preserve">ante, identidade de CPF do representante da empresa, contrato firmado com a atração artística para representa-la única e exclusivamente em todo território nacional, devidamente registrado em cartório afim de demonstrar tratar de empresário exclusivo em cas</w:t>
      </w:r>
      <w:r>
        <w:rPr>
          <w:rFonts w:eastAsia="MS Mincho;ＭＳ 明朝"/>
          <w:sz w:val="22"/>
          <w:szCs w:val="22"/>
          <w:lang w:eastAsia="ar-SA"/>
        </w:rPr>
        <w:t xml:space="preserve">o de inexigibilidade pelo art. 74, II da Lei nº 14.133/21 e Comprovação de profissional do setor artístico (contratação direta ou empresário exclusivo), apresentar a comprovação da consagração pela crítica especializada e pela opinião pública (cópia de cap</w:t>
      </w:r>
      <w:r>
        <w:rPr>
          <w:rFonts w:eastAsia="MS Mincho;ＭＳ 明朝"/>
          <w:sz w:val="22"/>
          <w:szCs w:val="22"/>
          <w:lang w:eastAsia="ar-SA"/>
        </w:rPr>
        <w:t xml:space="preserve">a de CD, anúncios de jornais sobre o artista, cartazes ou folders inserindo o profissional numa determinada programação de evento, declarações fornecidas por órgãos ligados ao setor dando conta de apresentações anteriores do profissional a ser contratado).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 w:after="0" w:before="120"/>
        <w:ind w:firstLine="567"/>
        <w:jc w:val="both"/>
        <w:rPr/>
      </w:pPr>
      <w:r>
        <w:rPr>
          <w:rFonts w:eastAsia="MS Mincho;ＭＳ 明朝"/>
          <w:sz w:val="22"/>
          <w:szCs w:val="22"/>
          <w:lang w:eastAsia="ar-SA"/>
        </w:rPr>
        <w:t xml:space="preserve">Durante o evento, a administração deve monitorar a performance da banda e tomar medidas corretivas, se necessário. Após o evento, o contrato é encerrado, efetuando o pagamento e avaliando o desempenho da banda. </w:t>
      </w:r>
      <w:r/>
    </w:p>
    <w:p>
      <w:pPr>
        <w:pStyle w:val="967"/>
        <w:numPr>
          <w:ilvl w:val="0"/>
          <w:numId w:val="7"/>
        </w:numPr>
        <w:pBdr/>
        <w:tabs>
          <w:tab w:val="left" w:leader="none" w:pos="567"/>
          <w:tab w:val="clear" w:leader="none" w:pos="709"/>
        </w:tabs>
        <w:spacing w:after="120" w:before="240"/>
        <w:ind w:firstLine="0" w:left="0"/>
        <w:jc w:val="both"/>
        <w:rPr/>
      </w:pPr>
      <w:r>
        <w:rPr>
          <w:rFonts w:eastAsia="MS Mincho;ＭＳ 明朝"/>
          <w:b/>
          <w:bCs/>
          <w:sz w:val="22"/>
          <w:szCs w:val="22"/>
          <w:lang w:eastAsia="ar-SA"/>
        </w:rPr>
        <w:t xml:space="preserve">CONTRATAÇÕES CORRELATAS E/OU INTERDEPENDENTES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 w:after="0" w:before="120"/>
        <w:ind w:firstLine="567"/>
        <w:jc w:val="both"/>
        <w:rPr/>
      </w:pPr>
      <w:r>
        <w:rPr>
          <w:sz w:val="22"/>
          <w:szCs w:val="22"/>
        </w:rPr>
        <w:t xml:space="preserve">A realização de shows envolve diversas contratações interdependentes, desde a estrutura até a equipe técnica, como palco, sonorização, iluminação, segurança, marketing, licenças, entre outras. Cada uma dessas </w:t>
      </w:r>
      <w:r>
        <w:rPr>
          <w:rFonts w:eastAsia="MS Mincho;ＭＳ 明朝"/>
          <w:sz w:val="22"/>
          <w:szCs w:val="22"/>
          <w:lang w:eastAsia="ar-SA"/>
        </w:rPr>
        <w:t xml:space="preserve">contratações</w:t>
      </w:r>
      <w:r>
        <w:rPr>
          <w:sz w:val="22"/>
          <w:szCs w:val="22"/>
        </w:rPr>
        <w:t xml:space="preserve"> desempenha um papel crucial no sucesso do evento, garantindo que tudo funcione sem problemas e atenda às expectativas do público e dos artistas. Portanto, a demanda requer a observância de outras contratações pelo responsável pela organização.</w:t>
      </w:r>
      <w:r/>
    </w:p>
    <w:p>
      <w:pPr>
        <w:pStyle w:val="967"/>
        <w:numPr>
          <w:ilvl w:val="0"/>
          <w:numId w:val="7"/>
        </w:numPr>
        <w:pBdr/>
        <w:tabs>
          <w:tab w:val="left" w:leader="none" w:pos="567"/>
          <w:tab w:val="clear" w:leader="none" w:pos="709"/>
        </w:tabs>
        <w:spacing w:after="120" w:before="240"/>
        <w:ind w:firstLine="0" w:left="0"/>
        <w:jc w:val="both"/>
        <w:rPr/>
      </w:pPr>
      <w:r>
        <w:rPr>
          <w:rFonts w:eastAsia="MS Mincho;ＭＳ 明朝"/>
          <w:b/>
          <w:bCs/>
          <w:sz w:val="22"/>
          <w:szCs w:val="22"/>
          <w:lang w:eastAsia="ar-SA"/>
        </w:rPr>
        <w:t xml:space="preserve">POSSÍVEIS IMPACTOS AMBIENTAIS 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</w:tabs>
        <w:spacing w:after="0" w:before="120"/>
        <w:ind w:firstLine="567"/>
        <w:jc w:val="both"/>
        <w:rPr/>
      </w:pPr>
      <w:r>
        <w:rPr>
          <w:sz w:val="22"/>
          <w:szCs w:val="22"/>
        </w:rPr>
        <w:t xml:space="preserve">Vislumbram-se impactos ambientais provenientes desta contratação, mencionados na tabela abaixo, </w:t>
      </w:r>
      <w:r>
        <w:rPr>
          <w:rFonts w:eastAsia="MS Mincho;ＭＳ 明朝"/>
          <w:sz w:val="22"/>
          <w:szCs w:val="22"/>
          <w:lang w:eastAsia="ar-SA"/>
        </w:rPr>
        <w:t xml:space="preserve">juntamente</w:t>
      </w:r>
      <w:r>
        <w:rPr>
          <w:sz w:val="22"/>
          <w:szCs w:val="22"/>
        </w:rPr>
        <w:t xml:space="preserve"> com as medidas de tratamento a serem adotadas pela contratada:</w:t>
      </w:r>
      <w:r/>
    </w:p>
    <w:tbl>
      <w:tblPr>
        <w:tblW w:w="5000" w:type="pct"/>
        <w:tblInd w:w="113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000" w:firstRow="0" w:lastRow="0" w:firstColumn="0" w:lastColumn="0" w:noHBand="0" w:noVBand="0"/>
      </w:tblPr>
      <w:tblGrid>
        <w:gridCol w:w="4676"/>
        <w:gridCol w:w="4677"/>
      </w:tblGrid>
      <w:tr>
        <w:trPr/>
        <w:tc>
          <w:tcPr>
            <w:shd w:val="clear" w:color="auto" w:fill="e7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6" w:type="dxa"/>
            <w:textDirection w:val="lrTb"/>
            <w:noWrap w:val="false"/>
          </w:tcPr>
          <w:p>
            <w:pPr>
              <w:pStyle w:val="10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/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IMPACTO AMBIENTAL</w:t>
            </w:r>
            <w:r/>
          </w:p>
        </w:tc>
        <w:tc>
          <w:tcPr>
            <w:shd w:val="clear" w:color="auto" w:fill="e7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textDirection w:val="lrTb"/>
            <w:noWrap w:val="false"/>
          </w:tcPr>
          <w:p>
            <w:pPr>
              <w:pStyle w:val="10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/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MEDIDA DE TRATAMENTO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6" w:type="dxa"/>
            <w:vAlign w:val="center"/>
            <w:textDirection w:val="lrTb"/>
            <w:noWrap w:val="false"/>
          </w:tcPr>
          <w:p>
            <w:pPr>
              <w:pStyle w:val="967"/>
              <w:widowControl w:val="false"/>
              <w:pBdr/>
              <w:spacing w:after="0" w:before="240"/>
              <w:ind/>
              <w:rPr>
                <w:color w:val="000000"/>
                <w:sz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r>
              <w:t xml:space="preserve">Consumo elevado de energia dado </w:t>
            </w:r>
            <w:r>
              <w:rPr>
                <w:color w:val="000000"/>
                <w:sz w:val="22"/>
              </w:rPr>
              <w:t xml:space="preserve">o uso intensivo de eletricidade para iluminação, sistemas de som e equipamentos.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10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/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Inicialmente, o consumo de energia é uma preocupação primordial, dado o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uso intensivo de eletricidade para iluminação, sistemas de som e equipamentos. Para mitigar isso, os organizadores podem optar por tecnologias mais eficientes em termos energéticos, como iluminação LED de baixo consumo e sistemas de som de alta eficiência.</w:t>
            </w:r>
            <w:r/>
          </w:p>
          <w:p>
            <w:pPr>
              <w:pStyle w:val="10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/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A geração de res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íduos é outro problema comum, com grandes quantidades de copos plásticos, embalagens e materiais descartáveis resultantes desses eventos. A solução inclui a implementação de práticas de gestão de resíduos, como a disponibilização de coletores de lixo por t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odo o evento e limpeza efetiva do local diariamente a fim de evitar acúmulos de lixo. Também é importante utilizar de campanhas de conscientização para incentivar o público a adotar medidas para reduzir o desperdício e depositar o lixo nos locais corretos.</w:t>
            </w:r>
            <w:r/>
          </w:p>
          <w:p>
            <w:pPr>
              <w:pStyle w:val="10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/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A poluição sonora é uma preocup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ação especialmente em shows ao ar livre, afetando tanto o ambiente quanto as comunidades vizinhas. Para minimizar esse impacto, é fundamental respeitar os horários de realização dos shows, evitando perturbar o sono e sossego dos moradores das proximidades.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pStyle w:val="10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</w:p>
          <w:p>
            <w:pPr>
              <w:pStyle w:val="10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</w:p>
          <w:p>
            <w:pPr>
              <w:pStyle w:val="10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/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Em síntese, os impactos ambientais causados por shows podem ser expressivos, mas existem soluções à disposição para abordá-los de maneira eficaz. A adoção d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e práticas sustentáveis e a conscientização do público são passos cruciais em direção a eventos mais eco-friendly e socialmente responsáveis, o que deve ser adotado pelo demandante em cooperação com as Secretarias: infraestrutura, Urbanismo e Meio Ambiente</w:t>
            </w:r>
            <w:r/>
          </w:p>
          <w:p>
            <w:pPr>
              <w:pStyle w:val="10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</w:p>
          <w:p>
            <w:pPr>
              <w:pStyle w:val="10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  <w:r>
              <w:rPr>
                <w:rFonts w:eastAsia="Calibri"/>
                <w:color w:val="000000"/>
                <w:sz w:val="22"/>
                <w:szCs w:val="22"/>
              </w:rPr>
            </w:r>
          </w:p>
        </w:tc>
      </w:tr>
    </w:tbl>
    <w:p>
      <w:pPr>
        <w:pStyle w:val="967"/>
        <w:numPr>
          <w:ilvl w:val="0"/>
          <w:numId w:val="7"/>
        </w:numPr>
        <w:pBdr/>
        <w:tabs>
          <w:tab w:val="left" w:leader="none" w:pos="567"/>
          <w:tab w:val="clear" w:leader="none" w:pos="709"/>
        </w:tabs>
        <w:spacing w:after="120" w:before="240"/>
        <w:ind w:firstLine="0" w:left="0"/>
        <w:jc w:val="both"/>
        <w:rPr/>
      </w:pPr>
      <w:r/>
      <w:bookmarkStart w:id="13" w:name="art18§1xiii"/>
      <w:r/>
      <w:bookmarkEnd w:id="13"/>
      <w:r>
        <w:rPr>
          <w:rFonts w:eastAsia="MS Mincho;ＭＳ 明朝"/>
          <w:b/>
          <w:bCs/>
          <w:sz w:val="22"/>
          <w:szCs w:val="22"/>
          <w:lang w:eastAsia="ar-SA"/>
        </w:rPr>
        <w:t xml:space="preserve">DECLARAÇÃO DE VIABILIDADE </w:t>
      </w:r>
      <w:r/>
    </w:p>
    <w:p>
      <w:pPr>
        <w:pStyle w:val="967"/>
        <w:pBdr/>
        <w:tabs>
          <w:tab w:val="left" w:leader="none" w:pos="0"/>
          <w:tab w:val="clear" w:leader="none" w:pos="709"/>
          <w:tab w:val="left" w:leader="none" w:pos="851"/>
        </w:tabs>
        <w:spacing w:after="0" w:before="120"/>
        <w:ind w:firstLine="851"/>
        <w:jc w:val="both"/>
        <w:rPr>
          <w:sz w:val="22"/>
          <w:szCs w:val="22"/>
          <w:highlight w:val="none"/>
        </w:rPr>
      </w:pPr>
      <w:r>
        <w:rPr>
          <w:sz w:val="22"/>
          <w:szCs w:val="22"/>
        </w:rPr>
        <w:t xml:space="preserve">Feito os estudos acima, este departamento elaborou o presente Estudo Técnico Preliminar, concluindo ser </w:t>
      </w:r>
      <w:r>
        <w:rPr>
          <w:rFonts w:eastAsia="MS Mincho;ＭＳ 明朝"/>
          <w:sz w:val="22"/>
          <w:szCs w:val="22"/>
          <w:lang w:eastAsia="ar-SA"/>
        </w:rPr>
        <w:t xml:space="preserve">VIÁVEL</w:t>
      </w:r>
      <w:r>
        <w:rPr>
          <w:sz w:val="22"/>
          <w:szCs w:val="22"/>
        </w:rPr>
        <w:t xml:space="preserve"> a contratação pretendida nos termos deste Estudo Técnico Prelimin</w:t>
      </w:r>
      <w:r>
        <w:rPr>
          <w:sz w:val="22"/>
          <w:szCs w:val="22"/>
        </w:rPr>
        <w:t xml:space="preserve">ar, conforme art. 18, §2º da Lei Federal nº 14.133/2021, cujo objeto é a Contratação de Show de Musica no estilo Pop Rock e Rock, para apresentação no evento do Aniversário da Cidade em comemoração aos 33 anos de emancipação.</w:t>
      </w:r>
      <w:r/>
    </w:p>
    <w:p>
      <w:pPr>
        <w:pStyle w:val="967"/>
        <w:pBdr/>
        <w:tabs>
          <w:tab w:val="left" w:leader="none" w:pos="0"/>
          <w:tab w:val="clear" w:leader="none" w:pos="709"/>
          <w:tab w:val="left" w:leader="none" w:pos="851"/>
        </w:tabs>
        <w:spacing w:after="0" w:before="120"/>
        <w:ind w:firstLine="851"/>
        <w:jc w:val="both"/>
        <w:rPr/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>
        <w:rPr>
          <w:sz w:val="22"/>
          <w:szCs w:val="22"/>
        </w:rPr>
        <w:t xml:space="preserve">                                                                                            </w:t>
      </w:r>
      <w:r>
        <w:rPr>
          <w:sz w:val="22"/>
          <w:szCs w:val="22"/>
        </w:rPr>
        <w:t xml:space="preserve">Nova Santa Rita, dia 18 de fevereiro de 2025.</w:t>
      </w:r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>
        <w:t xml:space="preserve">     </w:t>
      </w:r>
      <w:r>
        <w:t xml:space="preserve">__________________________________               _________________________________</w:t>
      </w:r>
      <w:r/>
    </w:p>
    <w:tbl>
      <w:tblPr>
        <w:tblW w:w="9921" w:type="dxa"/>
        <w:tblInd w:w="0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000" w:firstRow="0" w:lastRow="0" w:firstColumn="0" w:lastColumn="0" w:noHBand="0" w:noVBand="0"/>
      </w:tblPr>
      <w:tblGrid>
        <w:gridCol w:w="4935"/>
        <w:gridCol w:w="4985"/>
      </w:tblGrid>
      <w:tr>
        <w:trPr>
          <w:trHeight w:val="134"/>
        </w:trPr>
        <w:tc>
          <w:tcPr>
            <w:tcBorders/>
            <w:tcW w:w="4935" w:type="dxa"/>
            <w:textDirection w:val="lrTb"/>
            <w:noWrap w:val="false"/>
          </w:tcPr>
          <w:p>
            <w:pPr>
              <w:pStyle w:val="9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/>
              <w:ind/>
              <w:rPr/>
            </w:pPr>
            <w:r>
              <w:t xml:space="preserve">                      Eduardo Ivanowski</w:t>
            </w:r>
            <w:r/>
          </w:p>
          <w:p>
            <w:pPr>
              <w:pStyle w:val="9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/>
              <w:ind/>
              <w:jc w:val="center"/>
              <w:rPr/>
            </w:pPr>
            <w:r>
              <w:t xml:space="preserve">Secretário Municipal de Esporte,</w:t>
            </w:r>
            <w:r/>
          </w:p>
          <w:p>
            <w:pPr>
              <w:pStyle w:val="9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/>
              <w:ind/>
              <w:jc w:val="center"/>
              <w:rPr/>
            </w:pPr>
            <w:r/>
            <w:bookmarkStart w:id="15" w:name="_Hlk177045906"/>
            <w:r>
              <w:t xml:space="preserve">Lazer, Cultura e Turismo</w:t>
            </w:r>
            <w:bookmarkEnd w:id="15"/>
            <w:r/>
            <w:r/>
          </w:p>
        </w:tc>
        <w:tc>
          <w:tcPr>
            <w:tcBorders/>
            <w:tcW w:w="4985" w:type="dxa"/>
            <w:textDirection w:val="lrTb"/>
            <w:noWrap w:val="false"/>
          </w:tcPr>
          <w:p>
            <w:pPr>
              <w:pStyle w:val="967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3175" distB="3175" distL="635" distR="0" simplePos="0" relativeHeight="14" behindDoc="0" locked="0" layoutInCell="0" allowOverlap="1">
                      <wp:simplePos x="0" y="0"/>
                      <wp:positionH relativeFrom="column">
                        <wp:posOffset>9970770</wp:posOffset>
                      </wp:positionH>
                      <wp:positionV relativeFrom="paragraph">
                        <wp:posOffset>170180</wp:posOffset>
                      </wp:positionV>
                      <wp:extent cx="2154555" cy="635"/>
                      <wp:effectExtent l="635" t="3175" r="0" b="3175"/>
                      <wp:wrapNone/>
                      <wp:docPr id="4" name="Conector re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2154600" cy="720"/>
                              </a:xfrm>
                              <a:prstGeom prst="line">
                                <a:avLst/>
                              </a:prstGeom>
                              <a:ln w="648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 3" o:spid="_x0000_s3" style="position:absolute;left:0;text-align:left;z-index:14;mso-wrap-distance-left:0.05pt;mso-wrap-distance-top:0.25pt;mso-wrap-distance-right:0.00pt;mso-wrap-distance-bottom:0.25pt;visibility:visible;" from="785.1pt,13.4pt" to="954.7pt,13.4pt" filled="f" strokecolor="#000000" strokeweight="0.51pt"/>
                  </w:pict>
                </mc:Fallback>
              </mc:AlternateContent>
            </w:r>
            <w:r/>
          </w:p>
        </w:tc>
      </w:tr>
    </w:tbl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p>
      <w:pPr>
        <w:pStyle w:val="967"/>
        <w:pBdr/>
        <w:tabs>
          <w:tab w:val="left" w:leader="none" w:pos="0"/>
          <w:tab w:val="left" w:leader="none" w:pos="567"/>
          <w:tab w:val="clear" w:leader="none" w:pos="709"/>
          <w:tab w:val="left" w:leader="none" w:pos="851"/>
        </w:tabs>
        <w:spacing w:after="120" w:before="120"/>
        <w:ind/>
        <w:jc w:val="both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701" w:right="1134" w:bottom="1418" w:left="1418" w:header="0" w:footer="567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MS Gothic;ＭＳ ゴシック">
    <w:panose1 w:val="020B0609070205080204"/>
  </w:font>
  <w:font w:name="Tahoma">
    <w:panose1 w:val="020B0604030504040204"/>
  </w:font>
  <w:font w:name="SimSun;宋体">
    <w:panose1 w:val="02010600030101010101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MS Mincho;ＭＳ 明朝">
    <w:panose1 w:val="02000603000000000000"/>
  </w:font>
  <w:font w:name="Symbol">
    <w:panose1 w:val="05050102010706020507"/>
  </w:font>
  <w:font w:name="Microsoft YaHei">
    <w:panose1 w:val="020B0503020204020204"/>
  </w:font>
  <w:font w:name="Times New Roman">
    <w:panose1 w:val="02020603050405020304"/>
  </w:font>
  <w:font w:name="Arial">
    <w:panose1 w:val="020B0604020202020204"/>
  </w:font>
  <w:font w:name="Arial Unicode MS">
    <w:panose1 w:val="020B0604020202020204"/>
  </w:font>
  <w:font w:name="NSimSun">
    <w:panose1 w:val="02010609030101010101"/>
  </w:font>
  <w:font w:name="Lucida Sans">
    <w:panose1 w:val="020B0602030504020204"/>
  </w:font>
  <w:font w:name="Wingdings">
    <w:panose1 w:val="05000000000000000000"/>
  </w:font>
  <w:font w:name="Liberation Sans">
    <w:panose1 w:val="020B0604020202020204"/>
  </w:font>
  <w:font w:name="Liberation Serif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8"/>
      <w:pBdr/>
      <w:spacing/>
      <w:ind/>
      <w:jc w:val="center"/>
      <w:rPr>
        <w:sz w:val="20"/>
      </w:rPr>
    </w:pPr>
    <w:r>
      <w:rPr>
        <w:sz w:val="20"/>
      </w:rPr>
      <w:t xml:space="preserve">Rua Hélio Fraga de Moraes Sarmento, 241– Fone (51) 989451439 – CEP 92480-000 – Nova Santa Rita – RS</w:t>
    </w:r>
    <w:r>
      <w:rPr>
        <w:sz w:val="20"/>
      </w:rPr>
    </w:r>
    <w:r>
      <w:rPr>
        <w:sz w:val="20"/>
      </w:rPr>
    </w:r>
  </w:p>
  <w:p>
    <w:pPr>
      <w:pStyle w:val="1038"/>
      <w:pBdr/>
      <w:spacing/>
      <w:ind/>
      <w:jc w:val="center"/>
      <w:rPr>
        <w:sz w:val="20"/>
      </w:rPr>
    </w:pPr>
    <w:r>
      <w:rPr>
        <w:sz w:val="20"/>
      </w:rPr>
      <w:t xml:space="preserve">e-mail:</w:t>
    </w:r>
    <w:r>
      <w:rPr>
        <w:rStyle w:val="1008"/>
        <w:sz w:val="20"/>
      </w:rPr>
      <w:t xml:space="preserve">smelct@novasantarita.rs.gov.br</w:t>
    </w:r>
    <w:r>
      <w:rPr>
        <w:sz w:val="20"/>
      </w:rPr>
    </w:r>
    <w:r>
      <w:rPr>
        <w:sz w:val="20"/>
      </w:rPr>
    </w:r>
  </w:p>
  <w:p>
    <w:pPr>
      <w:pStyle w:val="1038"/>
      <w:pBdr/>
      <w:spacing/>
      <w:ind/>
      <w:jc w:val="center"/>
      <w:rPr>
        <w:sz w:val="20"/>
      </w:rPr>
    </w:pPr>
    <w:r>
      <w:rPr>
        <w:sz w:val="20"/>
      </w:rPr>
      <w:t xml:space="preserve">  </w:t>
    </w:r>
    <w:r>
      <w:rPr>
        <w:sz w:val="20"/>
      </w:rPr>
      <w:t xml:space="preserve">site:</w:t>
    </w:r>
    <w:hyperlink r:id="rId1" w:tooltip="http://www.novasantarita.rs.gov.br/" w:history="1">
      <w:r>
        <w:rPr>
          <w:rStyle w:val="1008"/>
          <w:sz w:val="20"/>
        </w:rPr>
        <w:t xml:space="preserve">www.novasantarita.rs.gov.br</w:t>
      </w:r>
    </w:hyperlink>
    <w:r>
      <w:rPr>
        <w:sz w:val="20"/>
      </w:rPr>
      <w:t xml:space="preserve"> CNPJ: 94.309.291/0001-48</w:t>
    </w:r>
    <w:r>
      <w:rPr>
        <w:sz w:val="20"/>
      </w:rPr>
    </w:r>
    <w:r>
      <w:rPr>
        <w:sz w:val="20"/>
      </w:rPr>
    </w:r>
  </w:p>
  <w:p>
    <w:pPr>
      <w:pStyle w:val="1038"/>
      <w:pBdr/>
      <w:spacing/>
      <w:ind/>
      <w:rPr>
        <w:sz w:val="20"/>
      </w:rPr>
    </w:pPr>
    <w:r>
      <w:rPr>
        <w:sz w:val="20"/>
      </w:rPr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4605" distB="14605" distL="0" distR="0" simplePos="0" relativeHeight="9" behindDoc="1" locked="0" layoutInCell="0" allowOverlap="1">
              <wp:simplePos x="0" y="0"/>
              <wp:positionH relativeFrom="column">
                <wp:posOffset>-24130</wp:posOffset>
              </wp:positionH>
              <wp:positionV relativeFrom="paragraph">
                <wp:posOffset>1090295</wp:posOffset>
              </wp:positionV>
              <wp:extent cx="5868035" cy="635"/>
              <wp:effectExtent l="0" t="14604" r="0" b="14604"/>
              <wp:wrapNone/>
              <wp:docPr id="1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86800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4472C4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9;mso-wrap-distance-left:0.00pt;mso-wrap-distance-top:1.15pt;mso-wrap-distance-right:0.00pt;mso-wrap-distance-bottom:1.15pt;visibility:visible;" from="-1.9pt,85.8pt" to="460.1pt,85.9pt" filled="f" strokecolor="#4472C4" strokeweight="2.24pt"/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45720" distB="45720" distL="113665" distR="114300" simplePos="0" relativeHeight="21" behindDoc="1" locked="0" layoutInCell="0" allowOverlap="1">
              <wp:simplePos x="0" y="0"/>
              <wp:positionH relativeFrom="column">
                <wp:posOffset>728345</wp:posOffset>
              </wp:positionH>
              <wp:positionV relativeFrom="paragraph">
                <wp:posOffset>180975</wp:posOffset>
              </wp:positionV>
              <wp:extent cx="4619625" cy="838200"/>
              <wp:effectExtent l="0" t="0" r="0" b="0"/>
              <wp:wrapSquare wrapText="bothSides"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619520" cy="8380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1037"/>
                            <w:pBdr/>
                            <w:spacing/>
                            <w:ind/>
                            <w:jc w:val="both"/>
                            <w:rPr>
                              <w:szCs w:val="24"/>
                            </w:rPr>
                          </w:pPr>
                          <w:r>
                            <w:rPr>
                              <w:szCs w:val="24"/>
                            </w:rPr>
                          </w:r>
                          <w:r>
                            <w:rPr>
                              <w:szCs w:val="24"/>
                            </w:rPr>
                          </w:r>
                          <w:r>
                            <w:rPr>
                              <w:szCs w:val="24"/>
                            </w:rPr>
                          </w:r>
                        </w:p>
                        <w:p>
                          <w:pPr>
                            <w:pStyle w:val="1037"/>
                            <w:pBdr/>
                            <w:spacing/>
                            <w:ind/>
                            <w:jc w:val="both"/>
                            <w:rPr>
                              <w:b/>
                              <w:szCs w:val="24"/>
                            </w:rPr>
                          </w:pPr>
                          <w:r>
                            <w:rPr>
                              <w:szCs w:val="24"/>
                            </w:rPr>
                            <w:t xml:space="preserve">Estado do Rio Grande do Sul</w:t>
                          </w:r>
                          <w:r>
                            <w:rPr>
                              <w:b/>
                              <w:szCs w:val="24"/>
                            </w:rPr>
                          </w:r>
                          <w:r>
                            <w:rPr>
                              <w:b/>
                              <w:szCs w:val="24"/>
                            </w:rPr>
                          </w:r>
                        </w:p>
                        <w:p>
                          <w:pPr>
                            <w:pStyle w:val="1037"/>
                            <w:pBdr/>
                            <w:spacing/>
                            <w:ind/>
                            <w:jc w:val="both"/>
                            <w:rPr>
                              <w:szCs w:val="24"/>
                            </w:rPr>
                          </w:pPr>
                          <w:r>
                            <w:rPr>
                              <w:b/>
                              <w:szCs w:val="24"/>
                            </w:rPr>
                            <w:t xml:space="preserve">PREFEITURA MUNICIPAL DE NOVA SANTA RITA  </w:t>
                          </w:r>
                          <w:r>
                            <w:rPr>
                              <w:szCs w:val="24"/>
                            </w:rPr>
                          </w:r>
                          <w:r>
                            <w:rPr>
                              <w:szCs w:val="24"/>
                            </w:rPr>
                          </w:r>
                        </w:p>
                        <w:p>
                          <w:pPr>
                            <w:pStyle w:val="1037"/>
                            <w:pBdr/>
                            <w:spacing/>
                            <w:ind/>
                            <w:jc w:val="both"/>
                            <w:rPr/>
                          </w:pPr>
                          <w:r>
                            <w:rPr>
                              <w:szCs w:val="24"/>
                            </w:rPr>
                            <w:t xml:space="preserve">Secretaria Municipal de Esporte, Lazer, Cultura e Turismo</w:t>
                          </w:r>
                          <w:r/>
                        </w:p>
                        <w:p>
                          <w:pPr>
                            <w:pStyle w:val="1085"/>
                            <w:pBdr/>
                            <w:spacing/>
                            <w:ind/>
                            <w:rPr/>
                          </w:pPr>
                          <w:r/>
                          <w:r/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1" type="#_x0000_t1" style="position:absolute;z-index:-21;o:allowoverlap:true;o:allowincell:false;mso-position-horizontal-relative:text;margin-left:57.35pt;mso-position-horizontal:absolute;mso-position-vertical-relative:text;margin-top:14.25pt;mso-position-vertical:absolute;width:363.75pt;height:66.00pt;mso-wrap-distance-left:8.95pt;mso-wrap-distance-top:3.60pt;mso-wrap-distance-right:9.00pt;mso-wrap-distance-bottom:3.60pt;v-text-anchor:top;visibility:visible;" filled="f" stroked="f" strokeweight="0.75pt">
              <w10:wrap type="square"/>
              <v:textbox inset="0,0,0,0">
                <w:txbxContent>
                  <w:p>
                    <w:pPr>
                      <w:pStyle w:val="1037"/>
                      <w:pBdr/>
                      <w:spacing/>
                      <w:ind/>
                      <w:jc w:val="both"/>
                      <w:rPr>
                        <w:szCs w:val="24"/>
                      </w:rPr>
                    </w:pPr>
                    <w:r>
                      <w:rPr>
                        <w:szCs w:val="24"/>
                      </w:rPr>
                    </w:r>
                    <w:r>
                      <w:rPr>
                        <w:szCs w:val="24"/>
                      </w:rPr>
                    </w:r>
                    <w:r>
                      <w:rPr>
                        <w:szCs w:val="24"/>
                      </w:rPr>
                    </w:r>
                  </w:p>
                  <w:p>
                    <w:pPr>
                      <w:pStyle w:val="1037"/>
                      <w:pBdr/>
                      <w:spacing/>
                      <w:ind/>
                      <w:jc w:val="both"/>
                      <w:rPr>
                        <w:b/>
                        <w:szCs w:val="24"/>
                      </w:rPr>
                    </w:pPr>
                    <w:r>
                      <w:rPr>
                        <w:szCs w:val="24"/>
                      </w:rPr>
                      <w:t xml:space="preserve">Estado do Rio Grande do Sul</w:t>
                    </w:r>
                    <w:r>
                      <w:rPr>
                        <w:b/>
                        <w:szCs w:val="24"/>
                      </w:rPr>
                    </w:r>
                    <w:r>
                      <w:rPr>
                        <w:b/>
                        <w:szCs w:val="24"/>
                      </w:rPr>
                    </w:r>
                  </w:p>
                  <w:p>
                    <w:pPr>
                      <w:pStyle w:val="1037"/>
                      <w:pBdr/>
                      <w:spacing/>
                      <w:ind/>
                      <w:jc w:val="both"/>
                      <w:rPr>
                        <w:szCs w:val="24"/>
                      </w:rPr>
                    </w:pPr>
                    <w:r>
                      <w:rPr>
                        <w:b/>
                        <w:szCs w:val="24"/>
                      </w:rPr>
                      <w:t xml:space="preserve">PREFEITURA MUNICIPAL DE NOVA SANTA RITA  </w:t>
                    </w:r>
                    <w:r>
                      <w:rPr>
                        <w:szCs w:val="24"/>
                      </w:rPr>
                    </w:r>
                    <w:r>
                      <w:rPr>
                        <w:szCs w:val="24"/>
                      </w:rPr>
                    </w:r>
                  </w:p>
                  <w:p>
                    <w:pPr>
                      <w:pStyle w:val="1037"/>
                      <w:pBdr/>
                      <w:spacing/>
                      <w:ind/>
                      <w:jc w:val="both"/>
                      <w:rPr/>
                    </w:pPr>
                    <w:r>
                      <w:rPr>
                        <w:szCs w:val="24"/>
                      </w:rPr>
                      <w:t xml:space="preserve">Secretaria Municipal de Esporte, Lazer, Cultura e Turismo</w:t>
                    </w:r>
                    <w:r/>
                  </w:p>
                  <w:p>
                    <w:pPr>
                      <w:pStyle w:val="1085"/>
                      <w:pBdr/>
                      <w:spacing/>
                      <w:ind/>
                      <w:rPr/>
                    </w:pPr>
                    <w:r/>
                    <w:r/>
                  </w:p>
                </w:txbxContent>
              </v:textbox>
            </v:shape>
          </w:pict>
        </mc:Fallback>
      </mc:AlternateContent>
      <w:object w:dxaOrig="3840" w:dyaOrig="45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" o:spid="_x0000_s2" type="#_x0000_t75" style="position:absolute;z-index:6144;o:allowoverlap:true;o:allowincell:true;mso-position-horizontal-relative:text;margin-left:-1.25pt;mso-position-horizontal:absolute;mso-position-vertical-relative:text;margin-top:24.80pt;mso-position-vertical:absolute;width:50.35pt;height:60.15pt;mso-wrap-distance-left:9.00pt;mso-wrap-distance-top:0.00pt;mso-wrap-distance-right:0.00pt;mso-wrap-distance-bottom:0.00pt;z-index:1;" filled="f" stroked="f">
          <w10:wrap type="topAndBottom"/>
          <v:imagedata r:id="rId1" o:title=""/>
          <o:lock v:ext="edit" rotation="t"/>
        </v:shape>
        <o:OLEObject DrawAspect="Content" r:id="rId2" ObjectID="_1525042" ProgID="PBrush" ShapeID="_x0000_i2" Type="Embed"/>
      </w:object>
    </w:r>
    <w:bookmarkStart w:id="17" w:name="_Hlk172130659"/>
    <w:r/>
    <w:bookmarkEnd w:id="17"/>
    <w:r/>
    <w:r/>
  </w:p>
  <w:p>
    <w:pPr>
      <w:pStyle w:val="1037"/>
      <w:pBdr/>
      <w:spacing/>
      <w:ind/>
      <w:rPr>
        <w:sz w:val="22"/>
        <w:szCs w:val="22"/>
        <w:lang w:eastAsia="pt-BR"/>
      </w:rPr>
    </w:pPr>
    <w:r>
      <w:rPr>
        <w:sz w:val="22"/>
        <w:szCs w:val="22"/>
        <w:lang w:eastAsia="pt-BR"/>
      </w:rPr>
    </w:r>
    <w:r>
      <w:rPr>
        <w:sz w:val="22"/>
        <w:szCs w:val="22"/>
        <w:lang w:eastAsia="pt-BR"/>
      </w:rPr>
    </w:r>
    <w:r>
      <w:rPr>
        <w:sz w:val="22"/>
        <w:szCs w:val="22"/>
        <w:lang w:eastAsia="pt-BR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pStyle w:val="968"/>
      <w:rPr/>
      <w:start w:val="1"/>
      <w:suff w:val="nothing"/>
    </w:lvl>
    <w:lvl w:ilvl="1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pStyle w:val="969"/>
      <w:rPr/>
      <w:start w:val="1"/>
      <w:suff w:val="nothing"/>
    </w:lvl>
    <w:lvl w:ilvl="2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pStyle w:val="970"/>
      <w:rPr/>
      <w:start w:val="1"/>
      <w:suff w:val="nothing"/>
    </w:lvl>
    <w:lvl w:ilvl="3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pStyle w:val="971"/>
      <w:rPr/>
      <w:start w:val="1"/>
      <w:suff w:val="nothing"/>
    </w:lvl>
    <w:lvl w:ilvl="4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5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6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7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8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360"/>
      </w:pPr>
      <w:pStyle w:val="1071"/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32" w:left="999"/>
      </w:pPr>
      <w:rPr>
        <w:b w:val="0"/>
        <w:i w:val="0"/>
        <w:strike w:val="0"/>
        <w:color w:val="000000"/>
        <w:sz w:val="20"/>
        <w:szCs w:val="20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504" w:left="1781"/>
      </w:pPr>
      <w:rPr>
        <w:rFonts w:ascii="Arial" w:hAnsi="Arial" w:cs="Arial"/>
        <w:b w:val="0"/>
        <w:i w:val="0"/>
        <w:strike w:val="0"/>
        <w:color w:val="000000"/>
        <w:sz w:val="20"/>
        <w:szCs w:val="20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648" w:left="2491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440" w:left="432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571"/>
      </w:pPr>
      <w:rPr>
        <w:rFonts w:hint="default" w:ascii="Symbol" w:hAnsi="Symbol" w:cs="Symbol"/>
      </w:rPr>
      <w:start w:val="1"/>
      <w:suff w:val="tab"/>
    </w:lvl>
    <w:lvl w:ilvl="1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</w:abstractNum>
  <w:abstractNum w:abstractNumId="3">
    <w:lvl w:ilvl="0">
      <w:isLgl w:val="false"/>
      <w:lvlJc w:val="left"/>
      <w:lvlText w:val="%1"/>
      <w:numFmt w:val="decimalZero"/>
      <w:pPr>
        <w:pBdr/>
        <w:tabs>
          <w:tab w:val="num" w:leader="none" w:pos="540"/>
        </w:tabs>
        <w:spacing/>
        <w:ind w:hanging="540" w:left="540"/>
      </w:pPr>
      <w:pStyle w:val="1078"/>
      <w:rPr/>
      <w:start w:val="3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080"/>
        </w:tabs>
        <w:spacing/>
        <w:ind w:hanging="360" w:left="108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3240"/>
        </w:tabs>
        <w:spacing/>
        <w:ind w:hanging="360" w:left="324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709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444" w:left="444"/>
      </w:pPr>
      <w:pStyle w:val="1079"/>
      <w:rPr>
        <w:rFonts w:eastAsia="MS Mincho;ＭＳ 明朝"/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44" w:left="444"/>
      </w:pPr>
      <w:rPr>
        <w:rFonts w:eastAsia="MS Mincho;ＭＳ 明朝"/>
        <w:b w:val="0"/>
        <w:bCs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720" w:left="720"/>
      </w:pPr>
      <w:rPr>
        <w:rFonts w:ascii="Times New Roman" w:hAnsi="Times New Roman" w:eastAsia="MS Mincho;ＭＳ 明朝" w:cs="Times New Roman"/>
        <w:b w:val="0"/>
        <w:bCs/>
        <w:color w:val="000000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720" w:left="720"/>
      </w:pPr>
      <w:rPr>
        <w:rFonts w:eastAsia="MS Mincho;ＭＳ 明朝"/>
        <w:b w:val="0"/>
        <w:bCs w:val="0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1080" w:left="1080"/>
      </w:pPr>
      <w:rPr>
        <w:rFonts w:eastAsia="MS Mincho;ＭＳ 明朝"/>
        <w:b/>
      </w:rPr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1080" w:left="1080"/>
      </w:pPr>
      <w:rPr>
        <w:rFonts w:eastAsia="MS Mincho;ＭＳ 明朝"/>
        <w:b/>
      </w:rPr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440" w:left="1440"/>
      </w:pPr>
      <w:rPr>
        <w:rFonts w:eastAsia="MS Mincho;ＭＳ 明朝"/>
        <w:b/>
      </w:rPr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440" w:left="1440"/>
      </w:pPr>
      <w:rPr>
        <w:rFonts w:eastAsia="MS Mincho;ＭＳ 明朝"/>
        <w:b/>
      </w:rPr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800" w:left="1800"/>
      </w:pPr>
      <w:rPr>
        <w:rFonts w:eastAsia="MS Mincho;ＭＳ 明朝"/>
        <w:b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32" w:left="792"/>
      </w:pPr>
      <w:rPr>
        <w:b w:val="0"/>
        <w:bCs w:val="0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504" w:left="1224"/>
      </w:pPr>
      <w:rPr>
        <w:b w:val="0"/>
        <w:bCs w:val="0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648" w:left="1728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440" w:left="4320"/>
      </w:pPr>
      <w:rPr/>
      <w:start w:val="1"/>
      <w:suff w:val="tab"/>
    </w:lvl>
  </w:abstractNum>
  <w:abstractNum w:abstractNumId="7">
    <w:lvl w:ilvl="0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1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2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3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4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5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6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7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8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autoHyphenation w:val="true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Liberation Serif" w:hAnsi="Liberation Serif" w:eastAsia="NSimSun" w:cs="Lucida Sans"/>
        <w:sz w:val="24"/>
        <w:szCs w:val="24"/>
        <w:lang w:val="pt-BR" w:eastAsia="zh-CN" w:bidi="hi-I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03">
    <w:name w:val="Table Grid"/>
    <w:basedOn w:val="109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Table Grid Light"/>
    <w:basedOn w:val="109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Plain Table 1"/>
    <w:basedOn w:val="109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Plain Table 2"/>
    <w:basedOn w:val="109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Plain Table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Plain Table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Plain Table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1 Light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1 Light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1 Light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1 Light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1 Light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1 Light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1 Light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2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2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2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2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2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2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3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3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3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3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3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3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4"/>
    <w:basedOn w:val="10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4 - Accent 1"/>
    <w:basedOn w:val="10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4 - Accent 2"/>
    <w:basedOn w:val="10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4 - Accent 3"/>
    <w:basedOn w:val="10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4 - Accent 4"/>
    <w:basedOn w:val="10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4 - Accent 5"/>
    <w:basedOn w:val="10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4 - Accent 6"/>
    <w:basedOn w:val="10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5 Dark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5 Dark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5 Dark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5 Dark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5 Dark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5 Dark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5 Dark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6 Colorful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6 Colorful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6 Colorful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6 Colorful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6 Colorful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6 Colorful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6 Colorful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7 Colorful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7 Colorful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7 Colorful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7 Colorful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7 Colorful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7 Colorful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7 Colorful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1 Light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1 Light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1 Light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1 Light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1 Light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1 Light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1 Light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2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2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2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2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2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2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3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3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3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3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3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3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4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4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4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4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4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4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5 Dark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5 Dark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5 Dark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5 Dark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5 Dark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5 Dark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5 Dark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6 Colorful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6 Colorful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6 Colorful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6 Colorful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6 Colorful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6 Colorful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6 Colorful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7 Colorful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7 Colorful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7 Colorful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7 Colorful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7 Colorful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7 Colorful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7 Colorful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ned - Accent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ned - Accent 1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ned - Accent 2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ned - Accent 3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ned - Accent 4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ned - Accent 5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ned - Accent 6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&amp; Lined - Accent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&amp; Lined - Accent 1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&amp; Lined - Accent 2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&amp; Lined - Accent 3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&amp; Lined - Accent 4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&amp; Lined - Accent 5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&amp; Lined - Accent 6"/>
    <w:basedOn w:val="10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Bordered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- Accent 1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Bordered - Accent 2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Bordered - Accent 3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Bordered - Accent 4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Bordered - Accent 5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Bordered - Accent 6"/>
    <w:basedOn w:val="10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9">
    <w:name w:val="Heading 5"/>
    <w:basedOn w:val="967"/>
    <w:next w:val="967"/>
    <w:link w:val="93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30">
    <w:name w:val="Heading 6"/>
    <w:basedOn w:val="967"/>
    <w:next w:val="967"/>
    <w:link w:val="93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31">
    <w:name w:val="Heading 7"/>
    <w:basedOn w:val="967"/>
    <w:next w:val="967"/>
    <w:link w:val="94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32">
    <w:name w:val="Heading 8"/>
    <w:basedOn w:val="967"/>
    <w:next w:val="967"/>
    <w:link w:val="94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33">
    <w:name w:val="Heading 9"/>
    <w:basedOn w:val="967"/>
    <w:next w:val="967"/>
    <w:link w:val="94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34">
    <w:name w:val="Heading 1 Char"/>
    <w:basedOn w:val="972"/>
    <w:link w:val="9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35">
    <w:name w:val="Heading 2 Char"/>
    <w:basedOn w:val="972"/>
    <w:link w:val="9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36">
    <w:name w:val="Heading 3 Char"/>
    <w:basedOn w:val="972"/>
    <w:link w:val="9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37">
    <w:name w:val="Heading 4 Char"/>
    <w:basedOn w:val="972"/>
    <w:link w:val="97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38">
    <w:name w:val="Heading 5 Char"/>
    <w:basedOn w:val="972"/>
    <w:link w:val="9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39">
    <w:name w:val="Heading 6 Char"/>
    <w:basedOn w:val="972"/>
    <w:link w:val="93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40">
    <w:name w:val="Heading 7 Char"/>
    <w:basedOn w:val="972"/>
    <w:link w:val="93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41">
    <w:name w:val="Heading 8 Char"/>
    <w:basedOn w:val="972"/>
    <w:link w:val="93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2">
    <w:name w:val="Heading 9 Char"/>
    <w:basedOn w:val="972"/>
    <w:link w:val="93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3">
    <w:name w:val="Title Char"/>
    <w:basedOn w:val="972"/>
    <w:link w:val="103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44">
    <w:name w:val="Subtitle"/>
    <w:basedOn w:val="967"/>
    <w:next w:val="967"/>
    <w:link w:val="94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45">
    <w:name w:val="Subtitle Char"/>
    <w:basedOn w:val="972"/>
    <w:link w:val="94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46">
    <w:name w:val="Quote"/>
    <w:basedOn w:val="967"/>
    <w:next w:val="967"/>
    <w:link w:val="94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47">
    <w:name w:val="Quote Char"/>
    <w:basedOn w:val="972"/>
    <w:link w:val="94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48">
    <w:name w:val="Intense Emphasis"/>
    <w:basedOn w:val="9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49">
    <w:name w:val="Intense Quote"/>
    <w:basedOn w:val="967"/>
    <w:next w:val="967"/>
    <w:link w:val="95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50">
    <w:name w:val="Intense Quote Char"/>
    <w:basedOn w:val="972"/>
    <w:link w:val="94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51">
    <w:name w:val="Intense Reference"/>
    <w:basedOn w:val="9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952">
    <w:name w:val="Subtle Emphasis"/>
    <w:basedOn w:val="9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53">
    <w:name w:val="Emphasis"/>
    <w:basedOn w:val="972"/>
    <w:uiPriority w:val="20"/>
    <w:qFormat/>
    <w:pPr>
      <w:pBdr/>
      <w:spacing/>
      <w:ind/>
    </w:pPr>
    <w:rPr>
      <w:i/>
      <w:iCs/>
    </w:rPr>
  </w:style>
  <w:style w:type="character" w:styleId="954">
    <w:name w:val="Subtle Reference"/>
    <w:basedOn w:val="9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55">
    <w:name w:val="Book Title"/>
    <w:basedOn w:val="972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56">
    <w:name w:val="Header Char"/>
    <w:basedOn w:val="972"/>
    <w:link w:val="1037"/>
    <w:uiPriority w:val="99"/>
    <w:pPr>
      <w:pBdr/>
      <w:spacing/>
      <w:ind/>
    </w:pPr>
  </w:style>
  <w:style w:type="character" w:styleId="957">
    <w:name w:val="Footer Char"/>
    <w:basedOn w:val="972"/>
    <w:link w:val="1038"/>
    <w:uiPriority w:val="99"/>
    <w:pPr>
      <w:pBdr/>
      <w:spacing/>
      <w:ind/>
    </w:pPr>
  </w:style>
  <w:style w:type="paragraph" w:styleId="958">
    <w:name w:val="footnote text"/>
    <w:basedOn w:val="967"/>
    <w:link w:val="95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59">
    <w:name w:val="Footnote Text Char"/>
    <w:basedOn w:val="972"/>
    <w:link w:val="958"/>
    <w:uiPriority w:val="99"/>
    <w:semiHidden/>
    <w:pPr>
      <w:pBdr/>
      <w:spacing/>
      <w:ind/>
    </w:pPr>
    <w:rPr>
      <w:sz w:val="20"/>
      <w:szCs w:val="20"/>
    </w:rPr>
  </w:style>
  <w:style w:type="character" w:styleId="960">
    <w:name w:val="footnote reference"/>
    <w:basedOn w:val="972"/>
    <w:uiPriority w:val="99"/>
    <w:semiHidden/>
    <w:unhideWhenUsed/>
    <w:pPr>
      <w:pBdr/>
      <w:spacing/>
      <w:ind/>
    </w:pPr>
    <w:rPr>
      <w:vertAlign w:val="superscript"/>
    </w:rPr>
  </w:style>
  <w:style w:type="paragraph" w:styleId="961">
    <w:name w:val="endnote text"/>
    <w:basedOn w:val="967"/>
    <w:link w:val="96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2">
    <w:name w:val="Endnote Text Char"/>
    <w:basedOn w:val="972"/>
    <w:link w:val="961"/>
    <w:uiPriority w:val="99"/>
    <w:semiHidden/>
    <w:pPr>
      <w:pBdr/>
      <w:spacing/>
      <w:ind/>
    </w:pPr>
    <w:rPr>
      <w:sz w:val="20"/>
      <w:szCs w:val="20"/>
    </w:rPr>
  </w:style>
  <w:style w:type="character" w:styleId="963">
    <w:name w:val="endnote reference"/>
    <w:basedOn w:val="972"/>
    <w:uiPriority w:val="99"/>
    <w:semiHidden/>
    <w:unhideWhenUsed/>
    <w:pPr>
      <w:pBdr/>
      <w:spacing/>
      <w:ind/>
    </w:pPr>
    <w:rPr>
      <w:vertAlign w:val="superscript"/>
    </w:rPr>
  </w:style>
  <w:style w:type="character" w:styleId="964">
    <w:name w:val="FollowedHyperlink"/>
    <w:basedOn w:val="9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65">
    <w:name w:val="TOC Heading"/>
    <w:uiPriority w:val="39"/>
    <w:unhideWhenUsed/>
    <w:pPr>
      <w:pBdr/>
      <w:spacing/>
      <w:ind/>
    </w:pPr>
  </w:style>
  <w:style w:type="paragraph" w:styleId="966">
    <w:name w:val="table of figures"/>
    <w:basedOn w:val="967"/>
    <w:next w:val="967"/>
    <w:uiPriority w:val="99"/>
    <w:unhideWhenUsed/>
    <w:pPr>
      <w:pBdr/>
      <w:spacing w:after="0" w:afterAutospacing="0"/>
      <w:ind/>
    </w:pPr>
  </w:style>
  <w:style w:type="paragraph" w:styleId="967" w:default="1">
    <w:name w:val="Normal"/>
    <w:qFormat/>
    <w:pPr>
      <w:widowControl w:val="true"/>
      <w:pBdr/>
      <w:bidi w:val="false"/>
      <w:spacing w:after="0" w:before="0"/>
      <w:ind/>
      <w:jc w:val="left"/>
    </w:pPr>
    <w:rPr>
      <w:rFonts w:ascii="Times New Roman" w:hAnsi="Times New Roman" w:eastAsia="Times New Roman" w:cs="Times New Roman"/>
      <w:color w:val="auto"/>
      <w:sz w:val="24"/>
      <w:szCs w:val="20"/>
      <w:lang w:val="pt-BR" w:eastAsia="zh-CN" w:bidi="ar-SA"/>
    </w:rPr>
  </w:style>
  <w:style w:type="paragraph" w:styleId="968">
    <w:name w:val="Heading 1"/>
    <w:basedOn w:val="967"/>
    <w:next w:val="967"/>
    <w:uiPriority w:val="9"/>
    <w:qFormat/>
    <w:pPr>
      <w:keepNext w:val="true"/>
      <w:numPr>
        <w:ilvl w:val="0"/>
        <w:numId w:val="1"/>
      </w:numPr>
      <w:pBdr/>
      <w:spacing/>
      <w:ind/>
      <w:jc w:val="center"/>
      <w:outlineLvl w:val="0"/>
    </w:pPr>
    <w:rPr>
      <w:b/>
    </w:rPr>
  </w:style>
  <w:style w:type="paragraph" w:styleId="969">
    <w:name w:val="Heading 2"/>
    <w:basedOn w:val="967"/>
    <w:next w:val="967"/>
    <w:uiPriority w:val="9"/>
    <w:semiHidden/>
    <w:unhideWhenUsed/>
    <w:qFormat/>
    <w:pPr>
      <w:keepNext w:val="true"/>
      <w:numPr>
        <w:ilvl w:val="1"/>
        <w:numId w:val="1"/>
      </w:numPr>
      <w:pBdr/>
      <w:tabs>
        <w:tab w:val="clear" w:leader="none" w:pos="709"/>
        <w:tab w:val="left" w:leader="hyphen" w:pos="7371"/>
      </w:tabs>
      <w:spacing/>
      <w:ind/>
      <w:jc w:val="both"/>
      <w:outlineLvl w:val="1"/>
    </w:pPr>
    <w:rPr>
      <w:b/>
    </w:rPr>
  </w:style>
  <w:style w:type="paragraph" w:styleId="970">
    <w:name w:val="Heading 3"/>
    <w:basedOn w:val="967"/>
    <w:next w:val="967"/>
    <w:uiPriority w:val="9"/>
    <w:semiHidden/>
    <w:unhideWhenUsed/>
    <w:qFormat/>
    <w:pPr>
      <w:keepNext w:val="true"/>
      <w:numPr>
        <w:ilvl w:val="2"/>
        <w:numId w:val="1"/>
      </w:numPr>
      <w:pBdr/>
      <w:spacing/>
      <w:ind w:right="1253" w:firstLine="0"/>
      <w:jc w:val="center"/>
      <w:outlineLvl w:val="2"/>
    </w:pPr>
    <w:rPr>
      <w:rFonts w:ascii="Arial" w:hAnsi="Arial" w:cs="Arial"/>
      <w:b/>
      <w:bCs/>
    </w:rPr>
  </w:style>
  <w:style w:type="paragraph" w:styleId="971">
    <w:name w:val="Heading 4"/>
    <w:basedOn w:val="967"/>
    <w:next w:val="967"/>
    <w:uiPriority w:val="9"/>
    <w:semiHidden/>
    <w:unhideWhenUsed/>
    <w:qFormat/>
    <w:pPr>
      <w:keepNext w:val="true"/>
      <w:numPr>
        <w:ilvl w:val="3"/>
        <w:numId w:val="1"/>
      </w:numPr>
      <w:pBdr/>
      <w:spacing/>
      <w:ind w:right="988" w:firstLine="0"/>
      <w:jc w:val="center"/>
      <w:outlineLvl w:val="3"/>
    </w:pPr>
    <w:rPr>
      <w:rFonts w:ascii="Arial" w:hAnsi="Arial" w:cs="Arial"/>
      <w:b/>
      <w:bCs/>
    </w:rPr>
  </w:style>
  <w:style w:type="character" w:styleId="972" w:default="1">
    <w:name w:val="Default Paragraph Font"/>
    <w:uiPriority w:val="1"/>
    <w:semiHidden/>
    <w:unhideWhenUsed/>
    <w:qFormat/>
    <w:pPr>
      <w:pBdr/>
      <w:spacing/>
      <w:ind/>
    </w:pPr>
  </w:style>
  <w:style w:type="character" w:styleId="973" w:customStyle="1">
    <w:name w:val="WW8Num2z0"/>
    <w:qFormat/>
    <w:pPr>
      <w:pBdr/>
      <w:spacing/>
      <w:ind/>
    </w:pPr>
    <w:rPr>
      <w:b/>
    </w:rPr>
  </w:style>
  <w:style w:type="character" w:styleId="974" w:customStyle="1">
    <w:name w:val="WW8Num2z1"/>
    <w:qFormat/>
    <w:pPr>
      <w:pBdr/>
      <w:spacing/>
      <w:ind/>
    </w:pPr>
    <w:rPr>
      <w:b w:val="0"/>
      <w:i w:val="0"/>
      <w:strike w:val="0"/>
      <w:color w:val="000000"/>
      <w:sz w:val="20"/>
      <w:szCs w:val="20"/>
      <w:u w:val="none"/>
    </w:rPr>
  </w:style>
  <w:style w:type="character" w:styleId="975" w:customStyle="1">
    <w:name w:val="WW8Num2z2"/>
    <w:qFormat/>
    <w:pPr>
      <w:pBdr/>
      <w:spacing/>
      <w:ind/>
    </w:pPr>
    <w:rPr>
      <w:rFonts w:ascii="Arial" w:hAnsi="Arial" w:cs="Arial"/>
      <w:b w:val="0"/>
      <w:i w:val="0"/>
      <w:strike w:val="0"/>
      <w:color w:val="000000"/>
      <w:sz w:val="20"/>
      <w:szCs w:val="20"/>
    </w:rPr>
  </w:style>
  <w:style w:type="character" w:styleId="976" w:customStyle="1">
    <w:name w:val="WW8Num3z0"/>
    <w:qFormat/>
    <w:pPr>
      <w:pBdr/>
      <w:spacing/>
      <w:ind/>
    </w:pPr>
    <w:rPr>
      <w:rFonts w:ascii="Symbol" w:hAnsi="Symbol" w:cs="Symbol"/>
    </w:rPr>
  </w:style>
  <w:style w:type="character" w:styleId="977" w:customStyle="1">
    <w:name w:val="WW8Num4z0"/>
    <w:qFormat/>
    <w:pPr>
      <w:pBdr/>
      <w:spacing/>
      <w:ind/>
    </w:pPr>
  </w:style>
  <w:style w:type="character" w:styleId="978" w:customStyle="1">
    <w:name w:val="WW8Num5z0"/>
    <w:qFormat/>
    <w:pPr>
      <w:pBdr/>
      <w:spacing/>
      <w:ind/>
    </w:pPr>
  </w:style>
  <w:style w:type="character" w:styleId="979" w:customStyle="1">
    <w:name w:val="WW8Num6z0"/>
    <w:qFormat/>
    <w:pPr>
      <w:pBdr/>
      <w:spacing/>
      <w:ind/>
    </w:pPr>
    <w:rPr>
      <w:rFonts w:eastAsia="MS Mincho;ＭＳ 明朝"/>
      <w:b/>
    </w:rPr>
  </w:style>
  <w:style w:type="character" w:styleId="980" w:customStyle="1">
    <w:name w:val="WW8Num6z1"/>
    <w:qFormat/>
    <w:pPr>
      <w:pBdr/>
      <w:spacing/>
      <w:ind/>
    </w:pPr>
    <w:rPr>
      <w:rFonts w:eastAsia="MS Mincho;ＭＳ 明朝"/>
      <w:b w:val="0"/>
      <w:bCs/>
    </w:rPr>
  </w:style>
  <w:style w:type="character" w:styleId="981" w:customStyle="1">
    <w:name w:val="WW8Num6z2"/>
    <w:qFormat/>
    <w:pPr>
      <w:pBdr/>
      <w:spacing/>
      <w:ind/>
    </w:pPr>
    <w:rPr>
      <w:rFonts w:ascii="Times New Roman" w:hAnsi="Times New Roman" w:eastAsia="MS Mincho;ＭＳ 明朝" w:cs="Times New Roman"/>
      <w:b w:val="0"/>
      <w:bCs/>
      <w:color w:val="000000"/>
    </w:rPr>
  </w:style>
  <w:style w:type="character" w:styleId="982" w:customStyle="1">
    <w:name w:val="WW8Num6z3"/>
    <w:qFormat/>
    <w:pPr>
      <w:pBdr/>
      <w:spacing/>
      <w:ind/>
    </w:pPr>
    <w:rPr>
      <w:rFonts w:eastAsia="MS Mincho;ＭＳ 明朝"/>
      <w:b w:val="0"/>
      <w:bCs w:val="0"/>
    </w:rPr>
  </w:style>
  <w:style w:type="character" w:styleId="983" w:customStyle="1">
    <w:name w:val="WW8Num7z1"/>
    <w:qFormat/>
    <w:pPr>
      <w:pBdr/>
      <w:spacing/>
      <w:ind/>
    </w:pPr>
    <w:rPr>
      <w:b w:val="0"/>
      <w:bCs w:val="0"/>
    </w:rPr>
  </w:style>
  <w:style w:type="character" w:styleId="984" w:customStyle="1">
    <w:name w:val="WW8Num1z0"/>
    <w:qFormat/>
    <w:pPr>
      <w:pBdr/>
      <w:spacing/>
      <w:ind/>
    </w:pPr>
    <w:rPr>
      <w:rFonts w:ascii="Calibri" w:hAnsi="Calibri" w:cs="Calibri"/>
      <w:b/>
      <w:bCs/>
      <w:sz w:val="22"/>
      <w:szCs w:val="22"/>
    </w:rPr>
  </w:style>
  <w:style w:type="character" w:styleId="985" w:customStyle="1">
    <w:name w:val="WW8Num1z1"/>
    <w:qFormat/>
    <w:pPr>
      <w:pBdr/>
      <w:spacing/>
      <w:ind/>
    </w:pPr>
    <w:rPr>
      <w:b w:val="0"/>
      <w:bCs w:val="0"/>
    </w:rPr>
  </w:style>
  <w:style w:type="character" w:styleId="986" w:customStyle="1">
    <w:name w:val="WW8Num1z3"/>
    <w:qFormat/>
    <w:pPr>
      <w:pBdr/>
      <w:spacing/>
      <w:ind/>
    </w:pPr>
  </w:style>
  <w:style w:type="character" w:styleId="987" w:customStyle="1">
    <w:name w:val="WW8Num4z1"/>
    <w:qFormat/>
    <w:pPr>
      <w:pBdr/>
      <w:spacing/>
      <w:ind/>
    </w:pPr>
    <w:rPr>
      <w:b w:val="0"/>
      <w:bCs w:val="0"/>
      <w:i w:val="0"/>
      <w:iCs w:val="0"/>
    </w:rPr>
  </w:style>
  <w:style w:type="character" w:styleId="988" w:customStyle="1">
    <w:name w:val="WW8Num4z2"/>
    <w:qFormat/>
    <w:pPr>
      <w:pBdr/>
      <w:spacing/>
      <w:ind/>
    </w:pPr>
    <w:rPr>
      <w:b w:val="0"/>
      <w:bCs w:val="0"/>
    </w:rPr>
  </w:style>
  <w:style w:type="character" w:styleId="989" w:customStyle="1">
    <w:name w:val="WW8Num7z0"/>
    <w:qFormat/>
    <w:pPr>
      <w:pBdr/>
      <w:spacing/>
      <w:ind/>
    </w:pPr>
    <w:rPr>
      <w:rFonts w:ascii="Symbol" w:hAnsi="Symbol" w:cs="Symbol"/>
    </w:rPr>
  </w:style>
  <w:style w:type="character" w:styleId="990" w:customStyle="1">
    <w:name w:val="WW8Num7z2"/>
    <w:qFormat/>
    <w:pPr>
      <w:pBdr/>
      <w:spacing/>
      <w:ind/>
    </w:pPr>
    <w:rPr>
      <w:rFonts w:ascii="Wingdings" w:hAnsi="Wingdings" w:cs="Wingdings"/>
    </w:rPr>
  </w:style>
  <w:style w:type="character" w:styleId="991" w:customStyle="1">
    <w:name w:val="WW8Num8z0"/>
    <w:qFormat/>
    <w:pPr>
      <w:pBdr/>
      <w:spacing/>
      <w:ind/>
    </w:pPr>
    <w:rPr>
      <w:rFonts w:eastAsia="MS Mincho;ＭＳ 明朝"/>
      <w:b/>
    </w:rPr>
  </w:style>
  <w:style w:type="character" w:styleId="992" w:customStyle="1">
    <w:name w:val="WW8Num8z1"/>
    <w:qFormat/>
    <w:pPr>
      <w:pBdr/>
      <w:spacing/>
      <w:ind/>
    </w:pPr>
    <w:rPr>
      <w:rFonts w:eastAsia="MS Mincho;ＭＳ 明朝"/>
      <w:b w:val="0"/>
      <w:bCs/>
    </w:rPr>
  </w:style>
  <w:style w:type="character" w:styleId="993" w:customStyle="1">
    <w:name w:val="WW8Num9z0"/>
    <w:qFormat/>
    <w:pPr>
      <w:pBdr/>
      <w:spacing/>
      <w:ind/>
    </w:pPr>
  </w:style>
  <w:style w:type="character" w:styleId="994" w:customStyle="1">
    <w:name w:val="WW8Num10z0"/>
    <w:qFormat/>
    <w:pPr>
      <w:pBdr/>
      <w:spacing/>
      <w:ind/>
    </w:pPr>
  </w:style>
  <w:style w:type="character" w:styleId="995" w:customStyle="1">
    <w:name w:val="WW8Num12z0"/>
    <w:qFormat/>
    <w:pPr>
      <w:pBdr/>
      <w:spacing/>
      <w:ind/>
    </w:pPr>
  </w:style>
  <w:style w:type="character" w:styleId="996" w:customStyle="1">
    <w:name w:val="WW8Num13z0"/>
    <w:qFormat/>
    <w:pPr>
      <w:pBdr/>
      <w:spacing/>
      <w:ind/>
    </w:pPr>
    <w:rPr>
      <w:rFonts w:eastAsia="MS Mincho;ＭＳ 明朝"/>
      <w:b/>
    </w:rPr>
  </w:style>
  <w:style w:type="character" w:styleId="997" w:customStyle="1">
    <w:name w:val="WW8Num13z1"/>
    <w:qFormat/>
    <w:pPr>
      <w:pBdr/>
      <w:spacing/>
      <w:ind/>
    </w:pPr>
    <w:rPr>
      <w:rFonts w:eastAsia="MS Mincho;ＭＳ 明朝"/>
      <w:b w:val="0"/>
      <w:bCs/>
    </w:rPr>
  </w:style>
  <w:style w:type="character" w:styleId="998" w:customStyle="1">
    <w:name w:val="WW8Num13z2"/>
    <w:qFormat/>
    <w:pPr>
      <w:pBdr/>
      <w:spacing/>
      <w:ind/>
    </w:pPr>
    <w:rPr>
      <w:rFonts w:ascii="Times New Roman" w:hAnsi="Times New Roman" w:eastAsia="MS Mincho;ＭＳ 明朝" w:cs="Times New Roman"/>
      <w:b w:val="0"/>
      <w:bCs/>
      <w:color w:val="000000"/>
    </w:rPr>
  </w:style>
  <w:style w:type="character" w:styleId="999" w:customStyle="1">
    <w:name w:val="WW8Num13z3"/>
    <w:qFormat/>
    <w:pPr>
      <w:pBdr/>
      <w:spacing/>
      <w:ind/>
    </w:pPr>
    <w:rPr>
      <w:rFonts w:eastAsia="MS Mincho;ＭＳ 明朝"/>
      <w:b w:val="0"/>
      <w:bCs w:val="0"/>
    </w:rPr>
  </w:style>
  <w:style w:type="character" w:styleId="1000" w:customStyle="1">
    <w:name w:val="WW8Num14z0"/>
    <w:qFormat/>
    <w:pPr>
      <w:pBdr/>
      <w:spacing/>
      <w:ind/>
    </w:pPr>
    <w:rPr>
      <w:b/>
      <w:bCs w:val="0"/>
      <w:u w:val="none"/>
    </w:rPr>
  </w:style>
  <w:style w:type="character" w:styleId="1001" w:customStyle="1">
    <w:name w:val="WW8Num15z0"/>
    <w:qFormat/>
    <w:pPr>
      <w:pBdr/>
      <w:spacing/>
      <w:ind/>
    </w:pPr>
    <w:rPr>
      <w:rFonts w:ascii="Symbol" w:hAnsi="Symbol" w:cs="Symbol"/>
    </w:rPr>
  </w:style>
  <w:style w:type="character" w:styleId="1002" w:customStyle="1">
    <w:name w:val="WW8Num15z1"/>
    <w:qFormat/>
    <w:pPr>
      <w:pBdr/>
      <w:spacing/>
      <w:ind/>
    </w:pPr>
    <w:rPr>
      <w:rFonts w:ascii="Courier New" w:hAnsi="Courier New" w:cs="Courier New"/>
    </w:rPr>
  </w:style>
  <w:style w:type="character" w:styleId="1003" w:customStyle="1">
    <w:name w:val="WW8Num15z2"/>
    <w:qFormat/>
    <w:pPr>
      <w:pBdr/>
      <w:spacing/>
      <w:ind/>
    </w:pPr>
    <w:rPr>
      <w:rFonts w:ascii="Wingdings" w:hAnsi="Wingdings" w:cs="Wingdings"/>
    </w:rPr>
  </w:style>
  <w:style w:type="character" w:styleId="1004" w:customStyle="1">
    <w:name w:val="WW8Num16z1"/>
    <w:qFormat/>
    <w:pPr>
      <w:pBdr/>
      <w:spacing/>
      <w:ind/>
    </w:pPr>
    <w:rPr>
      <w:b w:val="0"/>
      <w:bCs w:val="0"/>
    </w:rPr>
  </w:style>
  <w:style w:type="character" w:styleId="1005" w:customStyle="1">
    <w:name w:val="WW8Num17z0"/>
    <w:qFormat/>
    <w:pPr>
      <w:pBdr/>
      <w:spacing/>
      <w:ind/>
    </w:pPr>
    <w:rPr>
      <w:rFonts w:eastAsia="Times New Roman"/>
      <w:b/>
    </w:rPr>
  </w:style>
  <w:style w:type="character" w:styleId="1006" w:customStyle="1">
    <w:name w:val="WW8Num17z1"/>
    <w:qFormat/>
    <w:pPr>
      <w:pBdr/>
      <w:spacing/>
      <w:ind/>
    </w:pPr>
    <w:rPr>
      <w:rFonts w:eastAsia="Times New Roman"/>
      <w:b w:val="0"/>
      <w:bCs/>
    </w:rPr>
  </w:style>
  <w:style w:type="character" w:styleId="1007" w:customStyle="1">
    <w:name w:val="WW8Num18z0"/>
    <w:qFormat/>
    <w:pPr>
      <w:pBdr/>
      <w:spacing/>
      <w:ind/>
    </w:pPr>
    <w:rPr>
      <w:rFonts w:eastAsia="Times New Roman"/>
    </w:rPr>
  </w:style>
  <w:style w:type="character" w:styleId="1008">
    <w:name w:val="Hyperlink"/>
    <w:pPr>
      <w:pBdr/>
      <w:spacing/>
      <w:ind/>
    </w:pPr>
    <w:rPr>
      <w:color w:val="0000ff"/>
      <w:u w:val="single"/>
    </w:rPr>
  </w:style>
  <w:style w:type="character" w:styleId="1009" w:customStyle="1">
    <w:name w:val="Texto de balão Char"/>
    <w:qFormat/>
    <w:pPr>
      <w:pBdr/>
      <w:spacing/>
      <w:ind/>
    </w:pPr>
    <w:rPr>
      <w:rFonts w:ascii="Tahoma" w:hAnsi="Tahoma" w:cs="Tahoma"/>
      <w:sz w:val="16"/>
      <w:szCs w:val="16"/>
    </w:rPr>
  </w:style>
  <w:style w:type="character" w:styleId="1010" w:customStyle="1">
    <w:name w:val="Recuo de corpo de texto Char"/>
    <w:qFormat/>
    <w:pPr>
      <w:pBdr/>
      <w:spacing/>
      <w:ind/>
    </w:pPr>
    <w:rPr>
      <w:b/>
      <w:sz w:val="24"/>
    </w:rPr>
  </w:style>
  <w:style w:type="character" w:styleId="1011" w:customStyle="1">
    <w:name w:val="Recuo de corpo de texto 2 Char"/>
    <w:qFormat/>
    <w:pPr>
      <w:pBdr/>
      <w:spacing/>
      <w:ind/>
    </w:pPr>
    <w:rPr>
      <w:b/>
      <w:sz w:val="24"/>
    </w:rPr>
  </w:style>
  <w:style w:type="character" w:styleId="1012" w:customStyle="1">
    <w:name w:val="Título Char"/>
    <w:qFormat/>
    <w:pPr>
      <w:pBdr/>
      <w:spacing/>
      <w:ind/>
    </w:pPr>
    <w:rPr>
      <w:b/>
      <w:sz w:val="24"/>
    </w:rPr>
  </w:style>
  <w:style w:type="character" w:styleId="1013" w:customStyle="1">
    <w:name w:val="fontetexto"/>
    <w:qFormat/>
    <w:pPr>
      <w:pBdr/>
      <w:spacing/>
      <w:ind/>
    </w:pPr>
  </w:style>
  <w:style w:type="character" w:styleId="1014" w:customStyle="1">
    <w:name w:val="Corpo de texto Char"/>
    <w:basedOn w:val="972"/>
    <w:qFormat/>
    <w:pPr>
      <w:pBdr/>
      <w:spacing/>
      <w:ind/>
    </w:pPr>
  </w:style>
  <w:style w:type="character" w:styleId="1015">
    <w:name w:val="Strong"/>
    <w:qFormat/>
    <w:pPr>
      <w:pBdr/>
      <w:spacing/>
      <w:ind/>
    </w:pPr>
    <w:rPr>
      <w:b/>
      <w:bCs/>
    </w:rPr>
  </w:style>
  <w:style w:type="character" w:styleId="1016">
    <w:name w:val="annotation reference"/>
    <w:qFormat/>
    <w:pPr>
      <w:pBdr/>
      <w:spacing/>
      <w:ind/>
    </w:pPr>
    <w:rPr>
      <w:sz w:val="16"/>
      <w:szCs w:val="16"/>
    </w:rPr>
  </w:style>
  <w:style w:type="character" w:styleId="1017" w:customStyle="1">
    <w:name w:val="Texto de comentário Char"/>
    <w:qFormat/>
    <w:pPr>
      <w:pBdr/>
      <w:spacing/>
      <w:ind/>
    </w:pPr>
    <w:rPr>
      <w:rFonts w:eastAsia="SimSun;宋体" w:cs="Mangal"/>
      <w:szCs w:val="18"/>
      <w:lang w:bidi="hi-IN"/>
    </w:rPr>
  </w:style>
  <w:style w:type="character" w:styleId="1018" w:customStyle="1">
    <w:name w:val="Cabeçalho Char"/>
    <w:uiPriority w:val="99"/>
    <w:qFormat/>
    <w:pPr>
      <w:pBdr/>
      <w:spacing/>
      <w:ind/>
    </w:pPr>
    <w:rPr>
      <w:sz w:val="24"/>
    </w:rPr>
  </w:style>
  <w:style w:type="character" w:styleId="1019" w:customStyle="1">
    <w:name w:val="Nivel 2 Char"/>
    <w:qFormat/>
    <w:pPr>
      <w:pBdr/>
      <w:spacing/>
      <w:ind/>
    </w:pPr>
    <w:rPr>
      <w:rFonts w:ascii="Arial" w:hAnsi="Arial" w:eastAsia="Arial" w:cs="Arial"/>
      <w:color w:val="000000"/>
    </w:rPr>
  </w:style>
  <w:style w:type="character" w:styleId="1020" w:customStyle="1">
    <w:name w:val="Nivel 01 Char"/>
    <w:qFormat/>
    <w:pPr>
      <w:pBdr/>
      <w:spacing/>
      <w:ind/>
    </w:pPr>
    <w:rPr>
      <w:rFonts w:ascii="Arial" w:hAnsi="Arial" w:eastAsia="MS Gothic;ＭＳ ゴシック" w:cs="Arial"/>
      <w:b/>
      <w:bCs/>
    </w:rPr>
  </w:style>
  <w:style w:type="character" w:styleId="1021" w:customStyle="1">
    <w:name w:val="ou Char"/>
    <w:qFormat/>
    <w:pPr>
      <w:pBdr/>
      <w:spacing/>
      <w:ind/>
    </w:pPr>
    <w:rPr>
      <w:rFonts w:ascii="Arial" w:hAnsi="Arial" w:eastAsia="Cambria" w:cs="Arial"/>
      <w:b/>
      <w:bCs/>
      <w:i/>
      <w:iCs/>
      <w:color w:val="ff0000"/>
      <w:szCs w:val="24"/>
      <w:u w:val="single"/>
    </w:rPr>
  </w:style>
  <w:style w:type="character" w:styleId="1022" w:customStyle="1">
    <w:name w:val="Nível 2 -Red Char"/>
    <w:qFormat/>
    <w:pPr>
      <w:pBdr/>
      <w:spacing/>
      <w:ind/>
    </w:pPr>
    <w:rPr>
      <w:rFonts w:ascii="Arial" w:hAnsi="Arial" w:eastAsia="Arial" w:cs="Arial"/>
      <w:i/>
      <w:iCs/>
      <w:color w:val="ff0000"/>
    </w:rPr>
  </w:style>
  <w:style w:type="character" w:styleId="1023" w:customStyle="1">
    <w:name w:val="Nível 3-R Char"/>
    <w:qFormat/>
    <w:pPr>
      <w:pBdr/>
      <w:spacing/>
      <w:ind/>
    </w:pPr>
    <w:rPr>
      <w:rFonts w:eastAsia="MS Mincho;ＭＳ 明朝"/>
      <w:sz w:val="22"/>
      <w:szCs w:val="22"/>
    </w:rPr>
  </w:style>
  <w:style w:type="character" w:styleId="1024" w:customStyle="1">
    <w:name w:val="Nível 1-Sem Num Char"/>
    <w:qFormat/>
    <w:pPr>
      <w:pBdr/>
      <w:spacing/>
      <w:ind/>
    </w:pPr>
    <w:rPr>
      <w:rFonts w:ascii="Arial" w:hAnsi="Arial" w:eastAsia="MS Gothic;ＭＳ ゴシック" w:cs="Arial"/>
      <w:b/>
      <w:bCs/>
      <w:color w:val="ff0000"/>
    </w:rPr>
  </w:style>
  <w:style w:type="character" w:styleId="1025" w:customStyle="1">
    <w:name w:val="Normal (Web) Char"/>
    <w:qFormat/>
    <w:pPr>
      <w:pBdr/>
      <w:spacing/>
      <w:ind/>
    </w:pPr>
    <w:rPr>
      <w:sz w:val="24"/>
      <w:szCs w:val="24"/>
    </w:rPr>
  </w:style>
  <w:style w:type="character" w:styleId="1026" w:customStyle="1">
    <w:name w:val="Texto de comentário Char1"/>
    <w:basedOn w:val="972"/>
    <w:link w:val="1070"/>
    <w:qFormat/>
    <w:pPr>
      <w:pBdr/>
      <w:spacing/>
      <w:ind/>
    </w:pPr>
    <w:rPr>
      <w:rFonts w:ascii="Times New Roman" w:hAnsi="Times New Roman" w:eastAsia="SimSun;宋体" w:cs="Mangal"/>
      <w:sz w:val="20"/>
      <w:szCs w:val="18"/>
    </w:rPr>
  </w:style>
  <w:style w:type="character" w:styleId="1027" w:customStyle="1">
    <w:name w:val="Assunto do comentário Char"/>
    <w:basedOn w:val="1026"/>
    <w:link w:val="1084"/>
    <w:uiPriority w:val="99"/>
    <w:semiHidden/>
    <w:qFormat/>
    <w:pPr>
      <w:pBdr/>
      <w:spacing/>
      <w:ind/>
    </w:pPr>
    <w:rPr>
      <w:rFonts w:ascii="Times New Roman" w:hAnsi="Times New Roman" w:eastAsia="Times New Roman" w:cs="Times New Roman"/>
      <w:b/>
      <w:bCs/>
      <w:sz w:val="20"/>
      <w:szCs w:val="20"/>
      <w:lang w:bidi="ar-SA"/>
    </w:rPr>
  </w:style>
  <w:style w:type="paragraph" w:styleId="1028">
    <w:name w:val="Título"/>
    <w:basedOn w:val="967"/>
    <w:next w:val="1029"/>
    <w:qFormat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1029">
    <w:name w:val="Body Text"/>
    <w:basedOn w:val="967"/>
    <w:pPr>
      <w:pBdr/>
      <w:spacing w:after="120" w:before="0"/>
      <w:ind/>
    </w:pPr>
    <w:rPr>
      <w:sz w:val="20"/>
    </w:rPr>
  </w:style>
  <w:style w:type="paragraph" w:styleId="1030">
    <w:name w:val="List"/>
    <w:basedOn w:val="1029"/>
    <w:pPr>
      <w:pBdr/>
      <w:spacing/>
      <w:ind/>
    </w:pPr>
    <w:rPr>
      <w:rFonts w:cs="Lucida Sans"/>
    </w:rPr>
  </w:style>
  <w:style w:type="paragraph" w:styleId="1031">
    <w:name w:val="Caption"/>
    <w:basedOn w:val="967"/>
    <w:qFormat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1032" w:customStyle="1">
    <w:name w:val="Índice"/>
    <w:basedOn w:val="967"/>
    <w:qFormat/>
    <w:pPr>
      <w:suppressLineNumbers w:val="true"/>
      <w:pBdr/>
      <w:spacing/>
      <w:ind/>
    </w:pPr>
    <w:rPr>
      <w:rFonts w:cs="Lucida Sans"/>
    </w:rPr>
  </w:style>
  <w:style w:type="paragraph" w:styleId="1033">
    <w:name w:val="Title"/>
    <w:basedOn w:val="967"/>
    <w:next w:val="1029"/>
    <w:uiPriority w:val="10"/>
    <w:qFormat/>
    <w:pPr>
      <w:pBdr/>
      <w:spacing/>
      <w:ind/>
      <w:jc w:val="center"/>
    </w:pPr>
    <w:rPr>
      <w:b/>
    </w:rPr>
  </w:style>
  <w:style w:type="paragraph" w:styleId="1034">
    <w:name w:val="Caption"/>
    <w:basedOn w:val="967"/>
    <w:qFormat/>
    <w:pPr>
      <w:suppressLineNumbers w:val="true"/>
      <w:pBdr/>
      <w:spacing w:after="120" w:before="120"/>
      <w:ind/>
    </w:pPr>
    <w:rPr>
      <w:rFonts w:cs="Lucida Sans"/>
      <w:i/>
      <w:iCs/>
      <w:szCs w:val="24"/>
    </w:rPr>
  </w:style>
  <w:style w:type="paragraph" w:styleId="1035">
    <w:name w:val="Body Text Indent"/>
    <w:basedOn w:val="967"/>
    <w:pPr>
      <w:pBdr/>
      <w:spacing/>
      <w:ind w:firstLine="0" w:left="4962"/>
      <w:jc w:val="both"/>
    </w:pPr>
    <w:rPr>
      <w:b/>
    </w:rPr>
  </w:style>
  <w:style w:type="paragraph" w:styleId="1036" w:customStyle="1">
    <w:name w:val="Cabeçalho e Rodapé"/>
    <w:basedOn w:val="967"/>
    <w:qFormat/>
    <w:pPr>
      <w:suppressLineNumbers w:val="true"/>
      <w:pBdr/>
      <w:tabs>
        <w:tab w:val="clear" w:leader="none" w:pos="709"/>
        <w:tab w:val="center" w:leader="none" w:pos="4819"/>
        <w:tab w:val="right" w:leader="none" w:pos="9638"/>
      </w:tabs>
      <w:spacing/>
      <w:ind/>
    </w:pPr>
  </w:style>
  <w:style w:type="paragraph" w:styleId="1037">
    <w:name w:val="Header"/>
    <w:basedOn w:val="967"/>
    <w:uiPriority w:val="99"/>
    <w:pPr>
      <w:pBdr/>
      <w:tabs>
        <w:tab w:val="clear" w:leader="none" w:pos="709"/>
        <w:tab w:val="center" w:leader="none" w:pos="4419"/>
        <w:tab w:val="right" w:leader="none" w:pos="8838"/>
      </w:tabs>
      <w:spacing/>
      <w:ind/>
    </w:pPr>
  </w:style>
  <w:style w:type="paragraph" w:styleId="1038">
    <w:name w:val="Footer"/>
    <w:basedOn w:val="967"/>
    <w:pPr>
      <w:pBdr/>
      <w:tabs>
        <w:tab w:val="clear" w:leader="none" w:pos="709"/>
        <w:tab w:val="center" w:leader="none" w:pos="4419"/>
        <w:tab w:val="right" w:leader="none" w:pos="8838"/>
      </w:tabs>
      <w:spacing/>
      <w:ind/>
    </w:pPr>
  </w:style>
  <w:style w:type="paragraph" w:styleId="1039">
    <w:name w:val="Body Text Indent 2"/>
    <w:basedOn w:val="967"/>
    <w:qFormat/>
    <w:pPr>
      <w:pBdr/>
      <w:tabs>
        <w:tab w:val="clear" w:leader="none" w:pos="709"/>
        <w:tab w:val="left" w:leader="none" w:pos="4253"/>
      </w:tabs>
      <w:spacing w:after="0" w:before="120"/>
      <w:ind w:firstLine="0" w:left="4253"/>
      <w:jc w:val="both"/>
    </w:pPr>
    <w:rPr>
      <w:b/>
    </w:rPr>
  </w:style>
  <w:style w:type="paragraph" w:styleId="1040" w:customStyle="1">
    <w:name w:val="xl24"/>
    <w:basedOn w:val="967"/>
    <w:qFormat/>
    <w:pPr>
      <w:pBdr>
        <w:top w:val="single" w:color="000000" w:sz="8" w:space="0"/>
        <w:left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1041" w:customStyle="1">
    <w:name w:val="xl25"/>
    <w:basedOn w:val="967"/>
    <w:qFormat/>
    <w:pPr>
      <w:pBdr>
        <w:top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1042" w:customStyle="1">
    <w:name w:val="xl26"/>
    <w:basedOn w:val="967"/>
    <w:qFormat/>
    <w:pPr>
      <w:pBdr>
        <w:bottom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1043" w:customStyle="1">
    <w:name w:val="xl27"/>
    <w:basedOn w:val="967"/>
    <w:qFormat/>
    <w:pPr>
      <w:pBdr>
        <w:left w:val="single" w:color="000000" w:sz="8" w:space="0"/>
        <w:bottom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1044" w:customStyle="1">
    <w:name w:val="xl28"/>
    <w:basedOn w:val="967"/>
    <w:qFormat/>
    <w:pPr>
      <w:pBdr>
        <w:bottom w:val="single" w:color="000000" w:sz="4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45" w:customStyle="1">
    <w:name w:val="xl29"/>
    <w:basedOn w:val="967"/>
    <w:qFormat/>
    <w:pPr>
      <w:pBdr>
        <w:top w:val="single" w:color="000000" w:sz="4" w:space="0"/>
        <w:bottom w:val="single" w:color="000000" w:sz="4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46" w:customStyle="1">
    <w:name w:val="xl30"/>
    <w:basedOn w:val="967"/>
    <w:qFormat/>
    <w:pPr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1047" w:customStyle="1">
    <w:name w:val="xl31"/>
    <w:basedOn w:val="967"/>
    <w:qFormat/>
    <w:pPr>
      <w:pBdr>
        <w:top w:val="single" w:color="000000" w:sz="8" w:space="0"/>
        <w:bottom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1048" w:customStyle="1">
    <w:name w:val="xl32"/>
    <w:basedOn w:val="967"/>
    <w:qFormat/>
    <w:pPr>
      <w:pBdr>
        <w:left w:val="single" w:color="000000" w:sz="8" w:space="0"/>
        <w:bottom w:val="single" w:color="000000" w:sz="4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szCs w:val="24"/>
    </w:rPr>
  </w:style>
  <w:style w:type="paragraph" w:styleId="1049" w:customStyle="1">
    <w:name w:val="xl33"/>
    <w:basedOn w:val="967"/>
    <w:qFormat/>
    <w:pPr>
      <w:pBdr>
        <w:top w:val="single" w:color="000000" w:sz="4" w:space="0"/>
        <w:left w:val="single" w:color="000000" w:sz="8" w:space="0"/>
        <w:bottom w:val="single" w:color="000000" w:sz="4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szCs w:val="24"/>
    </w:rPr>
  </w:style>
  <w:style w:type="paragraph" w:styleId="1050" w:customStyle="1">
    <w:name w:val="xl34"/>
    <w:basedOn w:val="967"/>
    <w:qFormat/>
    <w:pPr>
      <w:pBdr>
        <w:top w:val="single" w:color="000000" w:sz="4" w:space="0"/>
        <w:left w:val="single" w:color="000000" w:sz="8" w:space="0"/>
        <w:bottom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szCs w:val="24"/>
    </w:rPr>
  </w:style>
  <w:style w:type="paragraph" w:styleId="1051" w:customStyle="1">
    <w:name w:val="xl35"/>
    <w:basedOn w:val="967"/>
    <w:qFormat/>
    <w:pPr>
      <w:pBdr>
        <w:top w:val="single" w:color="000000" w:sz="8" w:space="0"/>
        <w:left w:val="single" w:color="000000" w:sz="8" w:space="0"/>
        <w:bottom w:val="single" w:color="000000" w:sz="4" w:space="0"/>
        <w:right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52" w:customStyle="1">
    <w:name w:val="xl36"/>
    <w:basedOn w:val="967"/>
    <w:qFormat/>
    <w:pPr>
      <w:pBdr/>
      <w:spacing w:after="100" w:before="100"/>
      <w:ind/>
    </w:pPr>
    <w:rPr>
      <w:rFonts w:ascii="Arial" w:hAnsi="Arial" w:eastAsia="Arial Unicode MS" w:cs="Arial"/>
      <w:b/>
      <w:bCs/>
      <w:szCs w:val="24"/>
    </w:rPr>
  </w:style>
  <w:style w:type="paragraph" w:styleId="1053" w:customStyle="1">
    <w:name w:val="xl37"/>
    <w:basedOn w:val="967"/>
    <w:qFormat/>
    <w:pPr>
      <w:pBdr/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1054" w:customStyle="1">
    <w:name w:val="xl38"/>
    <w:basedOn w:val="967"/>
    <w:qFormat/>
    <w:pPr>
      <w:pBdr>
        <w:top w:val="single" w:color="000000" w:sz="8" w:space="0"/>
        <w:left w:val="single" w:color="000000" w:sz="4" w:space="0"/>
        <w:bottom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1055" w:customStyle="1">
    <w:name w:val="xl39"/>
    <w:basedOn w:val="967"/>
    <w:qFormat/>
    <w:pPr>
      <w:pBdr>
        <w:left w:val="single" w:color="000000" w:sz="8" w:space="0"/>
        <w:bottom w:val="single" w:color="000000" w:sz="4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56" w:customStyle="1">
    <w:name w:val="xl40"/>
    <w:basedOn w:val="967"/>
    <w:qFormat/>
    <w:pPr>
      <w:pBdr>
        <w:top w:val="single" w:color="000000" w:sz="4" w:space="0"/>
        <w:left w:val="single" w:color="000000" w:sz="8" w:space="0"/>
        <w:bottom w:val="single" w:color="000000" w:sz="4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57" w:customStyle="1">
    <w:name w:val="xl41"/>
    <w:basedOn w:val="967"/>
    <w:qFormat/>
    <w:pPr>
      <w:pBdr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1058" w:customStyle="1">
    <w:name w:val="xl42"/>
    <w:basedOn w:val="967"/>
    <w:qFormat/>
    <w:pPr>
      <w:pBdr>
        <w:top w:val="single" w:color="000000" w:sz="4" w:space="0"/>
        <w:left w:val="single" w:color="000000" w:sz="8" w:space="0"/>
        <w:bottom w:val="single" w:color="000000" w:sz="4" w:space="0"/>
        <w:right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59" w:customStyle="1">
    <w:name w:val="xl43"/>
    <w:basedOn w:val="967"/>
    <w:qFormat/>
    <w:pPr>
      <w:pBdr>
        <w:top w:val="single" w:color="000000" w:sz="4" w:space="0"/>
        <w:left w:val="single" w:color="000000" w:sz="8" w:space="0"/>
        <w:bottom w:val="single" w:color="000000" w:sz="8" w:space="0"/>
        <w:right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60" w:customStyle="1">
    <w:name w:val="xl44"/>
    <w:basedOn w:val="967"/>
    <w:qFormat/>
    <w:pPr>
      <w:pBdr>
        <w:bottom w:val="single" w:color="000000" w:sz="4" w:space="0"/>
        <w:right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61" w:customStyle="1">
    <w:name w:val="xl45"/>
    <w:basedOn w:val="967"/>
    <w:qFormat/>
    <w:pPr>
      <w:pBdr>
        <w:top w:val="single" w:color="000000" w:sz="4" w:space="0"/>
        <w:bottom w:val="single" w:color="000000" w:sz="4" w:space="0"/>
        <w:right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62" w:customStyle="1">
    <w:name w:val="xl46"/>
    <w:basedOn w:val="967"/>
    <w:qFormat/>
    <w:pPr>
      <w:pBdr>
        <w:top w:val="single" w:color="000000" w:sz="4" w:space="0"/>
        <w:bottom w:val="single" w:color="000000" w:sz="8" w:space="0"/>
        <w:right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63" w:customStyle="1">
    <w:name w:val="xl47"/>
    <w:basedOn w:val="967"/>
    <w:qFormat/>
    <w:pPr>
      <w:pBdr>
        <w:top w:val="single" w:color="000000" w:sz="4" w:space="0"/>
        <w:bottom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64" w:customStyle="1">
    <w:name w:val="xl48"/>
    <w:basedOn w:val="967"/>
    <w:qFormat/>
    <w:pPr>
      <w:pBdr>
        <w:top w:val="single" w:color="000000" w:sz="4" w:space="0"/>
        <w:left w:val="single" w:color="000000" w:sz="8" w:space="0"/>
        <w:bottom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65">
    <w:name w:val="Body Text Indent 3"/>
    <w:basedOn w:val="967"/>
    <w:qFormat/>
    <w:pPr>
      <w:pBdr/>
      <w:spacing w:line="360" w:lineRule="auto"/>
      <w:ind w:firstLine="1134"/>
      <w:jc w:val="both"/>
    </w:pPr>
    <w:rPr>
      <w:rFonts w:ascii="Arial" w:hAnsi="Arial" w:cs="Arial"/>
      <w:spacing w:val="10"/>
      <w:sz w:val="22"/>
    </w:rPr>
  </w:style>
  <w:style w:type="paragraph" w:styleId="1066">
    <w:name w:val="Balloon Text"/>
    <w:basedOn w:val="967"/>
    <w:qFormat/>
    <w:pPr>
      <w:pBdr/>
      <w:spacing/>
      <w:ind/>
    </w:pPr>
    <w:rPr>
      <w:rFonts w:ascii="Tahoma" w:hAnsi="Tahoma" w:cs="Tahoma"/>
      <w:sz w:val="16"/>
      <w:szCs w:val="16"/>
    </w:rPr>
  </w:style>
  <w:style w:type="paragraph" w:styleId="1067">
    <w:name w:val="Normal (Web)"/>
    <w:basedOn w:val="967"/>
    <w:qFormat/>
    <w:pPr>
      <w:pBdr/>
      <w:spacing w:after="100" w:before="100"/>
      <w:ind/>
    </w:pPr>
    <w:rPr>
      <w:szCs w:val="24"/>
    </w:rPr>
  </w:style>
  <w:style w:type="paragraph" w:styleId="1068" w:customStyle="1">
    <w:name w:val="Default"/>
    <w:qFormat/>
    <w:pPr>
      <w:widowControl w:val="true"/>
      <w:pBdr/>
      <w:bidi w:val="false"/>
      <w:spacing w:after="0" w:before="0"/>
      <w:ind/>
      <w:jc w:val="left"/>
    </w:pPr>
    <w:rPr>
      <w:rFonts w:ascii="Times New Roman" w:hAnsi="Times New Roman" w:eastAsia="Arial" w:cs="Times New Roman"/>
      <w:color w:val="000000"/>
      <w:sz w:val="24"/>
      <w:szCs w:val="24"/>
      <w:lang w:val="pt-BR" w:eastAsia="zh-CN" w:bidi="ar-SA"/>
    </w:rPr>
  </w:style>
  <w:style w:type="paragraph" w:styleId="1069" w:customStyle="1">
    <w:name w:val="Text body"/>
    <w:basedOn w:val="967"/>
    <w:qFormat/>
    <w:pPr>
      <w:widowControl w:val="false"/>
      <w:pBdr/>
      <w:spacing w:after="120" w:before="0"/>
      <w:ind/>
    </w:pPr>
    <w:rPr>
      <w:rFonts w:eastAsia="SimSun;宋体" w:cs="Tahoma"/>
      <w:szCs w:val="24"/>
      <w:lang w:bidi="hi-IN"/>
    </w:rPr>
  </w:style>
  <w:style w:type="paragraph" w:styleId="1070">
    <w:name w:val="annotation text"/>
    <w:basedOn w:val="967"/>
    <w:link w:val="1026"/>
    <w:qFormat/>
    <w:pPr>
      <w:widowControl w:val="false"/>
      <w:pBdr/>
      <w:spacing/>
      <w:ind/>
    </w:pPr>
    <w:rPr>
      <w:rFonts w:eastAsia="SimSun;宋体" w:cs="Mangal"/>
      <w:sz w:val="20"/>
      <w:szCs w:val="18"/>
      <w:lang w:bidi="hi-IN"/>
    </w:rPr>
  </w:style>
  <w:style w:type="paragraph" w:styleId="1071" w:customStyle="1">
    <w:name w:val="Nivel 01"/>
    <w:basedOn w:val="968"/>
    <w:next w:val="967"/>
    <w:qFormat/>
    <w:pPr>
      <w:keepLines w:val="true"/>
      <w:numPr>
        <w:ilvl w:val="0"/>
        <w:numId w:val="2"/>
      </w:numPr>
      <w:pBdr/>
      <w:tabs>
        <w:tab w:val="left" w:leader="none" w:pos="0"/>
        <w:tab w:val="left" w:leader="none" w:pos="360"/>
        <w:tab w:val="left" w:leader="none" w:pos="540"/>
        <w:tab w:val="clear" w:leader="none" w:pos="709"/>
        <w:tab w:val="left" w:leader="none" w:pos="1418"/>
      </w:tabs>
      <w:spacing w:after="120" w:before="240"/>
      <w:ind w:firstLine="567" w:left="0"/>
      <w:jc w:val="both"/>
      <w:outlineLvl w:val="9"/>
    </w:pPr>
    <w:rPr>
      <w:rFonts w:ascii="Arial" w:hAnsi="Arial" w:eastAsia="MS Gothic;ＭＳ ゴシック" w:cs="Arial"/>
      <w:bCs/>
      <w:sz w:val="20"/>
    </w:rPr>
  </w:style>
  <w:style w:type="paragraph" w:styleId="1072" w:customStyle="1">
    <w:name w:val="Nivel 2"/>
    <w:basedOn w:val="967"/>
    <w:qFormat/>
    <w:pPr>
      <w:pBdr/>
      <w:tabs>
        <w:tab w:val="left" w:leader="none" w:pos="0"/>
        <w:tab w:val="clear" w:leader="none" w:pos="709"/>
        <w:tab w:val="left" w:leader="none" w:pos="851"/>
        <w:tab w:val="left" w:leader="none" w:pos="1418"/>
      </w:tabs>
      <w:spacing w:after="120" w:before="120"/>
      <w:ind/>
      <w:jc w:val="both"/>
    </w:pPr>
    <w:rPr>
      <w:rFonts w:ascii="Arial" w:hAnsi="Arial" w:eastAsia="Arial" w:cs="Arial"/>
      <w:color w:val="000000"/>
      <w:sz w:val="20"/>
    </w:rPr>
  </w:style>
  <w:style w:type="paragraph" w:styleId="1073" w:customStyle="1">
    <w:name w:val="Nivel 3"/>
    <w:basedOn w:val="967"/>
    <w:qFormat/>
    <w:pPr>
      <w:pBdr/>
      <w:tabs>
        <w:tab w:val="left" w:leader="none" w:pos="0"/>
        <w:tab w:val="left" w:leader="none" w:pos="567"/>
        <w:tab w:val="left" w:leader="none" w:pos="709"/>
        <w:tab w:val="left" w:leader="none" w:pos="1418"/>
      </w:tabs>
      <w:spacing w:after="120" w:before="120" w:line="276" w:lineRule="auto"/>
      <w:ind w:hanging="360" w:left="360"/>
      <w:jc w:val="both"/>
    </w:pPr>
    <w:rPr>
      <w:rFonts w:ascii="Arial" w:hAnsi="Arial" w:eastAsia="MS Mincho;ＭＳ 明朝" w:cs="Arial"/>
      <w:color w:val="000000"/>
      <w:sz w:val="20"/>
    </w:rPr>
  </w:style>
  <w:style w:type="paragraph" w:styleId="1074" w:customStyle="1">
    <w:name w:val="Nivel 4"/>
    <w:basedOn w:val="1073"/>
    <w:qFormat/>
    <w:pPr>
      <w:pBdr/>
      <w:spacing/>
      <w:ind w:firstLine="0" w:left="567"/>
    </w:pPr>
  </w:style>
  <w:style w:type="paragraph" w:styleId="1075" w:customStyle="1">
    <w:name w:val="Nivel 5"/>
    <w:basedOn w:val="1074"/>
    <w:qFormat/>
    <w:pPr>
      <w:pBdr/>
      <w:tabs>
        <w:tab w:val="left" w:leader="none" w:pos="0"/>
        <w:tab w:val="left" w:leader="none" w:pos="540"/>
        <w:tab w:val="left" w:leader="none" w:pos="567"/>
        <w:tab w:val="left" w:leader="none" w:pos="709"/>
        <w:tab w:val="left" w:leader="none" w:pos="1418"/>
      </w:tabs>
      <w:spacing/>
      <w:ind w:firstLine="0" w:left="851"/>
    </w:pPr>
  </w:style>
  <w:style w:type="paragraph" w:styleId="1076">
    <w:name w:val="List Paragraph"/>
    <w:basedOn w:val="967"/>
    <w:qFormat/>
    <w:pPr>
      <w:pBdr/>
      <w:spacing/>
      <w:ind w:firstLine="0" w:left="708"/>
    </w:pPr>
  </w:style>
  <w:style w:type="paragraph" w:styleId="1077" w:customStyle="1">
    <w:name w:val="ou"/>
    <w:basedOn w:val="1076"/>
    <w:qFormat/>
    <w:pPr>
      <w:pBdr/>
      <w:spacing w:after="60" w:before="60" w:line="252" w:lineRule="auto"/>
      <w:ind w:firstLine="0" w:left="0"/>
      <w:jc w:val="center"/>
    </w:pPr>
    <w:rPr>
      <w:rFonts w:ascii="Arial" w:hAnsi="Arial" w:eastAsia="Cambria" w:cs="Arial"/>
      <w:b/>
      <w:bCs/>
      <w:i/>
      <w:iCs/>
      <w:color w:val="ff0000"/>
      <w:sz w:val="20"/>
      <w:szCs w:val="24"/>
      <w:u w:val="single"/>
    </w:rPr>
  </w:style>
  <w:style w:type="paragraph" w:styleId="1078" w:customStyle="1">
    <w:name w:val="Nível 2 -Red"/>
    <w:basedOn w:val="1072"/>
    <w:qFormat/>
    <w:pPr>
      <w:numPr>
        <w:ilvl w:val="0"/>
        <w:numId w:val="4"/>
      </w:numPr>
      <w:pBdr/>
      <w:spacing/>
      <w:ind/>
    </w:pPr>
    <w:rPr>
      <w:i/>
      <w:iCs/>
      <w:color w:val="ff0000"/>
    </w:rPr>
  </w:style>
  <w:style w:type="paragraph" w:styleId="1079" w:customStyle="1">
    <w:name w:val="Nível 3-R"/>
    <w:basedOn w:val="1073"/>
    <w:qFormat/>
    <w:pPr>
      <w:numPr>
        <w:ilvl w:val="0"/>
        <w:numId w:val="6"/>
      </w:numPr>
      <w:pBdr/>
      <w:tabs>
        <w:tab w:val="left" w:leader="none" w:pos="0"/>
        <w:tab w:val="clear" w:leader="none" w:pos="567"/>
        <w:tab w:val="clear" w:leader="none" w:pos="709"/>
        <w:tab w:val="left" w:leader="none" w:pos="851"/>
        <w:tab w:val="clear" w:leader="none" w:pos="1418"/>
      </w:tabs>
      <w:spacing w:line="240" w:lineRule="auto"/>
      <w:ind w:firstLine="0" w:left="0"/>
    </w:pPr>
    <w:rPr>
      <w:rFonts w:ascii="Times New Roman" w:hAnsi="Times New Roman" w:cs="Times New Roman"/>
      <w:sz w:val="22"/>
      <w:szCs w:val="22"/>
    </w:rPr>
  </w:style>
  <w:style w:type="paragraph" w:styleId="1080" w:customStyle="1">
    <w:name w:val="Nível 1-Sem Num"/>
    <w:basedOn w:val="1071"/>
    <w:qFormat/>
    <w:pPr>
      <w:numPr>
        <w:ilvl w:val="0"/>
        <w:numId w:val="0"/>
      </w:numPr>
      <w:pBdr/>
      <w:tabs>
        <w:tab w:val="left" w:leader="none" w:pos="0"/>
        <w:tab w:val="left" w:leader="none" w:pos="360"/>
        <w:tab w:val="clear" w:leader="none" w:pos="540"/>
        <w:tab w:val="left" w:leader="none" w:pos="1418"/>
      </w:tabs>
      <w:spacing/>
      <w:ind w:firstLine="567" w:left="0"/>
      <w:outlineLvl w:val="1"/>
    </w:pPr>
    <w:rPr>
      <w:color w:val="ff0000"/>
    </w:rPr>
  </w:style>
  <w:style w:type="paragraph" w:styleId="1081">
    <w:name w:val="No Spacing"/>
    <w:qFormat/>
    <w:pPr>
      <w:widowControl w:val="true"/>
      <w:pBdr/>
      <w:bidi w:val="false"/>
      <w:spacing w:after="0" w:before="0"/>
      <w:ind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1082" w:customStyle="1">
    <w:name w:val="Conteúdo da tabela"/>
    <w:basedOn w:val="967"/>
    <w:qFormat/>
    <w:pPr>
      <w:widowControl w:val="false"/>
      <w:suppressLineNumbers w:val="true"/>
      <w:pBdr/>
      <w:spacing/>
      <w:ind/>
    </w:pPr>
  </w:style>
  <w:style w:type="paragraph" w:styleId="1083" w:customStyle="1">
    <w:name w:val="Título de tabela"/>
    <w:basedOn w:val="1082"/>
    <w:qFormat/>
    <w:pPr>
      <w:pBdr/>
      <w:spacing/>
      <w:ind/>
      <w:jc w:val="center"/>
    </w:pPr>
    <w:rPr>
      <w:b/>
      <w:bCs/>
    </w:rPr>
  </w:style>
  <w:style w:type="paragraph" w:styleId="1084">
    <w:name w:val="annotation subject"/>
    <w:basedOn w:val="1070"/>
    <w:next w:val="1070"/>
    <w:link w:val="1027"/>
    <w:uiPriority w:val="99"/>
    <w:semiHidden/>
    <w:unhideWhenUsed/>
    <w:qFormat/>
    <w:pPr>
      <w:widowControl w:val="true"/>
      <w:pBdr/>
      <w:spacing/>
      <w:ind/>
    </w:pPr>
    <w:rPr>
      <w:rFonts w:eastAsia="Times New Roman" w:cs="Times New Roman"/>
      <w:b/>
      <w:bCs/>
      <w:szCs w:val="20"/>
      <w:lang w:bidi="ar-SA"/>
    </w:rPr>
  </w:style>
  <w:style w:type="paragraph" w:styleId="1085">
    <w:name w:val="Conteúdo do quadro"/>
    <w:basedOn w:val="967"/>
    <w:qFormat/>
    <w:pPr>
      <w:pBdr/>
      <w:spacing/>
      <w:ind/>
    </w:pPr>
  </w:style>
  <w:style w:type="numbering" w:styleId="1086" w:default="1">
    <w:name w:val="No List"/>
    <w:uiPriority w:val="99"/>
    <w:semiHidden/>
    <w:unhideWhenUsed/>
    <w:qFormat/>
    <w:pPr>
      <w:pBdr/>
      <w:spacing/>
      <w:ind/>
    </w:pPr>
  </w:style>
  <w:style w:type="numbering" w:styleId="1087" w:customStyle="1">
    <w:name w:val="WW8Num1"/>
    <w:qFormat/>
    <w:pPr>
      <w:pBdr/>
      <w:spacing/>
      <w:ind/>
    </w:pPr>
  </w:style>
  <w:style w:type="numbering" w:styleId="1088" w:customStyle="1">
    <w:name w:val="WW8Num2"/>
    <w:qFormat/>
    <w:pPr>
      <w:pBdr/>
      <w:spacing/>
      <w:ind/>
    </w:pPr>
  </w:style>
  <w:style w:type="numbering" w:styleId="1089" w:customStyle="1">
    <w:name w:val="WW8Num3"/>
    <w:qFormat/>
    <w:pPr>
      <w:pBdr/>
      <w:spacing/>
      <w:ind/>
    </w:pPr>
  </w:style>
  <w:style w:type="numbering" w:styleId="1090" w:customStyle="1">
    <w:name w:val="WW8Num4"/>
    <w:qFormat/>
    <w:pPr>
      <w:pBdr/>
      <w:spacing/>
      <w:ind/>
    </w:pPr>
  </w:style>
  <w:style w:type="numbering" w:styleId="1091" w:customStyle="1">
    <w:name w:val="WW8Num5"/>
    <w:qFormat/>
    <w:pPr>
      <w:pBdr/>
      <w:spacing/>
      <w:ind/>
    </w:pPr>
  </w:style>
  <w:style w:type="numbering" w:styleId="1092" w:customStyle="1">
    <w:name w:val="WW8Num6"/>
    <w:qFormat/>
    <w:pPr>
      <w:pBdr/>
      <w:spacing/>
      <w:ind/>
    </w:pPr>
  </w:style>
  <w:style w:type="numbering" w:styleId="1093" w:customStyle="1">
    <w:name w:val="WW8Num7"/>
    <w:qFormat/>
    <w:pPr>
      <w:pBdr/>
      <w:spacing/>
      <w:ind/>
    </w:pPr>
  </w:style>
  <w:style w:type="table" w:styleId="1094" w:default="1">
    <w:name w:val="Normal Table"/>
    <w:uiPriority w:val="99"/>
    <w:semiHidden/>
    <w:unhideWhenUsed/>
    <w:pPr>
      <w:pBdr/>
      <w:spacing/>
      <w:ind/>
    </w:pPr>
    <w:tblPr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http://www.novasantarita.rs.gov.br/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ONLYOFFICE/8.1.0.169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/>
  <dc:creator>Pref. Mun. Nova Santa Rita</dc:creator>
  <dc:description/>
  <dc:language>pt-BR</dc:language>
  <cp:revision>10</cp:revision>
  <dcterms:created xsi:type="dcterms:W3CDTF">2024-09-12T16:30:00Z</dcterms:created>
  <dcterms:modified xsi:type="dcterms:W3CDTF">2025-02-26T13:14:22Z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