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EF8A60" w14:textId="77777777" w:rsidR="00A329F7" w:rsidRDefault="00000000">
      <w:pPr>
        <w:spacing w:after="200" w:line="360" w:lineRule="auto"/>
        <w:jc w:val="center"/>
      </w:pPr>
      <w:r>
        <w:rPr>
          <w:rFonts w:ascii="Arial" w:eastAsia="Arial" w:hAnsi="Arial" w:cs="Arial"/>
          <w:b/>
          <w:bCs/>
          <w:sz w:val="22"/>
          <w:szCs w:val="22"/>
        </w:rPr>
        <w:t>ESTUDO TÉCNICO PRELIMINAR – ETP</w:t>
      </w:r>
    </w:p>
    <w:p w14:paraId="429C5A25" w14:textId="77777777" w:rsidR="00A329F7" w:rsidRDefault="00000000">
      <w:pPr>
        <w:spacing w:after="200" w:line="360" w:lineRule="auto"/>
        <w:jc w:val="center"/>
      </w:pPr>
      <w:r>
        <w:rPr>
          <w:rFonts w:ascii="Arial" w:eastAsia="Arial" w:hAnsi="Arial" w:cs="Arial"/>
          <w:b/>
          <w:bCs/>
          <w:sz w:val="22"/>
          <w:szCs w:val="22"/>
        </w:rPr>
        <w:t>Aquisição de Gás Liquefeito de Petróleo (GLP) – Gás de Cozinha</w:t>
      </w:r>
    </w:p>
    <w:p w14:paraId="033B0C0C" w14:textId="77777777" w:rsidR="00A329F7" w:rsidRDefault="00000000">
      <w:pPr>
        <w:spacing w:before="200" w:after="200" w:line="360" w:lineRule="auto"/>
        <w:jc w:val="both"/>
      </w:pPr>
      <w:r>
        <w:rPr>
          <w:rFonts w:ascii="Arial" w:eastAsia="Arial" w:hAnsi="Arial" w:cs="Arial"/>
          <w:b/>
          <w:bCs/>
          <w:sz w:val="22"/>
          <w:szCs w:val="22"/>
        </w:rPr>
        <w:t>1. SECRETARIA DEMANDANTE</w:t>
      </w:r>
    </w:p>
    <w:p w14:paraId="0B49CA3B" w14:textId="77777777" w:rsidR="00A329F7" w:rsidRDefault="00000000">
      <w:pPr>
        <w:spacing w:after="200" w:line="360" w:lineRule="auto"/>
        <w:ind w:firstLine="1134"/>
        <w:jc w:val="both"/>
      </w:pPr>
      <w:r>
        <w:rPr>
          <w:rFonts w:ascii="Arial" w:eastAsia="Arial" w:hAnsi="Arial" w:cs="Arial"/>
          <w:sz w:val="22"/>
          <w:szCs w:val="22"/>
        </w:rPr>
        <w:t>A presente contratação destina-se ao atendimento das necessidades de todas as Secretarias Municipais do Município de São Valério do Sul/RS que operam cozinhas institucionais, abrangendo demanda de caráter transversal necessária ao funcionamento regular dessas unidades.</w:t>
      </w:r>
    </w:p>
    <w:p w14:paraId="28DFF0CF" w14:textId="77777777" w:rsidR="00A329F7" w:rsidRDefault="00000000">
      <w:pPr>
        <w:spacing w:after="200" w:line="360" w:lineRule="auto"/>
        <w:ind w:firstLine="1134"/>
        <w:jc w:val="both"/>
      </w:pPr>
      <w:r>
        <w:rPr>
          <w:rFonts w:ascii="Arial" w:eastAsia="Arial" w:hAnsi="Arial" w:cs="Arial"/>
          <w:sz w:val="22"/>
          <w:szCs w:val="22"/>
        </w:rPr>
        <w:t>O levantamento das necessidades foi realizado de forma consolidada no âmbito do mutirão administrativo instituído pela Ordem de Serviço nº 12/2026, que determinou a regularização das contratações públicas municipais mediante elaboração de Atas de Registro de Preços para os objetos de consumo contínuo utilizados pelas diversas unidades administrativas.</w:t>
      </w:r>
    </w:p>
    <w:p w14:paraId="32260896" w14:textId="77777777" w:rsidR="00A329F7" w:rsidRDefault="00000000">
      <w:pPr>
        <w:spacing w:after="200" w:line="360" w:lineRule="auto"/>
        <w:ind w:firstLine="1134"/>
        <w:jc w:val="both"/>
      </w:pPr>
      <w:r>
        <w:rPr>
          <w:rFonts w:ascii="Arial" w:eastAsia="Arial" w:hAnsi="Arial" w:cs="Arial"/>
          <w:sz w:val="22"/>
          <w:szCs w:val="22"/>
        </w:rPr>
        <w:t>Em razão da utilização permanente de gás de cozinha nas unidades que preparam alimentação, a demanda abrange, de forma transversal, a Secretaria de Educação, responsável pelas cozinhas das escolas municipais no âmbito do Programa Nacional de Alimentação Escolar – PNAE, a Secretaria de Saúde, responsável pelas copas das unidades de saúde, a Secretaria de Assistência Social, responsável pelas cozinhas comunitárias e unidades socioassistenciais, e demais Secretarias que mantenham cozinha institucional em suas dependências.</w:t>
      </w:r>
    </w:p>
    <w:p w14:paraId="78243373" w14:textId="77777777" w:rsidR="00A329F7" w:rsidRDefault="00000000">
      <w:pPr>
        <w:spacing w:after="200" w:line="360" w:lineRule="auto"/>
        <w:ind w:firstLine="1134"/>
        <w:jc w:val="both"/>
      </w:pPr>
      <w:r>
        <w:rPr>
          <w:rFonts w:ascii="Arial" w:eastAsia="Arial" w:hAnsi="Arial" w:cs="Arial"/>
          <w:sz w:val="22"/>
          <w:szCs w:val="22"/>
        </w:rPr>
        <w:t>Trata-se de demanda comum às diversas Secretarias, cuja centralização em único procedimento licitatório permite maior eficiência administrativa, padronização das especificações, racionalização das compras públicas e melhor gestão dos recursos públicos.</w:t>
      </w:r>
    </w:p>
    <w:p w14:paraId="1FD6B9E1" w14:textId="77777777" w:rsidR="00A329F7" w:rsidRDefault="00000000">
      <w:pPr>
        <w:spacing w:before="200" w:after="200" w:line="360" w:lineRule="auto"/>
        <w:jc w:val="both"/>
      </w:pPr>
      <w:r>
        <w:rPr>
          <w:rFonts w:ascii="Arial" w:eastAsia="Arial" w:hAnsi="Arial" w:cs="Arial"/>
          <w:b/>
          <w:bCs/>
          <w:sz w:val="22"/>
          <w:szCs w:val="22"/>
        </w:rPr>
        <w:t>2. DESCRIÇÃO DA NECESSIDADE DA CONTRATAÇÃO</w:t>
      </w:r>
    </w:p>
    <w:p w14:paraId="0BA5A89C" w14:textId="77777777" w:rsidR="00A329F7" w:rsidRDefault="00000000">
      <w:pPr>
        <w:spacing w:after="200" w:line="360" w:lineRule="auto"/>
        <w:ind w:firstLine="1134"/>
        <w:jc w:val="both"/>
      </w:pPr>
      <w:r>
        <w:rPr>
          <w:rFonts w:ascii="Arial" w:eastAsia="Arial" w:hAnsi="Arial" w:cs="Arial"/>
          <w:sz w:val="22"/>
          <w:szCs w:val="22"/>
        </w:rPr>
        <w:t>O presente Estudo Técnico Preliminar tem por finalidade analisar a viabilidade técnica, operacional, administrativa, econômica e jurídica da formação de Ata de Registro de Preços para futura e eventual aquisição de gás liquefeito de petróleo (GLP), em botijões P13 e P45, destinado ao atendimento das necessidades das Secretarias Municipais do Município de São Valério do Sul/RS.</w:t>
      </w:r>
    </w:p>
    <w:p w14:paraId="6D42212A" w14:textId="77777777" w:rsidR="00A329F7" w:rsidRDefault="00000000">
      <w:pPr>
        <w:spacing w:after="200" w:line="360" w:lineRule="auto"/>
        <w:ind w:firstLine="1134"/>
        <w:jc w:val="both"/>
      </w:pPr>
      <w:r>
        <w:rPr>
          <w:rFonts w:ascii="Arial" w:eastAsia="Arial" w:hAnsi="Arial" w:cs="Arial"/>
          <w:sz w:val="22"/>
          <w:szCs w:val="22"/>
        </w:rPr>
        <w:t xml:space="preserve">A necessidade administrativa identificada transcende a simples aquisição de insumo. O problema público a ser solucionado consiste na garantia de funcionamento contínuo das cozinhas institucionais mantidas pelo Município, com destaque para as cozinhas das escolas municipais, responsáveis pela produção da alimentação escolar assegurada aos </w:t>
      </w:r>
      <w:r>
        <w:rPr>
          <w:rFonts w:ascii="Arial" w:eastAsia="Arial" w:hAnsi="Arial" w:cs="Arial"/>
          <w:sz w:val="22"/>
          <w:szCs w:val="22"/>
        </w:rPr>
        <w:lastRenderedPageBreak/>
        <w:t>alunos da rede pública nos termos da Lei Federal nº 11.947/2009, que dispõe sobre o Programa Nacional de Alimentação Escolar.</w:t>
      </w:r>
    </w:p>
    <w:p w14:paraId="1CFF46D0" w14:textId="77777777" w:rsidR="00A329F7" w:rsidRDefault="00000000">
      <w:pPr>
        <w:spacing w:after="200" w:line="360" w:lineRule="auto"/>
        <w:ind w:firstLine="1134"/>
        <w:jc w:val="both"/>
      </w:pPr>
      <w:r>
        <w:rPr>
          <w:rFonts w:ascii="Arial" w:eastAsia="Arial" w:hAnsi="Arial" w:cs="Arial"/>
          <w:sz w:val="22"/>
          <w:szCs w:val="22"/>
        </w:rPr>
        <w:t>A interrupção do fornecimento de gás compromete de forma imediata o preparo da alimentação escolar, podendo acarretar a suspensão ou a precarização das refeições oferecidas aos alunos, com reflexos diretos sobre a frequência, a permanência e o desempenho escolar, além de comprometer o preparo de alimentos e a manutenção de rotinas de copa nas unidades de saúde e nos equipamentos da rede socioassistencial.</w:t>
      </w:r>
    </w:p>
    <w:p w14:paraId="084C6B76" w14:textId="77777777" w:rsidR="00A329F7" w:rsidRDefault="00000000">
      <w:pPr>
        <w:spacing w:after="200" w:line="360" w:lineRule="auto"/>
        <w:ind w:firstLine="1134"/>
        <w:jc w:val="both"/>
      </w:pPr>
      <w:r>
        <w:rPr>
          <w:rFonts w:ascii="Arial" w:eastAsia="Arial" w:hAnsi="Arial" w:cs="Arial"/>
          <w:sz w:val="22"/>
          <w:szCs w:val="22"/>
        </w:rPr>
        <w:t>O consumo de gás decorre da utilização diária das cozinhas institucionais e varia conforme o número de refeições preparadas, o calendário letivo e a demanda específica de cada unidade, não sendo possível prever com exatidão o momento em que cada botijão necessitará de reposição, tampouco a quantidade exata que será consumida ao longo da vigência da futura Ata de Registro de Preços.</w:t>
      </w:r>
    </w:p>
    <w:p w14:paraId="76C355CC" w14:textId="77777777" w:rsidR="00A329F7" w:rsidRDefault="00000000">
      <w:pPr>
        <w:spacing w:after="200" w:line="360" w:lineRule="auto"/>
        <w:ind w:firstLine="1134"/>
        <w:jc w:val="both"/>
      </w:pPr>
      <w:r>
        <w:rPr>
          <w:rFonts w:ascii="Arial" w:eastAsia="Arial" w:hAnsi="Arial" w:cs="Arial"/>
          <w:sz w:val="22"/>
          <w:szCs w:val="22"/>
        </w:rPr>
        <w:t>A planilha consolidada contempla, além dos itens de reposição por sistema de troca de cilindro vazio por cheio (modalidade já adotada pela Administração para os pontos que já possuem casco próprio), item específico de fornecimento com casco, destinado a novos pontos de consumo ou à reposição de cascos inservíveis, danificados ou extraviados.</w:t>
      </w:r>
    </w:p>
    <w:p w14:paraId="3EBF5B56" w14:textId="77777777" w:rsidR="00A329F7" w:rsidRDefault="00000000">
      <w:pPr>
        <w:spacing w:after="200" w:line="360" w:lineRule="auto"/>
        <w:ind w:firstLine="1134"/>
        <w:jc w:val="both"/>
      </w:pPr>
      <w:r>
        <w:rPr>
          <w:rFonts w:ascii="Arial" w:eastAsia="Arial" w:hAnsi="Arial" w:cs="Arial"/>
          <w:sz w:val="22"/>
          <w:szCs w:val="22"/>
        </w:rPr>
        <w:t>Essa variabilidade da demanda, associada aos riscos de segurança inerentes ao armazenamento de produto inflamável, torna inadequada a contratação com entrega integral imediata de todos os quantitativos estimados, uma vez que o armazenamento de grande número de botijões cheios em ambiente não projetado para esse fim eleva o risco de acidentes e pode não observar os limites técnicos aplicáveis ao armazenamento de GLP.</w:t>
      </w:r>
    </w:p>
    <w:p w14:paraId="4E1FBF31" w14:textId="77777777" w:rsidR="00A329F7" w:rsidRDefault="00000000">
      <w:pPr>
        <w:spacing w:after="200" w:line="360" w:lineRule="auto"/>
        <w:ind w:firstLine="1134"/>
        <w:jc w:val="both"/>
      </w:pPr>
      <w:r>
        <w:rPr>
          <w:rFonts w:ascii="Arial" w:eastAsia="Arial" w:hAnsi="Arial" w:cs="Arial"/>
          <w:sz w:val="22"/>
          <w:szCs w:val="22"/>
        </w:rPr>
        <w:t>Da mesma forma, a inexistência de instrumento contratual regular induz à realização de compras fragmentadas, sucessivas ou emergenciais, comprometendo o planejamento das contratações, aumentando o custo administrativo de cada aquisição, reduzindo a competitividade e dificultando o adequado controle da execução contratual.</w:t>
      </w:r>
    </w:p>
    <w:p w14:paraId="32F6A98C" w14:textId="77777777" w:rsidR="00A329F7" w:rsidRDefault="00000000">
      <w:pPr>
        <w:spacing w:after="200" w:line="360" w:lineRule="auto"/>
        <w:ind w:firstLine="1134"/>
        <w:jc w:val="both"/>
      </w:pPr>
      <w:r>
        <w:rPr>
          <w:rFonts w:ascii="Arial" w:eastAsia="Arial" w:hAnsi="Arial" w:cs="Arial"/>
          <w:sz w:val="22"/>
          <w:szCs w:val="22"/>
        </w:rPr>
        <w:t>Também deve ser considerada a realidade logística do Município de São Valério do Sul/RS. Por tratar-se de município de pequeno porte, localizado em região interiorana, a Administração depende de revendedores autorizados estabelecidos no próprio Município ou em cidades vizinhas, circunstância que exige adequada estruturação da futura contratação quanto ao prazo de entrega, dada a essencialidade do objeto.</w:t>
      </w:r>
    </w:p>
    <w:p w14:paraId="3BD3252B" w14:textId="77777777" w:rsidR="00A329F7" w:rsidRDefault="00000000">
      <w:pPr>
        <w:spacing w:after="200" w:line="360" w:lineRule="auto"/>
        <w:ind w:firstLine="1134"/>
        <w:jc w:val="both"/>
      </w:pPr>
      <w:r>
        <w:rPr>
          <w:rFonts w:ascii="Arial" w:eastAsia="Arial" w:hAnsi="Arial" w:cs="Arial"/>
          <w:sz w:val="22"/>
          <w:szCs w:val="22"/>
        </w:rPr>
        <w:t xml:space="preserve">Nesse contexto, mostra-se necessária a realização de procedimento licitatório destinado à formação de Ata de Registro de Preços, permitindo aquisições parceladas conforme a efetiva necessidade da Administração, garantindo abastecimento contínuo das </w:t>
      </w:r>
      <w:r>
        <w:rPr>
          <w:rFonts w:ascii="Arial" w:eastAsia="Arial" w:hAnsi="Arial" w:cs="Arial"/>
          <w:sz w:val="22"/>
          <w:szCs w:val="22"/>
        </w:rPr>
        <w:lastRenderedPageBreak/>
        <w:t>cozinhas institucionais, maior eficiência administrativa, redução de riscos de armazenamento e fortalecimento do planejamento das contratações públicas.</w:t>
      </w:r>
    </w:p>
    <w:p w14:paraId="2E45BD23" w14:textId="77777777" w:rsidR="00A329F7" w:rsidRDefault="00000000">
      <w:pPr>
        <w:spacing w:after="200" w:line="360" w:lineRule="auto"/>
        <w:ind w:firstLine="1134"/>
        <w:jc w:val="both"/>
      </w:pPr>
      <w:r>
        <w:rPr>
          <w:rFonts w:ascii="Arial" w:eastAsia="Arial" w:hAnsi="Arial" w:cs="Arial"/>
          <w:sz w:val="22"/>
          <w:szCs w:val="22"/>
        </w:rPr>
        <w:t>A não realização da contratação poderá acarretar a interrupção do preparo da alimentação escolar e das demais atividades de cozinha institucional, aumento das contratações emergenciais, elevação dos custos administrativos e enfraquecimento da governança das compras públicas municipais.</w:t>
      </w:r>
    </w:p>
    <w:p w14:paraId="4475AB60" w14:textId="77777777" w:rsidR="00A329F7" w:rsidRDefault="00000000">
      <w:pPr>
        <w:spacing w:after="200" w:line="360" w:lineRule="auto"/>
        <w:ind w:firstLine="1134"/>
        <w:jc w:val="both"/>
      </w:pPr>
      <w:r>
        <w:rPr>
          <w:rFonts w:ascii="Arial" w:eastAsia="Arial" w:hAnsi="Arial" w:cs="Arial"/>
          <w:sz w:val="22"/>
          <w:szCs w:val="22"/>
        </w:rPr>
        <w:t>Dessa forma, a contratação pretendida busca assegurar instrumento contratual capaz de atender, de maneira eficiente, contínua e planejada, às necessidades permanentes da Administração Municipal, observando os princípios da eficiência, economicidade, planejamento, continuidade do serviço público e seleção da proposta mais vantajosa previstos na Lei Federal nº 14.133/2021.</w:t>
      </w:r>
    </w:p>
    <w:p w14:paraId="713C5C89" w14:textId="77777777" w:rsidR="00A329F7" w:rsidRDefault="00000000">
      <w:pPr>
        <w:spacing w:before="200" w:after="200" w:line="360" w:lineRule="auto"/>
        <w:jc w:val="both"/>
      </w:pPr>
      <w:r>
        <w:rPr>
          <w:rFonts w:ascii="Arial" w:eastAsia="Arial" w:hAnsi="Arial" w:cs="Arial"/>
          <w:b/>
          <w:bCs/>
          <w:sz w:val="22"/>
          <w:szCs w:val="22"/>
        </w:rPr>
        <w:t>3. DEMONSTRAÇÃO DA PREVISÃO DA CONTRATAÇÃO NO PLANO DE CONTRATAÇÕES ANUAL</w:t>
      </w:r>
    </w:p>
    <w:p w14:paraId="33B6EBBB" w14:textId="77777777" w:rsidR="00A329F7" w:rsidRDefault="00000000">
      <w:pPr>
        <w:spacing w:after="200" w:line="360" w:lineRule="auto"/>
        <w:ind w:firstLine="1134"/>
        <w:jc w:val="both"/>
      </w:pPr>
      <w:r>
        <w:rPr>
          <w:rFonts w:ascii="Arial" w:eastAsia="Arial" w:hAnsi="Arial" w:cs="Arial"/>
          <w:sz w:val="22"/>
          <w:szCs w:val="22"/>
        </w:rPr>
        <w:t>Conforme informado pela Administração Municipal, a presente contratação encontra-se prevista no Plano Anual de Contratações – PAC do Município de São Valério do Sul/RS.</w:t>
      </w:r>
    </w:p>
    <w:p w14:paraId="0B7E376F" w14:textId="77777777" w:rsidR="00A329F7" w:rsidRDefault="00000000">
      <w:pPr>
        <w:spacing w:after="200" w:line="360" w:lineRule="auto"/>
        <w:ind w:firstLine="1134"/>
        <w:jc w:val="both"/>
      </w:pPr>
      <w:r>
        <w:rPr>
          <w:rFonts w:ascii="Arial" w:eastAsia="Arial" w:hAnsi="Arial" w:cs="Arial"/>
          <w:sz w:val="22"/>
          <w:szCs w:val="22"/>
        </w:rPr>
        <w:t>A inclusão da demanda no planejamento institucional demonstra compatibilidade da contratação com as diretrizes de governança estabelecidas pela Lei Federal nº 14.133/2021, permitindo maior racionalização das aquisições públicas, melhor programação orçamentária e redução da necessidade de contratações emergenciais.</w:t>
      </w:r>
    </w:p>
    <w:p w14:paraId="04215048" w14:textId="77777777" w:rsidR="00A329F7" w:rsidRDefault="00000000">
      <w:pPr>
        <w:spacing w:after="200" w:line="360" w:lineRule="auto"/>
        <w:ind w:firstLine="1134"/>
        <w:jc w:val="both"/>
      </w:pPr>
      <w:r>
        <w:rPr>
          <w:rFonts w:ascii="Arial" w:eastAsia="Arial" w:hAnsi="Arial" w:cs="Arial"/>
          <w:sz w:val="22"/>
          <w:szCs w:val="22"/>
        </w:rPr>
        <w:t>A contratação possui natureza continuada e plenamente previsível, considerando que o gás de cozinha é utilizado diariamente pelas cozinhas institucionais das diversas Secretarias Municipais.</w:t>
      </w:r>
    </w:p>
    <w:p w14:paraId="0D117B0E" w14:textId="77777777" w:rsidR="00A329F7" w:rsidRDefault="00000000">
      <w:pPr>
        <w:spacing w:after="200" w:line="360" w:lineRule="auto"/>
        <w:ind w:firstLine="1134"/>
        <w:jc w:val="both"/>
      </w:pPr>
      <w:r>
        <w:rPr>
          <w:rFonts w:ascii="Arial" w:eastAsia="Arial" w:hAnsi="Arial" w:cs="Arial"/>
          <w:sz w:val="22"/>
          <w:szCs w:val="22"/>
        </w:rPr>
        <w:t>Recomenda-se que, antes da aprovação definitiva da fase preparatória, seja juntada aos autos comprovação formal da previsão da contratação no Plano Anual de Contratações ou documento equivalente.</w:t>
      </w:r>
    </w:p>
    <w:p w14:paraId="72AA7198" w14:textId="77777777" w:rsidR="00A329F7" w:rsidRDefault="00000000">
      <w:pPr>
        <w:spacing w:before="200" w:after="200" w:line="360" w:lineRule="auto"/>
        <w:jc w:val="both"/>
      </w:pPr>
      <w:r>
        <w:rPr>
          <w:rFonts w:ascii="Arial" w:eastAsia="Arial" w:hAnsi="Arial" w:cs="Arial"/>
          <w:b/>
          <w:bCs/>
          <w:sz w:val="22"/>
          <w:szCs w:val="22"/>
        </w:rPr>
        <w:t>4. REQUISITOS DA CONTRATAÇÃO</w:t>
      </w:r>
    </w:p>
    <w:p w14:paraId="0FD4C630" w14:textId="77777777" w:rsidR="00A329F7" w:rsidRDefault="00000000">
      <w:pPr>
        <w:spacing w:after="200" w:line="360" w:lineRule="auto"/>
        <w:ind w:firstLine="1134"/>
        <w:jc w:val="both"/>
      </w:pPr>
      <w:r>
        <w:rPr>
          <w:rFonts w:ascii="Arial" w:eastAsia="Arial" w:hAnsi="Arial" w:cs="Arial"/>
          <w:sz w:val="22"/>
          <w:szCs w:val="22"/>
        </w:rPr>
        <w:t>A futura contratação deverá observar requisitos técnicos, operacionais, logísticos, ambientais e de segurança compatíveis com a natureza do objeto e com as necessidades permanentes da Administração Municipal.</w:t>
      </w:r>
    </w:p>
    <w:p w14:paraId="70C3DD8D" w14:textId="77777777" w:rsidR="00A329F7" w:rsidRDefault="00000000">
      <w:pPr>
        <w:spacing w:after="200" w:line="360" w:lineRule="auto"/>
        <w:ind w:firstLine="1134"/>
        <w:jc w:val="both"/>
      </w:pPr>
      <w:r>
        <w:rPr>
          <w:rFonts w:ascii="Arial" w:eastAsia="Arial" w:hAnsi="Arial" w:cs="Arial"/>
          <w:sz w:val="22"/>
          <w:szCs w:val="22"/>
        </w:rPr>
        <w:lastRenderedPageBreak/>
        <w:t>Os requisitos ora estabelecidos não se confundem com critérios de habilitação dos licitantes, constituindo condições mínimas indispensáveis para que a solução contratada atenda satisfatoriamente ao interesse público.</w:t>
      </w:r>
    </w:p>
    <w:p w14:paraId="25175A51" w14:textId="77777777" w:rsidR="00A329F7" w:rsidRDefault="00000000">
      <w:pPr>
        <w:spacing w:before="200" w:after="200" w:line="360" w:lineRule="auto"/>
        <w:jc w:val="both"/>
      </w:pPr>
      <w:r>
        <w:rPr>
          <w:rFonts w:ascii="Arial" w:eastAsia="Arial" w:hAnsi="Arial" w:cs="Arial"/>
          <w:b/>
          <w:bCs/>
          <w:sz w:val="22"/>
          <w:szCs w:val="22"/>
        </w:rPr>
        <w:t>4.1 Requisitos técnicos</w:t>
      </w:r>
    </w:p>
    <w:p w14:paraId="0BF0A514" w14:textId="77777777" w:rsidR="00A329F7" w:rsidRDefault="00000000">
      <w:pPr>
        <w:spacing w:after="200" w:line="360" w:lineRule="auto"/>
        <w:ind w:firstLine="1134"/>
        <w:jc w:val="both"/>
      </w:pPr>
      <w:r>
        <w:rPr>
          <w:rFonts w:ascii="Arial" w:eastAsia="Arial" w:hAnsi="Arial" w:cs="Arial"/>
          <w:sz w:val="22"/>
          <w:szCs w:val="22"/>
        </w:rPr>
        <w:t>O gás liquefeito de petróleo deverá apresentar composição básica de propano e butano, em conformidade com a Portaria ANP nº 51, de 30/11/2016, que estabelece a especificação técnica do produto, sendo vedado o fornecimento de produto fora das condições regulamentares de qualidade e segurança.</w:t>
      </w:r>
    </w:p>
    <w:p w14:paraId="29F9A6F7" w14:textId="77777777" w:rsidR="00A329F7" w:rsidRDefault="00000000">
      <w:pPr>
        <w:spacing w:after="200" w:line="360" w:lineRule="auto"/>
        <w:ind w:firstLine="1134"/>
        <w:jc w:val="both"/>
      </w:pPr>
      <w:r>
        <w:rPr>
          <w:rFonts w:ascii="Arial" w:eastAsia="Arial" w:hAnsi="Arial" w:cs="Arial"/>
          <w:sz w:val="22"/>
          <w:szCs w:val="22"/>
        </w:rPr>
        <w:t>Os botijões (P13 e P45) deverão estar de acordo com a norma ABNT NBR 8866, apresentando lacre de segurança íntegro, ausência de vazamentos, amassados, corrosão ou qualquer avaria que comprometa a segurança de manuseio e armazenamento, além de peso líquido correto do produto envasado.</w:t>
      </w:r>
    </w:p>
    <w:p w14:paraId="69871C22" w14:textId="77777777" w:rsidR="00A329F7" w:rsidRDefault="00000000">
      <w:pPr>
        <w:spacing w:after="200" w:line="360" w:lineRule="auto"/>
        <w:ind w:firstLine="1134"/>
        <w:jc w:val="both"/>
      </w:pPr>
      <w:r>
        <w:rPr>
          <w:rFonts w:ascii="Arial" w:eastAsia="Arial" w:hAnsi="Arial" w:cs="Arial"/>
          <w:sz w:val="22"/>
          <w:szCs w:val="22"/>
        </w:rPr>
        <w:t>O fornecedor deverá comprovar a condição de revendedor autorizado de GLP perante a Agência Nacional do Petróleo, Gás Natural e Biocombustíveis – ANP, exigência que deverá constar entre os critérios de habilitação técnica do Termo de Referência.</w:t>
      </w:r>
    </w:p>
    <w:p w14:paraId="7F4F2C59" w14:textId="77777777" w:rsidR="00A329F7" w:rsidRDefault="00000000">
      <w:pPr>
        <w:spacing w:after="200" w:line="360" w:lineRule="auto"/>
        <w:ind w:firstLine="1134"/>
        <w:jc w:val="both"/>
      </w:pPr>
      <w:r>
        <w:rPr>
          <w:rFonts w:ascii="Arial" w:eastAsia="Arial" w:hAnsi="Arial" w:cs="Arial"/>
          <w:sz w:val="22"/>
          <w:szCs w:val="22"/>
        </w:rPr>
        <w:t>Para o item de fornecimento com casco, o cilindro deverá ser novo ou estar dentro do prazo de revalidação/inspeção periódica estabelecido pelas normas técnicas e regulamentação aplicáveis, cabendo à área técnica confirmar, por ocasião do Termo de Referência, a documentação comprobatória exigível do fornecedor quanto a esse requisito.</w:t>
      </w:r>
    </w:p>
    <w:p w14:paraId="1B655708" w14:textId="77777777" w:rsidR="00A329F7" w:rsidRDefault="00000000">
      <w:pPr>
        <w:spacing w:after="200" w:line="360" w:lineRule="auto"/>
        <w:ind w:firstLine="1134"/>
        <w:jc w:val="both"/>
      </w:pPr>
      <w:r>
        <w:rPr>
          <w:rFonts w:ascii="Arial" w:eastAsia="Arial" w:hAnsi="Arial" w:cs="Arial"/>
          <w:sz w:val="22"/>
          <w:szCs w:val="22"/>
        </w:rPr>
        <w:t>A Administração poderá recusar botijões que apresentem vazamento, avaria, peso incompatível com o especificado, cilindro fora do prazo de revalidação ou qualquer condição que comprometa a segurança de utilização, devendo o fornecedor promover sua substituição imediata, sem ônus adicional ao Município.</w:t>
      </w:r>
    </w:p>
    <w:p w14:paraId="19C89BC2" w14:textId="77777777" w:rsidR="00A329F7" w:rsidRDefault="00000000">
      <w:pPr>
        <w:spacing w:before="200" w:after="200" w:line="360" w:lineRule="auto"/>
        <w:jc w:val="both"/>
      </w:pPr>
      <w:r>
        <w:rPr>
          <w:rFonts w:ascii="Arial" w:eastAsia="Arial" w:hAnsi="Arial" w:cs="Arial"/>
          <w:b/>
          <w:bCs/>
          <w:sz w:val="22"/>
          <w:szCs w:val="22"/>
        </w:rPr>
        <w:t>4.2 Requisitos operacionais</w:t>
      </w:r>
    </w:p>
    <w:p w14:paraId="400C30C0" w14:textId="77777777" w:rsidR="00A329F7" w:rsidRDefault="00000000">
      <w:pPr>
        <w:spacing w:after="200" w:line="360" w:lineRule="auto"/>
        <w:ind w:firstLine="1134"/>
        <w:jc w:val="both"/>
      </w:pPr>
      <w:r>
        <w:rPr>
          <w:rFonts w:ascii="Arial" w:eastAsia="Arial" w:hAnsi="Arial" w:cs="Arial"/>
          <w:sz w:val="22"/>
          <w:szCs w:val="22"/>
        </w:rPr>
        <w:t>O fornecimento deverá ocorrer de forma parcelada, conforme as necessidades efetivamente verificadas pelas Secretarias Municipais, mediante emissão de Autorização de Fornecimento ou documento equivalente.</w:t>
      </w:r>
    </w:p>
    <w:p w14:paraId="2EB71655" w14:textId="77777777" w:rsidR="00A329F7" w:rsidRDefault="00000000">
      <w:pPr>
        <w:spacing w:after="200" w:line="360" w:lineRule="auto"/>
        <w:ind w:firstLine="1134"/>
        <w:jc w:val="both"/>
      </w:pPr>
      <w:r>
        <w:rPr>
          <w:rFonts w:ascii="Arial" w:eastAsia="Arial" w:hAnsi="Arial" w:cs="Arial"/>
          <w:sz w:val="22"/>
          <w:szCs w:val="22"/>
        </w:rPr>
        <w:t>A contratação não implica obrigação de aquisição integral dos quantitativos registrados, constituindo estes mera estimativa de consumo durante a vigência da futura Ata de Registro de Preços.</w:t>
      </w:r>
    </w:p>
    <w:p w14:paraId="40E099E3" w14:textId="77777777" w:rsidR="00A329F7" w:rsidRDefault="00000000">
      <w:pPr>
        <w:spacing w:after="200" w:line="360" w:lineRule="auto"/>
        <w:ind w:firstLine="1134"/>
        <w:jc w:val="both"/>
      </w:pPr>
      <w:r>
        <w:rPr>
          <w:rFonts w:ascii="Arial" w:eastAsia="Arial" w:hAnsi="Arial" w:cs="Arial"/>
          <w:sz w:val="22"/>
          <w:szCs w:val="22"/>
        </w:rPr>
        <w:lastRenderedPageBreak/>
        <w:t>Nos itens de reposição por sistema de troca, o fornecedor deverá realizar a substituição do botijão vazio pelo cheio no mesmo ato de entrega, ficando responsável pelo recolhimento e transporte do casco vazio, sem custo adicional ao Município.</w:t>
      </w:r>
    </w:p>
    <w:p w14:paraId="037C7F99" w14:textId="77777777" w:rsidR="00A329F7" w:rsidRDefault="00000000">
      <w:pPr>
        <w:spacing w:after="200" w:line="360" w:lineRule="auto"/>
        <w:ind w:firstLine="1134"/>
        <w:jc w:val="both"/>
      </w:pPr>
      <w:r>
        <w:rPr>
          <w:rFonts w:ascii="Arial" w:eastAsia="Arial" w:hAnsi="Arial" w:cs="Arial"/>
          <w:sz w:val="22"/>
          <w:szCs w:val="22"/>
        </w:rPr>
        <w:t>As entregas deverão ocorrer nos locais indicados pela Administração, compreendendo as escolas municipais, unidades de saúde, equipamentos da rede socioassistencial e demais prédios públicos com cozinha institucional, observando os horários de funcionamento estabelecidos.</w:t>
      </w:r>
    </w:p>
    <w:p w14:paraId="5A37B3CC" w14:textId="77777777" w:rsidR="00A329F7" w:rsidRDefault="00000000">
      <w:pPr>
        <w:spacing w:after="200" w:line="360" w:lineRule="auto"/>
        <w:ind w:firstLine="1134"/>
        <w:jc w:val="both"/>
      </w:pPr>
      <w:r>
        <w:rPr>
          <w:rFonts w:ascii="Arial" w:eastAsia="Arial" w:hAnsi="Arial" w:cs="Arial"/>
          <w:sz w:val="22"/>
          <w:szCs w:val="22"/>
        </w:rPr>
        <w:t>O fornecedor será responsável por todas as despesas relativas ao transporte, carga, descarga, tributos, encargos e demais custos necessários ao perfeito cumprimento da contratação, não sendo admitida cobrança adicional da Administração.</w:t>
      </w:r>
    </w:p>
    <w:p w14:paraId="25F98130" w14:textId="77777777" w:rsidR="00A329F7" w:rsidRDefault="00000000">
      <w:pPr>
        <w:spacing w:before="200" w:after="200" w:line="360" w:lineRule="auto"/>
        <w:jc w:val="both"/>
      </w:pPr>
      <w:r>
        <w:rPr>
          <w:rFonts w:ascii="Arial" w:eastAsia="Arial" w:hAnsi="Arial" w:cs="Arial"/>
          <w:b/>
          <w:bCs/>
          <w:sz w:val="22"/>
          <w:szCs w:val="22"/>
        </w:rPr>
        <w:t>4.3 Requisitos logísticos e prazo de entrega</w:t>
      </w:r>
    </w:p>
    <w:p w14:paraId="6FDDCD60" w14:textId="77777777" w:rsidR="00A329F7" w:rsidRDefault="00000000">
      <w:pPr>
        <w:spacing w:after="200" w:line="360" w:lineRule="auto"/>
        <w:ind w:firstLine="1134"/>
        <w:jc w:val="both"/>
      </w:pPr>
      <w:r>
        <w:rPr>
          <w:rFonts w:ascii="Arial" w:eastAsia="Arial" w:hAnsi="Arial" w:cs="Arial"/>
          <w:sz w:val="22"/>
          <w:szCs w:val="22"/>
        </w:rPr>
        <w:t>A logística de fornecimento representa elemento essencial para o sucesso da contratação, tendo em vista que a indisponibilidade de gás compromete de forma imediata o preparo da alimentação escolar e das demais atividades de cozinha institucional.</w:t>
      </w:r>
    </w:p>
    <w:p w14:paraId="2B1CCBE5" w14:textId="77777777" w:rsidR="00A329F7" w:rsidRDefault="00000000">
      <w:pPr>
        <w:spacing w:after="200" w:line="360" w:lineRule="auto"/>
        <w:ind w:firstLine="1134"/>
        <w:jc w:val="both"/>
      </w:pPr>
      <w:r>
        <w:rPr>
          <w:rFonts w:ascii="Arial" w:eastAsia="Arial" w:hAnsi="Arial" w:cs="Arial"/>
          <w:sz w:val="22"/>
          <w:szCs w:val="22"/>
        </w:rPr>
        <w:t>O Município de São Valério do Sul apresenta características próprias relacionadas à logística regional, sendo atendido predominantemente por revendedores autorizados estabelecidos no próprio Município ou em cidades vizinhas.</w:t>
      </w:r>
    </w:p>
    <w:p w14:paraId="0AC6D8F3" w14:textId="77777777" w:rsidR="00A329F7" w:rsidRDefault="00000000">
      <w:pPr>
        <w:spacing w:after="200" w:line="360" w:lineRule="auto"/>
        <w:ind w:firstLine="1134"/>
        <w:jc w:val="both"/>
      </w:pPr>
      <w:r>
        <w:rPr>
          <w:rFonts w:ascii="Arial" w:eastAsia="Arial" w:hAnsi="Arial" w:cs="Arial"/>
          <w:sz w:val="22"/>
          <w:szCs w:val="22"/>
        </w:rPr>
        <w:t>Em razão da essencialidade do objeto e da ausência de alternativa de substituição imediata para o preparo de alimentos nas cozinhas institucionais, propõe-se prazo máximo de entrega de até 02 (dois) dias úteis, contados do recebimento da Autorização de Fornecimento, prazo compatível com a disponibilidade local de revendedores de GLP em municípios de pequeno porte.</w:t>
      </w:r>
    </w:p>
    <w:p w14:paraId="097DA411" w14:textId="77777777" w:rsidR="00A329F7" w:rsidRDefault="00000000">
      <w:pPr>
        <w:spacing w:after="200" w:line="360" w:lineRule="auto"/>
        <w:ind w:firstLine="1134"/>
        <w:jc w:val="both"/>
      </w:pPr>
      <w:r>
        <w:rPr>
          <w:rFonts w:ascii="Arial" w:eastAsia="Arial" w:hAnsi="Arial" w:cs="Arial"/>
          <w:sz w:val="22"/>
          <w:szCs w:val="22"/>
        </w:rPr>
        <w:t>Recomenda-se, ainda, que o Termo de Referência preveja mecanismo de atendimento em caráter de urgência para situações de esgotamento inesperado do estoque em unidade escolar ou de saúde, de modo a evitar qualquer interrupção do preparo de alimentação.</w:t>
      </w:r>
    </w:p>
    <w:p w14:paraId="340BE616" w14:textId="77777777" w:rsidR="00A329F7" w:rsidRDefault="00000000">
      <w:pPr>
        <w:spacing w:after="200" w:line="360" w:lineRule="auto"/>
        <w:ind w:firstLine="1134"/>
        <w:jc w:val="both"/>
      </w:pPr>
      <w:r>
        <w:rPr>
          <w:rFonts w:ascii="Arial" w:eastAsia="Arial" w:hAnsi="Arial" w:cs="Arial"/>
          <w:sz w:val="22"/>
          <w:szCs w:val="22"/>
        </w:rPr>
        <w:t>O prazo proposto mostra-se compatível com as características do objeto e suficiente para permitir adequado planejamento logístico pelos fornecedores, sem comprometer a continuidade das atividades das cozinhas institucionais.</w:t>
      </w:r>
    </w:p>
    <w:p w14:paraId="47869F87" w14:textId="77777777" w:rsidR="00A329F7" w:rsidRDefault="00000000">
      <w:pPr>
        <w:spacing w:after="200" w:line="360" w:lineRule="auto"/>
        <w:ind w:firstLine="1134"/>
        <w:jc w:val="both"/>
      </w:pPr>
      <w:r>
        <w:rPr>
          <w:rFonts w:ascii="Arial" w:eastAsia="Arial" w:hAnsi="Arial" w:cs="Arial"/>
          <w:sz w:val="22"/>
          <w:szCs w:val="22"/>
        </w:rPr>
        <w:t>Fornecedor incapaz de atender tempestivamente às demandas da Administração poderá ocasionar interrupção da alimentação escolar e das demais atividades dependentes de cozinha institucional, comprometendo diretamente a continuidade dos serviços públicos.</w:t>
      </w:r>
    </w:p>
    <w:p w14:paraId="12A2C71A" w14:textId="77777777" w:rsidR="00A329F7" w:rsidRDefault="00000000">
      <w:pPr>
        <w:spacing w:before="200" w:after="200" w:line="360" w:lineRule="auto"/>
        <w:jc w:val="both"/>
      </w:pPr>
      <w:r>
        <w:rPr>
          <w:rFonts w:ascii="Arial" w:eastAsia="Arial" w:hAnsi="Arial" w:cs="Arial"/>
          <w:b/>
          <w:bCs/>
          <w:sz w:val="22"/>
          <w:szCs w:val="22"/>
        </w:rPr>
        <w:lastRenderedPageBreak/>
        <w:t>4.4 Requisitos de sustentabilidade e segurança</w:t>
      </w:r>
    </w:p>
    <w:p w14:paraId="09BCE7BF" w14:textId="77777777" w:rsidR="00A329F7" w:rsidRDefault="00000000">
      <w:pPr>
        <w:spacing w:after="200" w:line="360" w:lineRule="auto"/>
        <w:ind w:firstLine="1134"/>
        <w:jc w:val="both"/>
      </w:pPr>
      <w:r>
        <w:rPr>
          <w:rFonts w:ascii="Arial" w:eastAsia="Arial" w:hAnsi="Arial" w:cs="Arial"/>
          <w:sz w:val="22"/>
          <w:szCs w:val="22"/>
        </w:rPr>
        <w:t>A contratação deverá observar, sempre que possível e compatível com a competitividade do certame, práticas voltadas à segurança no manuseio e armazenamento do GLP e à promoção da sustentabilidade ambiental.</w:t>
      </w:r>
    </w:p>
    <w:p w14:paraId="2F133FD0" w14:textId="77777777" w:rsidR="00A329F7" w:rsidRDefault="00000000">
      <w:pPr>
        <w:spacing w:after="200" w:line="360" w:lineRule="auto"/>
        <w:ind w:firstLine="1134"/>
        <w:jc w:val="both"/>
      </w:pPr>
      <w:r>
        <w:rPr>
          <w:rFonts w:ascii="Arial" w:eastAsia="Arial" w:hAnsi="Arial" w:cs="Arial"/>
          <w:sz w:val="22"/>
          <w:szCs w:val="22"/>
        </w:rPr>
        <w:t>O sistema de troca de cilindro vazio por cheio, adotado como regra para a maior parte dos itens, constitui em si medida de sustentabilidade e de segurança, ao evitar a formação de estoques de botijões cheios em ambientes não projetados para esse fim e ao garantir que os cascos permaneçam sob responsabilidade técnica do revendedor autorizado entre uma troca e outra.</w:t>
      </w:r>
    </w:p>
    <w:p w14:paraId="1083D599" w14:textId="77777777" w:rsidR="00A329F7" w:rsidRDefault="00000000">
      <w:pPr>
        <w:spacing w:after="200" w:line="360" w:lineRule="auto"/>
        <w:ind w:firstLine="1134"/>
        <w:jc w:val="both"/>
      </w:pPr>
      <w:r>
        <w:rPr>
          <w:rFonts w:ascii="Arial" w:eastAsia="Arial" w:hAnsi="Arial" w:cs="Arial"/>
          <w:sz w:val="22"/>
          <w:szCs w:val="22"/>
        </w:rPr>
        <w:t>Recomenda-se que a fiscalização contratual verifique periodicamente a integridade dos botijões em uso e o cumprimento do prazo de revalidação dos cascos pelos fornecedores, comunicando-se ao revendedor qualquer indício de vazamento ou avaria para pronta substituição.</w:t>
      </w:r>
    </w:p>
    <w:p w14:paraId="2CA6098D" w14:textId="77777777" w:rsidR="00A329F7" w:rsidRDefault="00000000">
      <w:pPr>
        <w:spacing w:after="200" w:line="360" w:lineRule="auto"/>
        <w:ind w:firstLine="1134"/>
        <w:jc w:val="both"/>
      </w:pPr>
      <w:r>
        <w:rPr>
          <w:rFonts w:ascii="Arial" w:eastAsia="Arial" w:hAnsi="Arial" w:cs="Arial"/>
          <w:sz w:val="22"/>
          <w:szCs w:val="22"/>
        </w:rPr>
        <w:t>A racionalização das entregas, mediante fornecimento conforme demanda efetiva das Secretarias Municipais, também constitui medida de sustentabilidade, reduzindo deslocamentos desnecessários e o risco de perdas.</w:t>
      </w:r>
    </w:p>
    <w:p w14:paraId="78C93E2F" w14:textId="77777777" w:rsidR="00A329F7" w:rsidRDefault="00000000">
      <w:pPr>
        <w:spacing w:before="200" w:after="200" w:line="360" w:lineRule="auto"/>
        <w:jc w:val="both"/>
      </w:pPr>
      <w:r>
        <w:rPr>
          <w:rFonts w:ascii="Arial" w:eastAsia="Arial" w:hAnsi="Arial" w:cs="Arial"/>
          <w:b/>
          <w:bCs/>
          <w:sz w:val="22"/>
          <w:szCs w:val="22"/>
        </w:rPr>
        <w:t>5. ESTIMATIVA DAS QUANTIDADES PARA A CONTRATAÇÃO</w:t>
      </w:r>
    </w:p>
    <w:p w14:paraId="5B639AB7" w14:textId="77777777" w:rsidR="00A329F7" w:rsidRDefault="00000000">
      <w:pPr>
        <w:spacing w:after="200" w:line="360" w:lineRule="auto"/>
        <w:ind w:firstLine="1134"/>
        <w:jc w:val="both"/>
      </w:pPr>
      <w:r>
        <w:rPr>
          <w:rFonts w:ascii="Arial" w:eastAsia="Arial" w:hAnsi="Arial" w:cs="Arial"/>
          <w:sz w:val="22"/>
          <w:szCs w:val="22"/>
        </w:rPr>
        <w:t>A definição dos quantitativos constitui etapa fundamental do planejamento da contratação, influenciando diretamente a estimativa do valor, a modelagem da futura Ata de Registro de Preços, a competitividade da licitação e a adequada gestão contratual.</w:t>
      </w:r>
    </w:p>
    <w:p w14:paraId="1733523F" w14:textId="77777777" w:rsidR="00A329F7" w:rsidRDefault="00000000">
      <w:pPr>
        <w:spacing w:after="200" w:line="360" w:lineRule="auto"/>
        <w:ind w:firstLine="1134"/>
        <w:jc w:val="both"/>
      </w:pPr>
      <w:r>
        <w:rPr>
          <w:rFonts w:ascii="Arial" w:eastAsia="Arial" w:hAnsi="Arial" w:cs="Arial"/>
          <w:sz w:val="22"/>
          <w:szCs w:val="22"/>
        </w:rPr>
        <w:t>Conforme documentação elaborada pela Administração Municipal, foi realizado levantamento consolidado das necessidades das diversas Secretarias Municipais, totalizando 3 (três) itens: 100 (cem) unidades de botijão P13 por sistema de troca, 40 (quarenta) unidades de botijão P45 por sistema de troca, e 20 (vinte) unidades de botijão P13 com fornecimento de casco.</w:t>
      </w:r>
    </w:p>
    <w:p w14:paraId="26E706B7" w14:textId="77777777" w:rsidR="00A329F7" w:rsidRDefault="00000000">
      <w:pPr>
        <w:spacing w:after="200" w:line="360" w:lineRule="auto"/>
        <w:ind w:firstLine="1134"/>
        <w:jc w:val="both"/>
      </w:pPr>
      <w:r>
        <w:rPr>
          <w:rFonts w:ascii="Arial" w:eastAsia="Arial" w:hAnsi="Arial" w:cs="Arial"/>
          <w:sz w:val="22"/>
          <w:szCs w:val="22"/>
        </w:rPr>
        <w:t>A metodologia adotada buscou compatibilizar o consumo estimado durante a vigência da Ata de Registro de Preços com as necessidades operacionais de cada unidade administrativa, considerando a utilização contínua de gás de cozinha nas cozinhas institucionais municipais.</w:t>
      </w:r>
    </w:p>
    <w:p w14:paraId="07F96D6E" w14:textId="77777777" w:rsidR="00A329F7" w:rsidRDefault="00000000">
      <w:pPr>
        <w:spacing w:after="200" w:line="360" w:lineRule="auto"/>
        <w:ind w:firstLine="1134"/>
        <w:jc w:val="both"/>
      </w:pPr>
      <w:r>
        <w:rPr>
          <w:rFonts w:ascii="Arial" w:eastAsia="Arial" w:hAnsi="Arial" w:cs="Arial"/>
          <w:sz w:val="22"/>
          <w:szCs w:val="22"/>
        </w:rPr>
        <w:t>A contratação será realizada por meio do Sistema de Registro de Preços.</w:t>
      </w:r>
    </w:p>
    <w:p w14:paraId="06E7CB5D" w14:textId="77777777" w:rsidR="00A329F7" w:rsidRDefault="00000000">
      <w:pPr>
        <w:spacing w:after="200" w:line="360" w:lineRule="auto"/>
        <w:ind w:firstLine="1134"/>
        <w:jc w:val="both"/>
      </w:pPr>
      <w:r>
        <w:rPr>
          <w:rFonts w:ascii="Arial" w:eastAsia="Arial" w:hAnsi="Arial" w:cs="Arial"/>
          <w:sz w:val="22"/>
          <w:szCs w:val="22"/>
        </w:rPr>
        <w:lastRenderedPageBreak/>
        <w:t>Nessa sistemática, os quantitativos registrados representam estimativa máxima de consumo durante a vigência da Ata, não gerando obrigação de aquisição integral pela Administração, o que permite maior flexibilidade administrativa e evita a formação de estoques excessivos de produto inflamável.</w:t>
      </w:r>
    </w:p>
    <w:p w14:paraId="05715D52" w14:textId="77777777" w:rsidR="00A329F7" w:rsidRDefault="00000000">
      <w:pPr>
        <w:spacing w:after="200" w:line="360" w:lineRule="auto"/>
        <w:ind w:firstLine="1134"/>
        <w:jc w:val="both"/>
      </w:pPr>
      <w:r>
        <w:rPr>
          <w:rFonts w:ascii="Arial" w:eastAsia="Arial" w:hAnsi="Arial" w:cs="Arial"/>
          <w:sz w:val="22"/>
          <w:szCs w:val="22"/>
        </w:rPr>
        <w:t>Os quantitativos estimados encontram-se integralmente descritos na planilha consolidada elaborada pela Administração Municipal, documento que integra o presente processo administrativo e servirá de base para a elaboração do Termo de Referência.</w:t>
      </w:r>
    </w:p>
    <w:p w14:paraId="6915BE8C" w14:textId="77777777" w:rsidR="00A329F7" w:rsidRDefault="00000000">
      <w:pPr>
        <w:spacing w:before="200" w:after="200" w:line="360" w:lineRule="auto"/>
        <w:jc w:val="both"/>
      </w:pPr>
      <w:r>
        <w:rPr>
          <w:rFonts w:ascii="Arial" w:eastAsia="Arial" w:hAnsi="Arial" w:cs="Arial"/>
          <w:b/>
          <w:bCs/>
          <w:sz w:val="22"/>
          <w:szCs w:val="22"/>
        </w:rPr>
        <w:t>6. LEVANTAMENTO DE MERCADO</w:t>
      </w:r>
    </w:p>
    <w:p w14:paraId="023BDDB3" w14:textId="77777777" w:rsidR="00A329F7" w:rsidRDefault="00000000">
      <w:pPr>
        <w:spacing w:after="200" w:line="360" w:lineRule="auto"/>
        <w:ind w:firstLine="1134"/>
        <w:jc w:val="both"/>
      </w:pPr>
      <w:r>
        <w:rPr>
          <w:rFonts w:ascii="Arial" w:eastAsia="Arial" w:hAnsi="Arial" w:cs="Arial"/>
          <w:sz w:val="22"/>
          <w:szCs w:val="22"/>
        </w:rPr>
        <w:t>O levantamento de mercado possui por finalidade identificar as soluções disponíveis para atendimento da necessidade administrativa, analisando não apenas os preços praticados, mas também os modelos de fornecimento existentes, as características do mercado fornecedor e a forma mais eficiente de estruturar a futura contratação.</w:t>
      </w:r>
    </w:p>
    <w:p w14:paraId="4DB4D187" w14:textId="77777777" w:rsidR="00A329F7" w:rsidRDefault="00000000">
      <w:pPr>
        <w:spacing w:before="200" w:after="200" w:line="360" w:lineRule="auto"/>
        <w:jc w:val="both"/>
      </w:pPr>
      <w:r>
        <w:rPr>
          <w:rFonts w:ascii="Arial" w:eastAsia="Arial" w:hAnsi="Arial" w:cs="Arial"/>
          <w:b/>
          <w:bCs/>
          <w:sz w:val="22"/>
          <w:szCs w:val="22"/>
        </w:rPr>
        <w:t>6.1 Soluções existentes no mercado</w:t>
      </w:r>
    </w:p>
    <w:p w14:paraId="2CD6F60C" w14:textId="77777777" w:rsidR="00A329F7" w:rsidRDefault="00000000">
      <w:pPr>
        <w:spacing w:after="200" w:line="360" w:lineRule="auto"/>
        <w:ind w:firstLine="1134"/>
        <w:jc w:val="both"/>
      </w:pPr>
      <w:r>
        <w:rPr>
          <w:rFonts w:ascii="Arial" w:eastAsia="Arial" w:hAnsi="Arial" w:cs="Arial"/>
          <w:sz w:val="22"/>
          <w:szCs w:val="22"/>
        </w:rPr>
        <w:t>Foram identificadas as seguintes alternativas para atendimento da necessidade administrativa:</w:t>
      </w:r>
    </w:p>
    <w:p w14:paraId="4DA9F836" w14:textId="77777777" w:rsidR="00A329F7" w:rsidRDefault="00000000">
      <w:pPr>
        <w:spacing w:after="200" w:line="360" w:lineRule="auto"/>
        <w:jc w:val="both"/>
      </w:pPr>
      <w:r>
        <w:rPr>
          <w:rFonts w:ascii="Arial" w:eastAsia="Arial" w:hAnsi="Arial" w:cs="Arial"/>
          <w:sz w:val="22"/>
          <w:szCs w:val="22"/>
        </w:rPr>
        <w:t>a) Aquisições por demanda mediante dispensas sucessivas</w:t>
      </w:r>
    </w:p>
    <w:p w14:paraId="0CA3FEE5" w14:textId="77777777" w:rsidR="00A329F7" w:rsidRDefault="00000000">
      <w:pPr>
        <w:spacing w:after="200" w:line="360" w:lineRule="auto"/>
        <w:ind w:firstLine="1134"/>
        <w:jc w:val="both"/>
      </w:pPr>
      <w:r>
        <w:rPr>
          <w:rFonts w:ascii="Arial" w:eastAsia="Arial" w:hAnsi="Arial" w:cs="Arial"/>
          <w:sz w:val="22"/>
          <w:szCs w:val="22"/>
        </w:rPr>
        <w:t>Consiste na realização de pequenas aquisições sempre que surgir necessidade de reposição de gás.</w:t>
      </w:r>
    </w:p>
    <w:p w14:paraId="0A76516A" w14:textId="77777777" w:rsidR="00A329F7" w:rsidRDefault="00000000">
      <w:pPr>
        <w:spacing w:after="200" w:line="360" w:lineRule="auto"/>
        <w:ind w:firstLine="1134"/>
        <w:jc w:val="both"/>
      </w:pPr>
      <w:r>
        <w:rPr>
          <w:rFonts w:ascii="Arial" w:eastAsia="Arial" w:hAnsi="Arial" w:cs="Arial"/>
          <w:sz w:val="22"/>
          <w:szCs w:val="22"/>
        </w:rPr>
        <w:t>Embora essa alternativa reduza a formação de estoques, apresenta diversas desvantagens administrativas, dentre elas:</w:t>
      </w:r>
    </w:p>
    <w:p w14:paraId="781E0827" w14:textId="77777777" w:rsidR="00A329F7" w:rsidRDefault="00000000">
      <w:pPr>
        <w:pStyle w:val="PargrafodaLista"/>
        <w:numPr>
          <w:ilvl w:val="0"/>
          <w:numId w:val="1"/>
        </w:numPr>
        <w:spacing w:after="100" w:line="360" w:lineRule="auto"/>
        <w:jc w:val="both"/>
      </w:pPr>
      <w:r>
        <w:rPr>
          <w:rFonts w:ascii="Arial" w:eastAsia="Arial" w:hAnsi="Arial" w:cs="Arial"/>
          <w:sz w:val="22"/>
          <w:szCs w:val="22"/>
        </w:rPr>
        <w:t>elevado número de procedimentos administrativos;</w:t>
      </w:r>
    </w:p>
    <w:p w14:paraId="332BA64C" w14:textId="77777777" w:rsidR="00A329F7" w:rsidRDefault="00000000">
      <w:pPr>
        <w:pStyle w:val="PargrafodaLista"/>
        <w:numPr>
          <w:ilvl w:val="0"/>
          <w:numId w:val="1"/>
        </w:numPr>
        <w:spacing w:after="100" w:line="360" w:lineRule="auto"/>
        <w:jc w:val="both"/>
      </w:pPr>
      <w:r>
        <w:rPr>
          <w:rFonts w:ascii="Arial" w:eastAsia="Arial" w:hAnsi="Arial" w:cs="Arial"/>
          <w:sz w:val="22"/>
          <w:szCs w:val="22"/>
        </w:rPr>
        <w:t>maior custo operacional;</w:t>
      </w:r>
    </w:p>
    <w:p w14:paraId="2C977B44" w14:textId="77777777" w:rsidR="00A329F7" w:rsidRDefault="00000000">
      <w:pPr>
        <w:pStyle w:val="PargrafodaLista"/>
        <w:numPr>
          <w:ilvl w:val="0"/>
          <w:numId w:val="1"/>
        </w:numPr>
        <w:spacing w:after="100" w:line="360" w:lineRule="auto"/>
        <w:jc w:val="both"/>
      </w:pPr>
      <w:r>
        <w:rPr>
          <w:rFonts w:ascii="Arial" w:eastAsia="Arial" w:hAnsi="Arial" w:cs="Arial"/>
          <w:sz w:val="22"/>
          <w:szCs w:val="22"/>
        </w:rPr>
        <w:t>aumento do risco de fracionamento indevido das despesas;</w:t>
      </w:r>
    </w:p>
    <w:p w14:paraId="4A60A862" w14:textId="77777777" w:rsidR="00A329F7" w:rsidRDefault="00000000">
      <w:pPr>
        <w:pStyle w:val="PargrafodaLista"/>
        <w:numPr>
          <w:ilvl w:val="0"/>
          <w:numId w:val="1"/>
        </w:numPr>
        <w:spacing w:after="100" w:line="360" w:lineRule="auto"/>
        <w:jc w:val="both"/>
      </w:pPr>
      <w:r>
        <w:rPr>
          <w:rFonts w:ascii="Arial" w:eastAsia="Arial" w:hAnsi="Arial" w:cs="Arial"/>
          <w:sz w:val="22"/>
          <w:szCs w:val="22"/>
        </w:rPr>
        <w:t>dificuldade de planejamento anual;</w:t>
      </w:r>
    </w:p>
    <w:p w14:paraId="792898C8" w14:textId="77777777" w:rsidR="00A329F7" w:rsidRDefault="00000000">
      <w:pPr>
        <w:pStyle w:val="PargrafodaLista"/>
        <w:numPr>
          <w:ilvl w:val="0"/>
          <w:numId w:val="1"/>
        </w:numPr>
        <w:spacing w:after="100" w:line="360" w:lineRule="auto"/>
        <w:jc w:val="both"/>
      </w:pPr>
      <w:r>
        <w:rPr>
          <w:rFonts w:ascii="Arial" w:eastAsia="Arial" w:hAnsi="Arial" w:cs="Arial"/>
          <w:sz w:val="22"/>
          <w:szCs w:val="22"/>
        </w:rPr>
        <w:t>maior probabilidade de interrupção do preparo de alimentação escolar por atraso na reposição.</w:t>
      </w:r>
    </w:p>
    <w:p w14:paraId="257A210D" w14:textId="77777777" w:rsidR="00A329F7" w:rsidRDefault="00000000">
      <w:pPr>
        <w:spacing w:after="200" w:line="360" w:lineRule="auto"/>
        <w:ind w:firstLine="1134"/>
        <w:jc w:val="both"/>
      </w:pPr>
      <w:r>
        <w:rPr>
          <w:rFonts w:ascii="Arial" w:eastAsia="Arial" w:hAnsi="Arial" w:cs="Arial"/>
          <w:sz w:val="22"/>
          <w:szCs w:val="22"/>
        </w:rPr>
        <w:t>Dessa forma, essa solução não se mostra adequada para atendimento de demanda permanente e continuada.</w:t>
      </w:r>
    </w:p>
    <w:p w14:paraId="5952B4E1" w14:textId="77777777" w:rsidR="00A329F7" w:rsidRDefault="00000000">
      <w:pPr>
        <w:spacing w:after="200" w:line="360" w:lineRule="auto"/>
        <w:jc w:val="both"/>
      </w:pPr>
      <w:r>
        <w:rPr>
          <w:rFonts w:ascii="Arial" w:eastAsia="Arial" w:hAnsi="Arial" w:cs="Arial"/>
          <w:sz w:val="22"/>
          <w:szCs w:val="22"/>
        </w:rPr>
        <w:t>b) Contratação com entrega integral</w:t>
      </w:r>
    </w:p>
    <w:p w14:paraId="54F20EAD" w14:textId="77777777" w:rsidR="00A329F7" w:rsidRDefault="00000000">
      <w:pPr>
        <w:spacing w:after="200" w:line="360" w:lineRule="auto"/>
        <w:ind w:firstLine="1134"/>
        <w:jc w:val="both"/>
      </w:pPr>
      <w:r>
        <w:rPr>
          <w:rFonts w:ascii="Arial" w:eastAsia="Arial" w:hAnsi="Arial" w:cs="Arial"/>
          <w:sz w:val="22"/>
          <w:szCs w:val="22"/>
        </w:rPr>
        <w:lastRenderedPageBreak/>
        <w:t>Outra possibilidade consiste na aquisição integral de todos os quantitativos estimados logo após a homologação da licitação.</w:t>
      </w:r>
    </w:p>
    <w:p w14:paraId="6529F51D" w14:textId="77777777" w:rsidR="00A329F7" w:rsidRDefault="00000000">
      <w:pPr>
        <w:spacing w:after="200" w:line="360" w:lineRule="auto"/>
        <w:ind w:firstLine="1134"/>
        <w:jc w:val="both"/>
      </w:pPr>
      <w:r>
        <w:rPr>
          <w:rFonts w:ascii="Arial" w:eastAsia="Arial" w:hAnsi="Arial" w:cs="Arial"/>
          <w:sz w:val="22"/>
          <w:szCs w:val="22"/>
        </w:rPr>
        <w:t>Todavia, essa alternativa não se mostra adequada em razão da natureza inflamável do produto: o armazenamento simultâneo de grande quantidade de botijões cheios exigiria estrutura e condições específicas de segurança, elevando o risco de acidentes e podendo não observar os limites técnicos de armazenamento aplicáveis a produtos inflamáveis em prédios públicos não projetados para esse fim, além de imobilizar recursos orçamentários logo no início da execução contratual.</w:t>
      </w:r>
    </w:p>
    <w:p w14:paraId="15AD3374" w14:textId="77777777" w:rsidR="00A329F7" w:rsidRDefault="00000000">
      <w:pPr>
        <w:spacing w:after="200" w:line="360" w:lineRule="auto"/>
        <w:ind w:firstLine="1134"/>
        <w:jc w:val="both"/>
      </w:pPr>
      <w:r>
        <w:rPr>
          <w:rFonts w:ascii="Arial" w:eastAsia="Arial" w:hAnsi="Arial" w:cs="Arial"/>
          <w:sz w:val="22"/>
          <w:szCs w:val="22"/>
        </w:rPr>
        <w:t>Assim, a contratação por entrega integral não representa a solução mais eficiente nem a mais segura.</w:t>
      </w:r>
    </w:p>
    <w:p w14:paraId="309B9B6B" w14:textId="77777777" w:rsidR="00A329F7" w:rsidRDefault="00000000">
      <w:pPr>
        <w:spacing w:after="200" w:line="360" w:lineRule="auto"/>
        <w:jc w:val="both"/>
      </w:pPr>
      <w:r>
        <w:rPr>
          <w:rFonts w:ascii="Arial" w:eastAsia="Arial" w:hAnsi="Arial" w:cs="Arial"/>
          <w:sz w:val="22"/>
          <w:szCs w:val="22"/>
        </w:rPr>
        <w:t>c) Sistema de Registro de Preços com fornecimento parcelado</w:t>
      </w:r>
    </w:p>
    <w:p w14:paraId="5CA62D23" w14:textId="77777777" w:rsidR="00A329F7" w:rsidRDefault="00000000">
      <w:pPr>
        <w:spacing w:after="200" w:line="360" w:lineRule="auto"/>
        <w:ind w:firstLine="1134"/>
        <w:jc w:val="both"/>
      </w:pPr>
      <w:r>
        <w:rPr>
          <w:rFonts w:ascii="Arial" w:eastAsia="Arial" w:hAnsi="Arial" w:cs="Arial"/>
          <w:sz w:val="22"/>
          <w:szCs w:val="22"/>
        </w:rPr>
        <w:t>A terceira alternativa consiste na realização de procedimento licitatório destinado à formação de Ata de Registro de Preços para fornecimento parcelado conforme as necessidades das Secretarias Municipais, mediante sistema de troca de cilindro vazio por cheio.</w:t>
      </w:r>
    </w:p>
    <w:p w14:paraId="6E1E8CAD" w14:textId="77777777" w:rsidR="00A329F7" w:rsidRDefault="00000000">
      <w:pPr>
        <w:spacing w:after="200" w:line="360" w:lineRule="auto"/>
        <w:ind w:firstLine="1134"/>
        <w:jc w:val="both"/>
      </w:pPr>
      <w:r>
        <w:rPr>
          <w:rFonts w:ascii="Arial" w:eastAsia="Arial" w:hAnsi="Arial" w:cs="Arial"/>
          <w:sz w:val="22"/>
          <w:szCs w:val="22"/>
        </w:rPr>
        <w:t>Essa modalidade permite que a Administração realize aquisições apenas quando efetivamente necessárias, reduzindo riscos de armazenamento, evitando estoques excessivos e proporcionando maior flexibilidade administrativa, além de concentrar toda a demanda municipal em um único procedimento licitatório.</w:t>
      </w:r>
    </w:p>
    <w:p w14:paraId="2507B772" w14:textId="77777777" w:rsidR="00A329F7" w:rsidRDefault="00000000">
      <w:pPr>
        <w:spacing w:after="200" w:line="360" w:lineRule="auto"/>
        <w:ind w:firstLine="1134"/>
        <w:jc w:val="both"/>
      </w:pPr>
      <w:r>
        <w:rPr>
          <w:rFonts w:ascii="Arial" w:eastAsia="Arial" w:hAnsi="Arial" w:cs="Arial"/>
          <w:sz w:val="22"/>
          <w:szCs w:val="22"/>
        </w:rPr>
        <w:t>Após análise das alternativas disponíveis, conclui-se que esta representa a solução mais vantajosa e mais segura para atendimento da necessidade administrativa.</w:t>
      </w:r>
    </w:p>
    <w:p w14:paraId="341547CA" w14:textId="77777777" w:rsidR="00A329F7" w:rsidRDefault="00000000">
      <w:pPr>
        <w:spacing w:before="200" w:after="200" w:line="360" w:lineRule="auto"/>
        <w:jc w:val="both"/>
      </w:pPr>
      <w:r>
        <w:rPr>
          <w:rFonts w:ascii="Arial" w:eastAsia="Arial" w:hAnsi="Arial" w:cs="Arial"/>
          <w:b/>
          <w:bCs/>
          <w:sz w:val="22"/>
          <w:szCs w:val="22"/>
        </w:rPr>
        <w:t>6.2 Mercado fornecedor</w:t>
      </w:r>
    </w:p>
    <w:p w14:paraId="2F6FCCC7" w14:textId="77777777" w:rsidR="00A329F7" w:rsidRDefault="00000000">
      <w:pPr>
        <w:spacing w:after="200" w:line="360" w:lineRule="auto"/>
        <w:ind w:firstLine="1134"/>
        <w:jc w:val="both"/>
      </w:pPr>
      <w:r>
        <w:rPr>
          <w:rFonts w:ascii="Arial" w:eastAsia="Arial" w:hAnsi="Arial" w:cs="Arial"/>
          <w:sz w:val="22"/>
          <w:szCs w:val="22"/>
        </w:rPr>
        <w:t>O mercado de GLP envasado em botijões apresenta disponibilidade de revendedores autorizados pela ANP estabelecidos no Município e na região, vinculados a distribuidoras regionais e nacionais, não tendo sido identificadas situações de exclusividade capazes de comprometer a competitividade da futura licitação.</w:t>
      </w:r>
    </w:p>
    <w:p w14:paraId="6F0FB134" w14:textId="77777777" w:rsidR="00A329F7" w:rsidRDefault="00000000">
      <w:pPr>
        <w:spacing w:before="200" w:after="200" w:line="360" w:lineRule="auto"/>
        <w:jc w:val="both"/>
      </w:pPr>
      <w:r>
        <w:rPr>
          <w:rFonts w:ascii="Arial" w:eastAsia="Arial" w:hAnsi="Arial" w:cs="Arial"/>
          <w:b/>
          <w:bCs/>
          <w:sz w:val="22"/>
          <w:szCs w:val="22"/>
        </w:rPr>
        <w:t>6.3 Contratações públicas similares</w:t>
      </w:r>
    </w:p>
    <w:p w14:paraId="480DF999" w14:textId="77777777" w:rsidR="00A329F7" w:rsidRDefault="00000000">
      <w:pPr>
        <w:spacing w:after="200" w:line="360" w:lineRule="auto"/>
        <w:ind w:firstLine="1134"/>
        <w:jc w:val="both"/>
      </w:pPr>
      <w:r>
        <w:rPr>
          <w:rFonts w:ascii="Arial" w:eastAsia="Arial" w:hAnsi="Arial" w:cs="Arial"/>
          <w:sz w:val="22"/>
          <w:szCs w:val="22"/>
        </w:rPr>
        <w:t xml:space="preserve">A análise de procedimentos licitatórios realizados por outros órgãos públicos demonstra que a contratação de gás de cozinha é, predominantemente, realizada mediante Sistema de Registro de Preços, com fornecimento parcelado por sistema de troca de cilindro, requisições conforme necessidade da Administração e pesquisa de preços realizada em </w:t>
      </w:r>
      <w:r>
        <w:rPr>
          <w:rFonts w:ascii="Arial" w:eastAsia="Arial" w:hAnsi="Arial" w:cs="Arial"/>
          <w:sz w:val="22"/>
          <w:szCs w:val="22"/>
        </w:rPr>
        <w:lastRenderedPageBreak/>
        <w:t>bases oficiais, prática que encontra respaldo na experiência administrativa de diversos Municípios.</w:t>
      </w:r>
    </w:p>
    <w:p w14:paraId="5B2D3706" w14:textId="77777777" w:rsidR="00A329F7" w:rsidRDefault="00000000">
      <w:pPr>
        <w:spacing w:before="200" w:after="200" w:line="360" w:lineRule="auto"/>
        <w:jc w:val="both"/>
      </w:pPr>
      <w:r>
        <w:rPr>
          <w:rFonts w:ascii="Arial" w:eastAsia="Arial" w:hAnsi="Arial" w:cs="Arial"/>
          <w:b/>
          <w:bCs/>
          <w:sz w:val="22"/>
          <w:szCs w:val="22"/>
        </w:rPr>
        <w:t>7. ESTIMATIVA DO VALOR DA CONTRATAÇÃO</w:t>
      </w:r>
    </w:p>
    <w:p w14:paraId="70A4D637" w14:textId="77777777" w:rsidR="00A329F7" w:rsidRDefault="00000000">
      <w:pPr>
        <w:spacing w:after="200" w:line="360" w:lineRule="auto"/>
        <w:ind w:firstLine="1134"/>
        <w:jc w:val="both"/>
      </w:pPr>
      <w:r>
        <w:rPr>
          <w:rFonts w:ascii="Arial" w:eastAsia="Arial" w:hAnsi="Arial" w:cs="Arial"/>
          <w:sz w:val="22"/>
          <w:szCs w:val="22"/>
        </w:rPr>
        <w:t>No presente caso, a Administração já promoveu a pesquisa de preços mediante utilização da plataforma Banco de Preços, consolidada no Mapa de Apuração de Preços elaborado em 06/07/2026, o qual reúne cesta de preços com múltiplas fontes por item e adota a média aritmética das cotações obtidas, em conformidade com o art. 23 da Lei nº 14.133/2021 e com o entendimento do TCU quanto à formação de cesta de preços (Acórdão nº 1.875/2021-TCU-Plenário).</w:t>
      </w:r>
    </w:p>
    <w:p w14:paraId="7EBAF18A" w14:textId="77777777" w:rsidR="00A329F7" w:rsidRDefault="00000000">
      <w:pPr>
        <w:spacing w:after="200" w:line="360" w:lineRule="auto"/>
        <w:ind w:firstLine="1134"/>
        <w:jc w:val="both"/>
      </w:pPr>
      <w:r>
        <w:rPr>
          <w:rFonts w:ascii="Arial" w:eastAsia="Arial" w:hAnsi="Arial" w:cs="Arial"/>
          <w:sz w:val="22"/>
          <w:szCs w:val="22"/>
        </w:rPr>
        <w:t>Com base nesse levantamento, referente aos 3 (três) itens que compõem a planilha consolidada, o valor inicial estimado da contratação é de R$ 35.261,20 (trinta e cinco mil, duzentos e sessenta e um reais e vinte centavos), discriminado item a item na planilha que integra o presente processo administrativo.</w:t>
      </w:r>
    </w:p>
    <w:p w14:paraId="64D13B2F" w14:textId="77777777" w:rsidR="00A329F7" w:rsidRDefault="00000000">
      <w:pPr>
        <w:spacing w:after="200" w:line="360" w:lineRule="auto"/>
        <w:ind w:firstLine="1134"/>
        <w:jc w:val="both"/>
      </w:pPr>
      <w:r>
        <w:rPr>
          <w:rFonts w:ascii="Arial" w:eastAsia="Arial" w:hAnsi="Arial" w:cs="Arial"/>
          <w:sz w:val="22"/>
          <w:szCs w:val="22"/>
        </w:rPr>
        <w:t>Dessa forma, a estimativa oficial da contratação corresponderá ao orçamento consolidado no Mapa de Apuração de Preços, no valor de R$ 35.261,20 (trinta e cinco mil, duzentos e sessenta e um reais e vinte centavos), ressalvada eventual atualização, observando-se integralmente os critérios previstos na Lei nº 14.133/2021.</w:t>
      </w:r>
    </w:p>
    <w:p w14:paraId="49D8643F" w14:textId="77777777" w:rsidR="00A329F7" w:rsidRDefault="00000000">
      <w:pPr>
        <w:spacing w:before="200" w:after="200" w:line="360" w:lineRule="auto"/>
        <w:jc w:val="both"/>
      </w:pPr>
      <w:r>
        <w:rPr>
          <w:rFonts w:ascii="Arial" w:eastAsia="Arial" w:hAnsi="Arial" w:cs="Arial"/>
          <w:b/>
          <w:bCs/>
          <w:sz w:val="22"/>
          <w:szCs w:val="22"/>
        </w:rPr>
        <w:t>8. DESCRIÇÃO DA SOLUÇÃO COMO UM TODO</w:t>
      </w:r>
    </w:p>
    <w:p w14:paraId="0D8AAD7D" w14:textId="77777777" w:rsidR="00A329F7" w:rsidRDefault="00000000">
      <w:pPr>
        <w:spacing w:after="200" w:line="360" w:lineRule="auto"/>
        <w:ind w:firstLine="1134"/>
        <w:jc w:val="both"/>
      </w:pPr>
      <w:r>
        <w:rPr>
          <w:rFonts w:ascii="Arial" w:eastAsia="Arial" w:hAnsi="Arial" w:cs="Arial"/>
          <w:sz w:val="22"/>
          <w:szCs w:val="22"/>
        </w:rPr>
        <w:t>Após análise das alternativas disponíveis no mercado, conclui-se que a solução mais adequada para atendimento da necessidade administrativa consiste na realização de procedimento licitatório destinado à formação de Ata de Registro de Preços para futura e eventual aquisição de gás de cozinha destinado às Secretarias Municipais do Município de São Valério do Sul/RS.</w:t>
      </w:r>
    </w:p>
    <w:p w14:paraId="1C2E5DC4" w14:textId="77777777" w:rsidR="00A329F7" w:rsidRDefault="00000000">
      <w:pPr>
        <w:spacing w:after="200" w:line="360" w:lineRule="auto"/>
        <w:ind w:firstLine="1134"/>
        <w:jc w:val="both"/>
      </w:pPr>
      <w:r>
        <w:rPr>
          <w:rFonts w:ascii="Arial" w:eastAsia="Arial" w:hAnsi="Arial" w:cs="Arial"/>
          <w:sz w:val="22"/>
          <w:szCs w:val="22"/>
        </w:rPr>
        <w:t>A solução compreende o fornecimento parcelado dos produtos, majoritariamente por sistema de troca de cilindro vazio por cheio, mediante emissão de Autorizações de Fornecimento, de acordo com as necessidades efetivamente verificadas durante a vigência da Ata de Registro de Preços.</w:t>
      </w:r>
    </w:p>
    <w:p w14:paraId="39CFFB60" w14:textId="77777777" w:rsidR="00A329F7" w:rsidRDefault="00000000">
      <w:pPr>
        <w:spacing w:after="200" w:line="360" w:lineRule="auto"/>
        <w:ind w:firstLine="1134"/>
        <w:jc w:val="both"/>
      </w:pPr>
      <w:r>
        <w:rPr>
          <w:rFonts w:ascii="Arial" w:eastAsia="Arial" w:hAnsi="Arial" w:cs="Arial"/>
          <w:sz w:val="22"/>
          <w:szCs w:val="22"/>
        </w:rPr>
        <w:t>A modelagem proposta busca conciliar quatro objetivos fundamentais da contratação pública:</w:t>
      </w:r>
    </w:p>
    <w:p w14:paraId="7AEB5D2D" w14:textId="77777777" w:rsidR="00A329F7" w:rsidRDefault="00000000">
      <w:pPr>
        <w:pStyle w:val="PargrafodaLista"/>
        <w:numPr>
          <w:ilvl w:val="0"/>
          <w:numId w:val="1"/>
        </w:numPr>
        <w:spacing w:after="100" w:line="360" w:lineRule="auto"/>
        <w:jc w:val="both"/>
      </w:pPr>
      <w:r>
        <w:rPr>
          <w:rFonts w:ascii="Arial" w:eastAsia="Arial" w:hAnsi="Arial" w:cs="Arial"/>
          <w:sz w:val="22"/>
          <w:szCs w:val="22"/>
        </w:rPr>
        <w:t>assegurar a continuidade da alimentação escolar e das demais atividades dependentes de cozinha institucional;</w:t>
      </w:r>
    </w:p>
    <w:p w14:paraId="3262763E" w14:textId="77777777" w:rsidR="00A329F7" w:rsidRDefault="00000000">
      <w:pPr>
        <w:pStyle w:val="PargrafodaLista"/>
        <w:numPr>
          <w:ilvl w:val="0"/>
          <w:numId w:val="1"/>
        </w:numPr>
        <w:spacing w:after="100" w:line="360" w:lineRule="auto"/>
        <w:jc w:val="both"/>
      </w:pPr>
      <w:r>
        <w:rPr>
          <w:rFonts w:ascii="Arial" w:eastAsia="Arial" w:hAnsi="Arial" w:cs="Arial"/>
          <w:sz w:val="22"/>
          <w:szCs w:val="22"/>
        </w:rPr>
        <w:t>racionalizar as aquisições públicas mediante planejamento integrado;</w:t>
      </w:r>
    </w:p>
    <w:p w14:paraId="065EFBC6" w14:textId="77777777" w:rsidR="00A329F7" w:rsidRDefault="00000000">
      <w:pPr>
        <w:pStyle w:val="PargrafodaLista"/>
        <w:numPr>
          <w:ilvl w:val="0"/>
          <w:numId w:val="1"/>
        </w:numPr>
        <w:spacing w:after="100" w:line="360" w:lineRule="auto"/>
        <w:jc w:val="both"/>
      </w:pPr>
      <w:r>
        <w:rPr>
          <w:rFonts w:ascii="Arial" w:eastAsia="Arial" w:hAnsi="Arial" w:cs="Arial"/>
          <w:sz w:val="22"/>
          <w:szCs w:val="22"/>
        </w:rPr>
        <w:lastRenderedPageBreak/>
        <w:t>reduzir riscos de armazenamento de produto inflamável;</w:t>
      </w:r>
    </w:p>
    <w:p w14:paraId="04ED86D7" w14:textId="77777777" w:rsidR="00A329F7" w:rsidRDefault="00000000">
      <w:pPr>
        <w:pStyle w:val="PargrafodaLista"/>
        <w:numPr>
          <w:ilvl w:val="0"/>
          <w:numId w:val="1"/>
        </w:numPr>
        <w:spacing w:after="100" w:line="360" w:lineRule="auto"/>
        <w:jc w:val="both"/>
      </w:pPr>
      <w:r>
        <w:rPr>
          <w:rFonts w:ascii="Arial" w:eastAsia="Arial" w:hAnsi="Arial" w:cs="Arial"/>
          <w:sz w:val="22"/>
          <w:szCs w:val="22"/>
        </w:rPr>
        <w:t>garantir maior eficiência na gestão contratual.</w:t>
      </w:r>
    </w:p>
    <w:p w14:paraId="275AAA84" w14:textId="77777777" w:rsidR="00A329F7" w:rsidRDefault="00000000">
      <w:pPr>
        <w:spacing w:after="200" w:line="360" w:lineRule="auto"/>
        <w:ind w:firstLine="1134"/>
        <w:jc w:val="both"/>
      </w:pPr>
      <w:r>
        <w:rPr>
          <w:rFonts w:ascii="Arial" w:eastAsia="Arial" w:hAnsi="Arial" w:cs="Arial"/>
          <w:sz w:val="22"/>
          <w:szCs w:val="22"/>
        </w:rPr>
        <w:t>Sob essa perspectiva, conclui-se que a solução proposta apresenta elevada aderência às características da demanda identificada neste Estudo Técnico Preliminar.</w:t>
      </w:r>
    </w:p>
    <w:p w14:paraId="5C4C5D92" w14:textId="77777777" w:rsidR="00A329F7" w:rsidRDefault="00000000">
      <w:pPr>
        <w:spacing w:before="200" w:after="200" w:line="360" w:lineRule="auto"/>
        <w:jc w:val="both"/>
      </w:pPr>
      <w:r>
        <w:rPr>
          <w:rFonts w:ascii="Arial" w:eastAsia="Arial" w:hAnsi="Arial" w:cs="Arial"/>
          <w:b/>
          <w:bCs/>
          <w:sz w:val="22"/>
          <w:szCs w:val="22"/>
        </w:rPr>
        <w:t>8.1 Justificativa da utilização do Sistema de Registro de Preços</w:t>
      </w:r>
    </w:p>
    <w:p w14:paraId="78AE9F26" w14:textId="77777777" w:rsidR="00A329F7" w:rsidRDefault="00000000">
      <w:pPr>
        <w:spacing w:after="200" w:line="360" w:lineRule="auto"/>
        <w:ind w:firstLine="1134"/>
        <w:jc w:val="both"/>
      </w:pPr>
      <w:r>
        <w:rPr>
          <w:rFonts w:ascii="Arial" w:eastAsia="Arial" w:hAnsi="Arial" w:cs="Arial"/>
          <w:sz w:val="22"/>
          <w:szCs w:val="22"/>
        </w:rPr>
        <w:t xml:space="preserve">A utilização do Sistema de Registro de Preços encontra fundamento nos </w:t>
      </w:r>
      <w:proofErr w:type="spellStart"/>
      <w:r>
        <w:rPr>
          <w:rFonts w:ascii="Arial" w:eastAsia="Arial" w:hAnsi="Arial" w:cs="Arial"/>
          <w:sz w:val="22"/>
          <w:szCs w:val="22"/>
        </w:rPr>
        <w:t>arts</w:t>
      </w:r>
      <w:proofErr w:type="spellEnd"/>
      <w:r>
        <w:rPr>
          <w:rFonts w:ascii="Arial" w:eastAsia="Arial" w:hAnsi="Arial" w:cs="Arial"/>
          <w:sz w:val="22"/>
          <w:szCs w:val="22"/>
        </w:rPr>
        <w:t>. 82 a 86 da Lei Federal nº 14.133/2021 e mostra-se plenamente adequada às características da presente contratação.</w:t>
      </w:r>
    </w:p>
    <w:p w14:paraId="5E1C7156" w14:textId="77777777" w:rsidR="00A329F7" w:rsidRDefault="00000000">
      <w:pPr>
        <w:spacing w:after="200" w:line="360" w:lineRule="auto"/>
        <w:ind w:firstLine="1134"/>
        <w:jc w:val="both"/>
      </w:pPr>
      <w:r>
        <w:rPr>
          <w:rFonts w:ascii="Arial" w:eastAsia="Arial" w:hAnsi="Arial" w:cs="Arial"/>
          <w:sz w:val="22"/>
          <w:szCs w:val="22"/>
        </w:rPr>
        <w:t>O gás de cozinha constitui bem de consumo contínuo, utilizado diariamente pelas cozinhas institucionais municipais, cuja demanda, embora previsível em termos anuais, não permite prever com exatidão o momento em que cada unidade necessitará de reposição.</w:t>
      </w:r>
    </w:p>
    <w:p w14:paraId="0434C5E4" w14:textId="77777777" w:rsidR="00A329F7" w:rsidRDefault="00000000">
      <w:pPr>
        <w:spacing w:after="200" w:line="360" w:lineRule="auto"/>
        <w:ind w:firstLine="1134"/>
        <w:jc w:val="both"/>
      </w:pPr>
      <w:r>
        <w:rPr>
          <w:rFonts w:ascii="Arial" w:eastAsia="Arial" w:hAnsi="Arial" w:cs="Arial"/>
          <w:sz w:val="22"/>
          <w:szCs w:val="22"/>
        </w:rPr>
        <w:t>Como já demonstrado no levantamento de mercado (item 6), tanto a aquisição integral quanto a realização de contratações sucessivas de pequeno porte mostram-se inadequadas: a primeira pelo risco de segurança associado ao armazenamento de produto inflamável, a segunda pelo aumento de custos operacionais, pela redução da competitividade e pelo maior risco de interrupção da alimentação escolar.</w:t>
      </w:r>
    </w:p>
    <w:p w14:paraId="7798608A" w14:textId="77777777" w:rsidR="00A329F7" w:rsidRDefault="00000000">
      <w:pPr>
        <w:spacing w:after="200" w:line="360" w:lineRule="auto"/>
        <w:ind w:firstLine="1134"/>
        <w:jc w:val="both"/>
      </w:pPr>
      <w:r>
        <w:rPr>
          <w:rFonts w:ascii="Arial" w:eastAsia="Arial" w:hAnsi="Arial" w:cs="Arial"/>
          <w:sz w:val="22"/>
          <w:szCs w:val="22"/>
        </w:rPr>
        <w:t>O Sistema de Registro de Preços apresenta-se como solução intermediária capaz de conciliar planejamento, segurança e flexibilidade, proporcionando relevantes vantagens administrativas, dentre as quais destacam-se:</w:t>
      </w:r>
    </w:p>
    <w:p w14:paraId="2BBC8E7D" w14:textId="77777777" w:rsidR="00A329F7" w:rsidRDefault="00000000">
      <w:pPr>
        <w:pStyle w:val="PargrafodaLista"/>
        <w:numPr>
          <w:ilvl w:val="0"/>
          <w:numId w:val="1"/>
        </w:numPr>
        <w:spacing w:after="100" w:line="360" w:lineRule="auto"/>
        <w:jc w:val="both"/>
      </w:pPr>
      <w:r>
        <w:rPr>
          <w:rFonts w:ascii="Arial" w:eastAsia="Arial" w:hAnsi="Arial" w:cs="Arial"/>
          <w:sz w:val="22"/>
          <w:szCs w:val="22"/>
        </w:rPr>
        <w:t>redução do número de procedimentos licitatórios, mediante consolidação das demandas das diversas Secretarias em único certame;</w:t>
      </w:r>
    </w:p>
    <w:p w14:paraId="7BB30ABA" w14:textId="77777777" w:rsidR="00A329F7" w:rsidRDefault="00000000">
      <w:pPr>
        <w:pStyle w:val="PargrafodaLista"/>
        <w:numPr>
          <w:ilvl w:val="0"/>
          <w:numId w:val="1"/>
        </w:numPr>
        <w:spacing w:after="100" w:line="360" w:lineRule="auto"/>
        <w:jc w:val="both"/>
      </w:pPr>
      <w:r>
        <w:rPr>
          <w:rFonts w:ascii="Arial" w:eastAsia="Arial" w:hAnsi="Arial" w:cs="Arial"/>
          <w:sz w:val="22"/>
          <w:szCs w:val="22"/>
        </w:rPr>
        <w:t>fornecimento parcelado conforme a necessidade, sem formação de estoques de produto inflamável;</w:t>
      </w:r>
    </w:p>
    <w:p w14:paraId="1EAF800D" w14:textId="77777777" w:rsidR="00A329F7" w:rsidRDefault="00000000">
      <w:pPr>
        <w:pStyle w:val="PargrafodaLista"/>
        <w:numPr>
          <w:ilvl w:val="0"/>
          <w:numId w:val="1"/>
        </w:numPr>
        <w:spacing w:after="100" w:line="360" w:lineRule="auto"/>
        <w:jc w:val="both"/>
      </w:pPr>
      <w:r>
        <w:rPr>
          <w:rFonts w:ascii="Arial" w:eastAsia="Arial" w:hAnsi="Arial" w:cs="Arial"/>
          <w:sz w:val="22"/>
          <w:szCs w:val="22"/>
        </w:rPr>
        <w:t>melhor programação orçamentária e financeira;</w:t>
      </w:r>
    </w:p>
    <w:p w14:paraId="4DD03D93" w14:textId="77777777" w:rsidR="00A329F7" w:rsidRDefault="00000000">
      <w:pPr>
        <w:pStyle w:val="PargrafodaLista"/>
        <w:numPr>
          <w:ilvl w:val="0"/>
          <w:numId w:val="1"/>
        </w:numPr>
        <w:spacing w:after="100" w:line="360" w:lineRule="auto"/>
        <w:jc w:val="both"/>
      </w:pPr>
      <w:r>
        <w:rPr>
          <w:rFonts w:ascii="Arial" w:eastAsia="Arial" w:hAnsi="Arial" w:cs="Arial"/>
          <w:sz w:val="22"/>
          <w:szCs w:val="22"/>
        </w:rPr>
        <w:t>maior eficiência na fiscalização contratual.</w:t>
      </w:r>
    </w:p>
    <w:p w14:paraId="48D71BD9" w14:textId="77777777" w:rsidR="00A329F7" w:rsidRDefault="00000000">
      <w:pPr>
        <w:spacing w:after="200" w:line="360" w:lineRule="auto"/>
        <w:ind w:firstLine="1134"/>
        <w:jc w:val="both"/>
      </w:pPr>
      <w:r>
        <w:rPr>
          <w:rFonts w:ascii="Arial" w:eastAsia="Arial" w:hAnsi="Arial" w:cs="Arial"/>
          <w:sz w:val="22"/>
          <w:szCs w:val="22"/>
        </w:rPr>
        <w:t>Diante dessas características, conclui-se que a utilização do Sistema de Registro de Preços constitui a solução mais eficiente, segura e aderente às necessidades permanentes da Administração Municipal.</w:t>
      </w:r>
    </w:p>
    <w:p w14:paraId="7F543FCD" w14:textId="77777777" w:rsidR="00A329F7" w:rsidRDefault="00000000">
      <w:pPr>
        <w:spacing w:before="200" w:after="200" w:line="360" w:lineRule="auto"/>
        <w:jc w:val="both"/>
      </w:pPr>
      <w:r>
        <w:rPr>
          <w:rFonts w:ascii="Arial" w:eastAsia="Arial" w:hAnsi="Arial" w:cs="Arial"/>
          <w:b/>
          <w:bCs/>
          <w:sz w:val="22"/>
          <w:szCs w:val="22"/>
        </w:rPr>
        <w:t>8.2 Justificativa da realização da licitação na forma presencial</w:t>
      </w:r>
    </w:p>
    <w:p w14:paraId="5E2091DC" w14:textId="77777777" w:rsidR="00A329F7" w:rsidRDefault="00000000">
      <w:pPr>
        <w:spacing w:after="200" w:line="360" w:lineRule="auto"/>
        <w:ind w:firstLine="1134"/>
        <w:jc w:val="both"/>
      </w:pPr>
      <w:r>
        <w:rPr>
          <w:rFonts w:ascii="Arial" w:eastAsia="Arial" w:hAnsi="Arial" w:cs="Arial"/>
          <w:sz w:val="22"/>
          <w:szCs w:val="22"/>
        </w:rPr>
        <w:t>A Lei Federal nº 14.133/2021 estabelece como regra geral a realização das licitações na forma eletrônica.</w:t>
      </w:r>
    </w:p>
    <w:p w14:paraId="22887E77" w14:textId="77777777" w:rsidR="00A329F7" w:rsidRDefault="00000000">
      <w:pPr>
        <w:spacing w:after="200" w:line="360" w:lineRule="auto"/>
        <w:ind w:firstLine="1134"/>
        <w:jc w:val="both"/>
      </w:pPr>
      <w:r>
        <w:rPr>
          <w:rFonts w:ascii="Arial" w:eastAsia="Arial" w:hAnsi="Arial" w:cs="Arial"/>
          <w:sz w:val="22"/>
          <w:szCs w:val="22"/>
        </w:rPr>
        <w:lastRenderedPageBreak/>
        <w:t>Todavia, o §2º do art. 17 admite expressamente a realização de sessão presencial quando devidamente motivada pela Administração, demonstrando-se tratar da solução mais adequada ao atendimento do interesse público.</w:t>
      </w:r>
    </w:p>
    <w:p w14:paraId="69685107" w14:textId="77777777" w:rsidR="00A329F7" w:rsidRDefault="00000000">
      <w:pPr>
        <w:spacing w:after="200" w:line="360" w:lineRule="auto"/>
        <w:ind w:firstLine="1134"/>
        <w:jc w:val="both"/>
      </w:pPr>
      <w:r>
        <w:rPr>
          <w:rFonts w:ascii="Arial" w:eastAsia="Arial" w:hAnsi="Arial" w:cs="Arial"/>
          <w:sz w:val="22"/>
          <w:szCs w:val="22"/>
        </w:rPr>
        <w:t>No presente caso, a opção pela realização do pregão presencial decorre da realidade do mercado fornecedor regional. O fornecimento de GLP envasado depende de revendedores autorizados pela ANP, atividade sujeita a regulação setorial específica, sendo comum que o mercado local e regional de municípios de pequeno porte seja atendido por poucos revendedores de estrutura operacional simples, muitas vezes com reduzida familiaridade com plataformas eletrônicas de licitação.</w:t>
      </w:r>
    </w:p>
    <w:p w14:paraId="61F9636A" w14:textId="77777777" w:rsidR="00A329F7" w:rsidRDefault="00000000">
      <w:pPr>
        <w:spacing w:after="200" w:line="360" w:lineRule="auto"/>
        <w:ind w:firstLine="1134"/>
        <w:jc w:val="both"/>
      </w:pPr>
      <w:r>
        <w:rPr>
          <w:rFonts w:ascii="Arial" w:eastAsia="Arial" w:hAnsi="Arial" w:cs="Arial"/>
          <w:sz w:val="22"/>
          <w:szCs w:val="22"/>
        </w:rPr>
        <w:t>A realização de sessão presencial permite o esclarecimento imediato de eventuais dúvidas quanto à comprovação da autorização da ANP e às condições de fornecimento por sistema de troca, reduzindo erros formais nas propostas e desclassificações desnecessárias, além de favorecer a efetiva participação dos revendedores regionais no certame.</w:t>
      </w:r>
    </w:p>
    <w:p w14:paraId="3767CC99" w14:textId="77777777" w:rsidR="00A329F7" w:rsidRDefault="00000000">
      <w:pPr>
        <w:spacing w:after="200" w:line="360" w:lineRule="auto"/>
        <w:ind w:firstLine="1134"/>
        <w:jc w:val="both"/>
      </w:pPr>
      <w:r>
        <w:rPr>
          <w:rFonts w:ascii="Arial" w:eastAsia="Arial" w:hAnsi="Arial" w:cs="Arial"/>
          <w:sz w:val="22"/>
          <w:szCs w:val="22"/>
        </w:rPr>
        <w:t>Importa destacar que a adoção da forma presencial não possui finalidade de privilegiar fornecedores locais ou restringir a participação de empresas estabelecidas em outras localidades. Qualquer interessado poderá participar do certame, desde que atenda às condições estabelecidas no edital.</w:t>
      </w:r>
    </w:p>
    <w:p w14:paraId="2420E36C" w14:textId="77777777" w:rsidR="00A329F7" w:rsidRDefault="00000000">
      <w:pPr>
        <w:spacing w:after="200" w:line="360" w:lineRule="auto"/>
        <w:ind w:firstLine="1134"/>
        <w:jc w:val="both"/>
      </w:pPr>
      <w:r>
        <w:rPr>
          <w:rFonts w:ascii="Arial" w:eastAsia="Arial" w:hAnsi="Arial" w:cs="Arial"/>
          <w:sz w:val="22"/>
          <w:szCs w:val="22"/>
        </w:rPr>
        <w:t>Assim, considerando a estrutura do mercado fornecedor regional e a busca da solução mais eficiente para condução da licitação, conclui-se que a realização do pregão presencial representa a alternativa mais adequada ao interesse público, desde que essa motivação seja formalmente ratificada pela autoridade competente.</w:t>
      </w:r>
    </w:p>
    <w:p w14:paraId="1CC177E9" w14:textId="77777777" w:rsidR="00A329F7" w:rsidRDefault="00000000">
      <w:pPr>
        <w:spacing w:before="200" w:after="200" w:line="360" w:lineRule="auto"/>
        <w:jc w:val="both"/>
      </w:pPr>
      <w:r>
        <w:rPr>
          <w:rFonts w:ascii="Arial" w:eastAsia="Arial" w:hAnsi="Arial" w:cs="Arial"/>
          <w:b/>
          <w:bCs/>
          <w:sz w:val="22"/>
          <w:szCs w:val="22"/>
        </w:rPr>
        <w:t>8.3 Justificativa do prazo máximo de entrega</w:t>
      </w:r>
    </w:p>
    <w:p w14:paraId="4521D8AC" w14:textId="77777777" w:rsidR="00A329F7" w:rsidRDefault="00000000">
      <w:pPr>
        <w:spacing w:after="200" w:line="360" w:lineRule="auto"/>
        <w:ind w:firstLine="1134"/>
        <w:jc w:val="both"/>
      </w:pPr>
      <w:r>
        <w:rPr>
          <w:rFonts w:ascii="Arial" w:eastAsia="Arial" w:hAnsi="Arial" w:cs="Arial"/>
          <w:sz w:val="22"/>
          <w:szCs w:val="22"/>
        </w:rPr>
        <w:t>A definição do prazo de entrega constitui elemento essencial da modelagem da contratação, influenciando diretamente a capacidade da futura Ata de Registro de Preços de atender às necessidades permanentes da Administração Municipal, notadamente a continuidade da alimentação escolar.</w:t>
      </w:r>
    </w:p>
    <w:p w14:paraId="3E820CB6" w14:textId="77777777" w:rsidR="00A329F7" w:rsidRDefault="00000000">
      <w:pPr>
        <w:spacing w:after="200" w:line="360" w:lineRule="auto"/>
        <w:ind w:firstLine="1134"/>
        <w:jc w:val="both"/>
      </w:pPr>
      <w:r>
        <w:rPr>
          <w:rFonts w:ascii="Arial" w:eastAsia="Arial" w:hAnsi="Arial" w:cs="Arial"/>
          <w:sz w:val="22"/>
          <w:szCs w:val="22"/>
        </w:rPr>
        <w:t>A indisponibilidade de gás compromete de forma imediata o preparo de alimentos nas cozinhas institucionais, não havendo insumo substituto de uso imediato para essa finalidade.</w:t>
      </w:r>
    </w:p>
    <w:p w14:paraId="1E2E6DDF" w14:textId="77777777" w:rsidR="00A329F7" w:rsidRDefault="00000000">
      <w:pPr>
        <w:spacing w:after="200" w:line="360" w:lineRule="auto"/>
        <w:ind w:firstLine="1134"/>
        <w:jc w:val="both"/>
      </w:pPr>
      <w:r>
        <w:rPr>
          <w:rFonts w:ascii="Arial" w:eastAsia="Arial" w:hAnsi="Arial" w:cs="Arial"/>
          <w:sz w:val="22"/>
          <w:szCs w:val="22"/>
        </w:rPr>
        <w:t>Dessa forma, recomenda-se que o Termo de Referência estabeleça prazo máximo de entrega de até 02 (dois) dias úteis, contados do recebimento da Autorização de Fornecimento, compatível com a disponibilidade de revendedores autorizados na região.</w:t>
      </w:r>
    </w:p>
    <w:p w14:paraId="7639CFFC" w14:textId="77777777" w:rsidR="00A329F7" w:rsidRDefault="00000000">
      <w:pPr>
        <w:spacing w:after="200" w:line="360" w:lineRule="auto"/>
        <w:ind w:firstLine="1134"/>
        <w:jc w:val="both"/>
      </w:pPr>
      <w:r>
        <w:rPr>
          <w:rFonts w:ascii="Arial" w:eastAsia="Arial" w:hAnsi="Arial" w:cs="Arial"/>
          <w:sz w:val="22"/>
          <w:szCs w:val="22"/>
        </w:rPr>
        <w:lastRenderedPageBreak/>
        <w:t>O prazo proposto mostra-se compatível com a realidade do mercado, permitindo adequado planejamento logístico pelos fornecedores sem comprometer a continuidade da alimentação escolar e das demais atividades dependentes de cozinha institucional.</w:t>
      </w:r>
    </w:p>
    <w:p w14:paraId="22ECFDCB" w14:textId="77777777" w:rsidR="00A329F7" w:rsidRDefault="00000000">
      <w:pPr>
        <w:spacing w:after="200" w:line="360" w:lineRule="auto"/>
        <w:ind w:firstLine="1134"/>
        <w:jc w:val="both"/>
      </w:pPr>
      <w:r>
        <w:rPr>
          <w:rFonts w:ascii="Arial" w:eastAsia="Arial" w:hAnsi="Arial" w:cs="Arial"/>
          <w:sz w:val="22"/>
          <w:szCs w:val="22"/>
        </w:rPr>
        <w:t>Fornecedor incapaz de cumprir prazo compatível com as necessidades administrativas poderá comprometer a finalidade da contratação, ainda que apresente menor preço, razão pela qual a fixação do prazo proposto revela-se proporcional, razoável e necessária.</w:t>
      </w:r>
    </w:p>
    <w:p w14:paraId="78D12956" w14:textId="77777777" w:rsidR="00A329F7" w:rsidRDefault="00000000">
      <w:pPr>
        <w:spacing w:before="200" w:after="200" w:line="360" w:lineRule="auto"/>
        <w:jc w:val="both"/>
      </w:pPr>
      <w:r>
        <w:rPr>
          <w:rFonts w:ascii="Arial" w:eastAsia="Arial" w:hAnsi="Arial" w:cs="Arial"/>
          <w:b/>
          <w:bCs/>
          <w:sz w:val="22"/>
          <w:szCs w:val="22"/>
        </w:rPr>
        <w:t>9. JUSTIFICATIVAS PARA O PARCELAMENTO OU NÃO DA CONTRATAÇÃO</w:t>
      </w:r>
    </w:p>
    <w:p w14:paraId="0B2BCB38" w14:textId="77777777" w:rsidR="00A329F7" w:rsidRDefault="00000000">
      <w:pPr>
        <w:spacing w:after="200" w:line="360" w:lineRule="auto"/>
        <w:ind w:firstLine="1134"/>
        <w:jc w:val="both"/>
      </w:pPr>
      <w:r>
        <w:rPr>
          <w:rFonts w:ascii="Arial" w:eastAsia="Arial" w:hAnsi="Arial" w:cs="Arial"/>
          <w:sz w:val="22"/>
          <w:szCs w:val="22"/>
        </w:rPr>
        <w:t>Nos termos do art. 40, inciso V, alínea "b", da Lei Federal nº 14.133/2021, compete à Administração avaliar, durante a fase de planejamento da contratação, a conveniência técnica e econômica do parcelamento do objeto, buscando ampliar a competitividade sem comprometer a eficiência da futura execução contratual. Nesse sentido, a Súmula TCU nº 247 estabelece ser obrigatória a admissão da adjudicação por item, e não por preço global ou por lote, nas licitações cujo objeto seja divisível, desde que não haja prejuízo para o conjunto ou perda de economia de escala.</w:t>
      </w:r>
    </w:p>
    <w:p w14:paraId="2A1FEA4D" w14:textId="77777777" w:rsidR="00A329F7" w:rsidRDefault="00000000">
      <w:pPr>
        <w:spacing w:after="200" w:line="360" w:lineRule="auto"/>
        <w:ind w:firstLine="1134"/>
        <w:jc w:val="both"/>
      </w:pPr>
      <w:r>
        <w:rPr>
          <w:rFonts w:ascii="Arial" w:eastAsia="Arial" w:hAnsi="Arial" w:cs="Arial"/>
          <w:sz w:val="22"/>
          <w:szCs w:val="22"/>
        </w:rPr>
        <w:t>No presente caso, a Administração pretende realizar um único procedimento licitatório destinado à formação de Ata de Registro de Preços para aquisição do gás de cozinha necessário ao atendimento de todas as Secretarias Municipais.</w:t>
      </w:r>
    </w:p>
    <w:p w14:paraId="256C6657" w14:textId="77777777" w:rsidR="00A329F7" w:rsidRDefault="00000000">
      <w:pPr>
        <w:spacing w:after="200" w:line="360" w:lineRule="auto"/>
        <w:ind w:firstLine="1134"/>
        <w:jc w:val="both"/>
      </w:pPr>
      <w:r>
        <w:rPr>
          <w:rFonts w:ascii="Arial" w:eastAsia="Arial" w:hAnsi="Arial" w:cs="Arial"/>
          <w:sz w:val="22"/>
          <w:szCs w:val="22"/>
        </w:rPr>
        <w:t>A futura licitação deverá adotar julgamento e adjudicação por item, distinguindo-se os itens de fornecimento por sistema de troca (P13 e P45) do item de fornecimento com casco, permitindo que cada fornecedor apresente proposta para os itens compatíveis com sua capacidade operacional e de estoque de cascos.</w:t>
      </w:r>
    </w:p>
    <w:p w14:paraId="4A9ECD54" w14:textId="77777777" w:rsidR="00A329F7" w:rsidRDefault="00000000">
      <w:pPr>
        <w:spacing w:after="200" w:line="360" w:lineRule="auto"/>
        <w:ind w:firstLine="1134"/>
        <w:jc w:val="both"/>
      </w:pPr>
      <w:r>
        <w:rPr>
          <w:rFonts w:ascii="Arial" w:eastAsia="Arial" w:hAnsi="Arial" w:cs="Arial"/>
          <w:sz w:val="22"/>
          <w:szCs w:val="22"/>
        </w:rPr>
        <w:t>Essa sistemática amplia a competitividade do certame, uma vez que os itens apresentam autonomia funcional entre si, inexistindo dependência técnica que justifique contratação conjunta por lote. Cada item pode ser fornecido de forma independente, sem comprometer a execução contratual.</w:t>
      </w:r>
    </w:p>
    <w:p w14:paraId="4937F26C" w14:textId="77777777" w:rsidR="00A329F7" w:rsidRDefault="00000000">
      <w:pPr>
        <w:spacing w:after="200" w:line="360" w:lineRule="auto"/>
        <w:ind w:firstLine="1134"/>
        <w:jc w:val="both"/>
      </w:pPr>
      <w:r>
        <w:rPr>
          <w:rFonts w:ascii="Arial" w:eastAsia="Arial" w:hAnsi="Arial" w:cs="Arial"/>
          <w:sz w:val="22"/>
          <w:szCs w:val="22"/>
        </w:rPr>
        <w:t>Dessa forma, conclui-se que a solução mais adequada consiste na realização de procedimento licitatório único, com adjudicação por item, conciliando eficiência administrativa, ampla competitividade, economicidade e adequada gestão da futura Ata de Registro de Preços, em consonância com os princípios da isonomia, competitividade, planejamento, eficiência e seleção da proposta mais vantajosa previstos na Lei Federal nº 14.133/2021.</w:t>
      </w:r>
    </w:p>
    <w:p w14:paraId="025BEA16" w14:textId="77777777" w:rsidR="00A329F7" w:rsidRDefault="00000000">
      <w:pPr>
        <w:spacing w:before="200" w:after="200" w:line="360" w:lineRule="auto"/>
        <w:jc w:val="both"/>
      </w:pPr>
      <w:r>
        <w:rPr>
          <w:rFonts w:ascii="Arial" w:eastAsia="Arial" w:hAnsi="Arial" w:cs="Arial"/>
          <w:b/>
          <w:bCs/>
          <w:sz w:val="22"/>
          <w:szCs w:val="22"/>
        </w:rPr>
        <w:t>10. DEMONSTRATIVO DOS RESULTADOS PRETENDIDOS</w:t>
      </w:r>
    </w:p>
    <w:p w14:paraId="1B300119" w14:textId="77777777" w:rsidR="00A329F7" w:rsidRDefault="00000000">
      <w:pPr>
        <w:spacing w:after="200" w:line="360" w:lineRule="auto"/>
        <w:ind w:firstLine="1134"/>
        <w:jc w:val="both"/>
      </w:pPr>
      <w:r>
        <w:rPr>
          <w:rFonts w:ascii="Arial" w:eastAsia="Arial" w:hAnsi="Arial" w:cs="Arial"/>
          <w:sz w:val="22"/>
          <w:szCs w:val="22"/>
        </w:rPr>
        <w:lastRenderedPageBreak/>
        <w:t>A presente contratação possui como finalidade produzir resultados que ultrapassam a simples aquisição de gás de cozinha, buscando aperfeiçoar a gestão das contratações públicas municipais e assegurar a continuidade da alimentação escolar e das demais atividades dependentes de cozinha institucional.</w:t>
      </w:r>
    </w:p>
    <w:p w14:paraId="1BA6CAEB" w14:textId="77777777" w:rsidR="00A329F7" w:rsidRDefault="00000000">
      <w:pPr>
        <w:spacing w:after="200" w:line="360" w:lineRule="auto"/>
        <w:ind w:firstLine="1134"/>
        <w:jc w:val="both"/>
      </w:pPr>
      <w:r>
        <w:rPr>
          <w:rFonts w:ascii="Arial" w:eastAsia="Arial" w:hAnsi="Arial" w:cs="Arial"/>
          <w:sz w:val="22"/>
          <w:szCs w:val="22"/>
        </w:rPr>
        <w:t>Dessa forma, os principais resultados pretendidos consistem em:</w:t>
      </w:r>
    </w:p>
    <w:p w14:paraId="68C351A4" w14:textId="77777777" w:rsidR="00A329F7" w:rsidRDefault="00000000">
      <w:pPr>
        <w:pStyle w:val="PargrafodaLista"/>
        <w:numPr>
          <w:ilvl w:val="0"/>
          <w:numId w:val="1"/>
        </w:numPr>
        <w:spacing w:after="100" w:line="360" w:lineRule="auto"/>
        <w:jc w:val="both"/>
      </w:pPr>
      <w:r>
        <w:rPr>
          <w:rFonts w:ascii="Arial" w:eastAsia="Arial" w:hAnsi="Arial" w:cs="Arial"/>
          <w:sz w:val="22"/>
          <w:szCs w:val="22"/>
        </w:rPr>
        <w:t>garantir a continuidade da alimentação escolar assegurada pelo Programa Nacional de Alimentação Escolar – PNAE;</w:t>
      </w:r>
    </w:p>
    <w:p w14:paraId="281FEA3B" w14:textId="77777777" w:rsidR="00A329F7" w:rsidRDefault="00000000">
      <w:pPr>
        <w:pStyle w:val="PargrafodaLista"/>
        <w:numPr>
          <w:ilvl w:val="0"/>
          <w:numId w:val="1"/>
        </w:numPr>
        <w:spacing w:after="100" w:line="360" w:lineRule="auto"/>
        <w:jc w:val="both"/>
      </w:pPr>
      <w:r>
        <w:rPr>
          <w:rFonts w:ascii="Arial" w:eastAsia="Arial" w:hAnsi="Arial" w:cs="Arial"/>
          <w:sz w:val="22"/>
          <w:szCs w:val="22"/>
        </w:rPr>
        <w:t>assegurar o funcionamento regular das cozinhas das unidades de saúde e da rede socioassistencial;</w:t>
      </w:r>
    </w:p>
    <w:p w14:paraId="6B699141" w14:textId="77777777" w:rsidR="00A329F7" w:rsidRDefault="00000000">
      <w:pPr>
        <w:pStyle w:val="PargrafodaLista"/>
        <w:numPr>
          <w:ilvl w:val="0"/>
          <w:numId w:val="1"/>
        </w:numPr>
        <w:spacing w:after="100" w:line="360" w:lineRule="auto"/>
        <w:jc w:val="both"/>
      </w:pPr>
      <w:r>
        <w:rPr>
          <w:rFonts w:ascii="Arial" w:eastAsia="Arial" w:hAnsi="Arial" w:cs="Arial"/>
          <w:sz w:val="22"/>
          <w:szCs w:val="22"/>
        </w:rPr>
        <w:t>eliminar aquisições emergenciais de gás de cozinha;</w:t>
      </w:r>
    </w:p>
    <w:p w14:paraId="4BF650D1" w14:textId="77777777" w:rsidR="00A329F7" w:rsidRDefault="00000000">
      <w:pPr>
        <w:pStyle w:val="PargrafodaLista"/>
        <w:numPr>
          <w:ilvl w:val="0"/>
          <w:numId w:val="1"/>
        </w:numPr>
        <w:spacing w:after="100" w:line="360" w:lineRule="auto"/>
        <w:jc w:val="both"/>
      </w:pPr>
      <w:r>
        <w:rPr>
          <w:rFonts w:ascii="Arial" w:eastAsia="Arial" w:hAnsi="Arial" w:cs="Arial"/>
          <w:sz w:val="22"/>
          <w:szCs w:val="22"/>
        </w:rPr>
        <w:t>racionalizar as compras públicas mediante consolidação das demandas;</w:t>
      </w:r>
    </w:p>
    <w:p w14:paraId="43873279" w14:textId="77777777" w:rsidR="00A329F7" w:rsidRDefault="00000000">
      <w:pPr>
        <w:pStyle w:val="PargrafodaLista"/>
        <w:numPr>
          <w:ilvl w:val="0"/>
          <w:numId w:val="1"/>
        </w:numPr>
        <w:spacing w:after="100" w:line="360" w:lineRule="auto"/>
        <w:jc w:val="both"/>
      </w:pPr>
      <w:r>
        <w:rPr>
          <w:rFonts w:ascii="Arial" w:eastAsia="Arial" w:hAnsi="Arial" w:cs="Arial"/>
          <w:sz w:val="22"/>
          <w:szCs w:val="22"/>
        </w:rPr>
        <w:t>ampliar a competitividade por meio da adjudicação por item;</w:t>
      </w:r>
    </w:p>
    <w:p w14:paraId="34A82FEA" w14:textId="77777777" w:rsidR="00A329F7" w:rsidRDefault="00000000">
      <w:pPr>
        <w:pStyle w:val="PargrafodaLista"/>
        <w:numPr>
          <w:ilvl w:val="0"/>
          <w:numId w:val="1"/>
        </w:numPr>
        <w:spacing w:after="100" w:line="360" w:lineRule="auto"/>
        <w:jc w:val="both"/>
      </w:pPr>
      <w:r>
        <w:rPr>
          <w:rFonts w:ascii="Arial" w:eastAsia="Arial" w:hAnsi="Arial" w:cs="Arial"/>
          <w:sz w:val="22"/>
          <w:szCs w:val="22"/>
        </w:rPr>
        <w:t>reduzir riscos de segurança associados ao armazenamento de produto inflamável;</w:t>
      </w:r>
    </w:p>
    <w:p w14:paraId="3342E353" w14:textId="77777777" w:rsidR="00A329F7" w:rsidRDefault="00000000">
      <w:pPr>
        <w:pStyle w:val="PargrafodaLista"/>
        <w:numPr>
          <w:ilvl w:val="0"/>
          <w:numId w:val="1"/>
        </w:numPr>
        <w:spacing w:after="100" w:line="360" w:lineRule="auto"/>
        <w:jc w:val="both"/>
      </w:pPr>
      <w:r>
        <w:rPr>
          <w:rFonts w:ascii="Arial" w:eastAsia="Arial" w:hAnsi="Arial" w:cs="Arial"/>
          <w:sz w:val="22"/>
          <w:szCs w:val="22"/>
        </w:rPr>
        <w:t>reduzir custos administrativos relacionados à realização de múltiplos procedimentos licitatórios;</w:t>
      </w:r>
    </w:p>
    <w:p w14:paraId="2817AD49" w14:textId="77777777" w:rsidR="00A329F7" w:rsidRDefault="00000000">
      <w:pPr>
        <w:pStyle w:val="PargrafodaLista"/>
        <w:numPr>
          <w:ilvl w:val="0"/>
          <w:numId w:val="1"/>
        </w:numPr>
        <w:spacing w:after="100" w:line="360" w:lineRule="auto"/>
        <w:jc w:val="both"/>
      </w:pPr>
      <w:r>
        <w:rPr>
          <w:rFonts w:ascii="Arial" w:eastAsia="Arial" w:hAnsi="Arial" w:cs="Arial"/>
          <w:sz w:val="22"/>
          <w:szCs w:val="22"/>
        </w:rPr>
        <w:t>proporcionar maior previsibilidade orçamentária e financeira;</w:t>
      </w:r>
    </w:p>
    <w:p w14:paraId="2F5FA3F6" w14:textId="77777777" w:rsidR="00A329F7" w:rsidRDefault="00000000">
      <w:pPr>
        <w:pStyle w:val="PargrafodaLista"/>
        <w:numPr>
          <w:ilvl w:val="0"/>
          <w:numId w:val="1"/>
        </w:numPr>
        <w:spacing w:after="100" w:line="360" w:lineRule="auto"/>
        <w:jc w:val="both"/>
      </w:pPr>
      <w:r>
        <w:rPr>
          <w:rFonts w:ascii="Arial" w:eastAsia="Arial" w:hAnsi="Arial" w:cs="Arial"/>
          <w:sz w:val="22"/>
          <w:szCs w:val="22"/>
        </w:rPr>
        <w:t>fortalecer o planejamento anual das contratações públicas.</w:t>
      </w:r>
    </w:p>
    <w:p w14:paraId="0321D110" w14:textId="77777777" w:rsidR="00A329F7" w:rsidRDefault="00000000">
      <w:pPr>
        <w:spacing w:before="200" w:after="200" w:line="360" w:lineRule="auto"/>
        <w:jc w:val="both"/>
      </w:pPr>
      <w:r>
        <w:rPr>
          <w:rFonts w:ascii="Arial" w:eastAsia="Arial" w:hAnsi="Arial" w:cs="Arial"/>
          <w:b/>
          <w:bCs/>
          <w:sz w:val="22"/>
          <w:szCs w:val="22"/>
        </w:rPr>
        <w:t>11. PROVIDÊNCIAS PRÉVIAS A SEREM ADOTADAS PELA ADMINISTRAÇÃO</w:t>
      </w:r>
    </w:p>
    <w:p w14:paraId="435E0B3C" w14:textId="77777777" w:rsidR="00A329F7" w:rsidRDefault="00000000">
      <w:pPr>
        <w:spacing w:after="200" w:line="360" w:lineRule="auto"/>
        <w:ind w:firstLine="1134"/>
        <w:jc w:val="both"/>
      </w:pPr>
      <w:r>
        <w:rPr>
          <w:rFonts w:ascii="Arial" w:eastAsia="Arial" w:hAnsi="Arial" w:cs="Arial"/>
          <w:sz w:val="22"/>
          <w:szCs w:val="22"/>
        </w:rPr>
        <w:t>Antes da publicação do edital deverão ser adotadas as providências necessárias à adequada instrução da fase preparatória da contratação.</w:t>
      </w:r>
    </w:p>
    <w:p w14:paraId="09E1CE06" w14:textId="77777777" w:rsidR="00A329F7" w:rsidRDefault="00000000">
      <w:pPr>
        <w:spacing w:after="200" w:line="360" w:lineRule="auto"/>
        <w:ind w:firstLine="1134"/>
        <w:jc w:val="both"/>
      </w:pPr>
      <w:r>
        <w:rPr>
          <w:rFonts w:ascii="Arial" w:eastAsia="Arial" w:hAnsi="Arial" w:cs="Arial"/>
          <w:sz w:val="22"/>
          <w:szCs w:val="22"/>
        </w:rPr>
        <w:t>Inicialmente, deverá ser concluída a conferência técnica das especificações constantes da planilha consolidada, verificando-se a compatibilidade das descrições, unidades de fornecimento, quantitativos estimados e demais informações que subsidiarão a elaboração do Termo de Referência, com especial atenção à exigência de comprovação de autorização da ANP como revendedor de GLP na fase de habilitação.</w:t>
      </w:r>
    </w:p>
    <w:p w14:paraId="36A982C3" w14:textId="77777777" w:rsidR="00A329F7" w:rsidRDefault="00000000">
      <w:pPr>
        <w:spacing w:after="200" w:line="360" w:lineRule="auto"/>
        <w:ind w:firstLine="1134"/>
        <w:jc w:val="both"/>
      </w:pPr>
      <w:r>
        <w:rPr>
          <w:rFonts w:ascii="Arial" w:eastAsia="Arial" w:hAnsi="Arial" w:cs="Arial"/>
          <w:sz w:val="22"/>
          <w:szCs w:val="22"/>
        </w:rPr>
        <w:t>A Administração deverá concluir a pesquisa de preços mediante utilização do Banco de Preços ou outro método legalmente admitido, consolidando o orçamento estimado da contratação.</w:t>
      </w:r>
    </w:p>
    <w:p w14:paraId="200A50BA" w14:textId="77777777" w:rsidR="00A329F7" w:rsidRDefault="00000000">
      <w:pPr>
        <w:spacing w:after="200" w:line="360" w:lineRule="auto"/>
        <w:ind w:firstLine="1134"/>
        <w:jc w:val="both"/>
      </w:pPr>
      <w:r>
        <w:rPr>
          <w:rFonts w:ascii="Arial" w:eastAsia="Arial" w:hAnsi="Arial" w:cs="Arial"/>
          <w:sz w:val="22"/>
          <w:szCs w:val="22"/>
        </w:rPr>
        <w:t xml:space="preserve">Na sequência, deverá ser elaborado o Termo de Referência em conformidade com as conclusões deste Estudo Técnico Preliminar, contemplando especificações técnicas, </w:t>
      </w:r>
      <w:r>
        <w:rPr>
          <w:rFonts w:ascii="Arial" w:eastAsia="Arial" w:hAnsi="Arial" w:cs="Arial"/>
          <w:sz w:val="22"/>
          <w:szCs w:val="22"/>
        </w:rPr>
        <w:lastRenderedPageBreak/>
        <w:t>critérios de recebimento, fiscalização, obrigações das partes, sanções administrativas e demais elementos necessários à futura contratação.</w:t>
      </w:r>
    </w:p>
    <w:p w14:paraId="46C7B9E6" w14:textId="77777777" w:rsidR="00A329F7" w:rsidRDefault="00000000">
      <w:pPr>
        <w:spacing w:after="200" w:line="360" w:lineRule="auto"/>
        <w:ind w:firstLine="1134"/>
        <w:jc w:val="both"/>
      </w:pPr>
      <w:r>
        <w:rPr>
          <w:rFonts w:ascii="Arial" w:eastAsia="Arial" w:hAnsi="Arial" w:cs="Arial"/>
          <w:sz w:val="22"/>
          <w:szCs w:val="22"/>
        </w:rPr>
        <w:t>Concluídas essas providências, a Administração possuirá elementos suficientes para o prosseguimento do procedimento licitatório.</w:t>
      </w:r>
    </w:p>
    <w:p w14:paraId="77338D95" w14:textId="77777777" w:rsidR="00A329F7" w:rsidRDefault="00000000">
      <w:pPr>
        <w:spacing w:before="200" w:after="200" w:line="360" w:lineRule="auto"/>
        <w:jc w:val="both"/>
      </w:pPr>
      <w:r>
        <w:rPr>
          <w:rFonts w:ascii="Arial" w:eastAsia="Arial" w:hAnsi="Arial" w:cs="Arial"/>
          <w:b/>
          <w:bCs/>
          <w:sz w:val="22"/>
          <w:szCs w:val="22"/>
        </w:rPr>
        <w:t>12. CONTRATAÇÕES CORRELATAS E/OU INTERDEPENDENTES</w:t>
      </w:r>
    </w:p>
    <w:p w14:paraId="0FCB95F4" w14:textId="77777777" w:rsidR="00A329F7" w:rsidRDefault="00000000">
      <w:pPr>
        <w:spacing w:after="200" w:line="360" w:lineRule="auto"/>
        <w:ind w:firstLine="1134"/>
        <w:jc w:val="both"/>
      </w:pPr>
      <w:r>
        <w:rPr>
          <w:rFonts w:ascii="Arial" w:eastAsia="Arial" w:hAnsi="Arial" w:cs="Arial"/>
          <w:sz w:val="22"/>
          <w:szCs w:val="22"/>
        </w:rPr>
        <w:t>Após análise da necessidade administrativa identificada neste Estudo Técnico Preliminar, não foram verificadas contratações interdependentes cuja execução constitua requisito indispensável para a realização da presente contratação.</w:t>
      </w:r>
    </w:p>
    <w:p w14:paraId="104458D5" w14:textId="77777777" w:rsidR="00A329F7" w:rsidRDefault="00000000">
      <w:pPr>
        <w:spacing w:after="200" w:line="360" w:lineRule="auto"/>
        <w:ind w:firstLine="1134"/>
        <w:jc w:val="both"/>
      </w:pPr>
      <w:r>
        <w:rPr>
          <w:rFonts w:ascii="Arial" w:eastAsia="Arial" w:hAnsi="Arial" w:cs="Arial"/>
          <w:sz w:val="22"/>
          <w:szCs w:val="22"/>
        </w:rPr>
        <w:t>O gás de cozinha apresenta autonomia funcional em relação a outros objetos eventualmente contratados pela Administração, como a aquisição de gêneros alimentícios para a merenda escolar ou a manutenção de equipamentos de cozinha, ainda que utilizados de forma conjunta e complementar na rotina das cozinhas institucionais, sem que isso caracterize dependência contratual.</w:t>
      </w:r>
    </w:p>
    <w:p w14:paraId="291096C8" w14:textId="77777777" w:rsidR="00A329F7" w:rsidRDefault="00000000">
      <w:pPr>
        <w:spacing w:after="200" w:line="360" w:lineRule="auto"/>
        <w:ind w:firstLine="1134"/>
        <w:jc w:val="both"/>
      </w:pPr>
      <w:r>
        <w:rPr>
          <w:rFonts w:ascii="Arial" w:eastAsia="Arial" w:hAnsi="Arial" w:cs="Arial"/>
          <w:sz w:val="22"/>
          <w:szCs w:val="22"/>
        </w:rPr>
        <w:t>Conclui-se, portanto, pela inexistência de contratações correlatas ou interdependentes que condicionem o prosseguimento da presente contratação.</w:t>
      </w:r>
    </w:p>
    <w:p w14:paraId="7C75415B" w14:textId="77777777" w:rsidR="00A329F7" w:rsidRDefault="00000000">
      <w:pPr>
        <w:spacing w:before="200" w:after="200" w:line="360" w:lineRule="auto"/>
        <w:jc w:val="both"/>
      </w:pPr>
      <w:r>
        <w:rPr>
          <w:rFonts w:ascii="Arial" w:eastAsia="Arial" w:hAnsi="Arial" w:cs="Arial"/>
          <w:b/>
          <w:bCs/>
          <w:sz w:val="22"/>
          <w:szCs w:val="22"/>
        </w:rPr>
        <w:t>13. DESCRIÇÃO DOS POSSÍVEIS IMPACTOS AMBIENTAIS E MEDIDAS MITIGADORAS</w:t>
      </w:r>
    </w:p>
    <w:p w14:paraId="395943EF" w14:textId="77777777" w:rsidR="00A329F7" w:rsidRDefault="00000000">
      <w:pPr>
        <w:spacing w:after="200" w:line="360" w:lineRule="auto"/>
        <w:ind w:firstLine="1134"/>
        <w:jc w:val="both"/>
      </w:pPr>
      <w:r>
        <w:rPr>
          <w:rFonts w:ascii="Arial" w:eastAsia="Arial" w:hAnsi="Arial" w:cs="Arial"/>
          <w:sz w:val="22"/>
          <w:szCs w:val="22"/>
        </w:rPr>
        <w:t>A contratação de gás de cozinha possui impactos ambientais e de segurança relacionados principalmente ao risco de vazamento do produto inflamável e à necessidade de correta gestão dos cascos ao final de sua vida útil.</w:t>
      </w:r>
    </w:p>
    <w:p w14:paraId="308FF5AD" w14:textId="77777777" w:rsidR="00A329F7" w:rsidRDefault="00000000">
      <w:pPr>
        <w:spacing w:after="200" w:line="360" w:lineRule="auto"/>
        <w:ind w:firstLine="1134"/>
        <w:jc w:val="both"/>
      </w:pPr>
      <w:r>
        <w:rPr>
          <w:rFonts w:ascii="Arial" w:eastAsia="Arial" w:hAnsi="Arial" w:cs="Arial"/>
          <w:sz w:val="22"/>
          <w:szCs w:val="22"/>
        </w:rPr>
        <w:t>Todavia, tais impactos podem ser significativamente reduzidos mediante adoção de boas práticas de gestão e consumo consciente.</w:t>
      </w:r>
    </w:p>
    <w:p w14:paraId="1DD0BD20" w14:textId="77777777" w:rsidR="00A329F7" w:rsidRDefault="00000000">
      <w:pPr>
        <w:spacing w:after="200" w:line="360" w:lineRule="auto"/>
        <w:ind w:firstLine="1134"/>
        <w:jc w:val="both"/>
      </w:pPr>
      <w:r>
        <w:rPr>
          <w:rFonts w:ascii="Arial" w:eastAsia="Arial" w:hAnsi="Arial" w:cs="Arial"/>
          <w:sz w:val="22"/>
          <w:szCs w:val="22"/>
        </w:rPr>
        <w:t>A própria adoção do sistema de troca de cilindro vazio por cheio, como regra geral da contratação, representa importante medida mitigadora, uma vez que mantém a responsabilidade técnica pelos cascos sob o revendedor autorizado, reduzindo o risco de armazenamento inadequado e de descarte irregular pela Administração.</w:t>
      </w:r>
    </w:p>
    <w:p w14:paraId="6BF42ED8" w14:textId="77777777" w:rsidR="00A329F7" w:rsidRDefault="00000000">
      <w:pPr>
        <w:spacing w:after="200" w:line="360" w:lineRule="auto"/>
        <w:ind w:firstLine="1134"/>
        <w:jc w:val="both"/>
      </w:pPr>
      <w:r>
        <w:rPr>
          <w:rFonts w:ascii="Arial" w:eastAsia="Arial" w:hAnsi="Arial" w:cs="Arial"/>
          <w:sz w:val="22"/>
          <w:szCs w:val="22"/>
        </w:rPr>
        <w:t>Sempre que tecnicamente possível e compatível com a competitividade do certame, recomenda-se observar as seguintes práticas:</w:t>
      </w:r>
    </w:p>
    <w:p w14:paraId="11B5F37B" w14:textId="77777777" w:rsidR="00A329F7" w:rsidRDefault="00000000">
      <w:pPr>
        <w:pStyle w:val="PargrafodaLista"/>
        <w:numPr>
          <w:ilvl w:val="0"/>
          <w:numId w:val="1"/>
        </w:numPr>
        <w:spacing w:after="100" w:line="360" w:lineRule="auto"/>
        <w:jc w:val="both"/>
      </w:pPr>
      <w:r>
        <w:rPr>
          <w:rFonts w:ascii="Arial" w:eastAsia="Arial" w:hAnsi="Arial" w:cs="Arial"/>
          <w:sz w:val="22"/>
          <w:szCs w:val="22"/>
        </w:rPr>
        <w:t>fiscalização periódica da integridade dos botijões em uso e do prazo de revalidação dos cascos;</w:t>
      </w:r>
    </w:p>
    <w:p w14:paraId="0C4A7573" w14:textId="77777777" w:rsidR="00A329F7" w:rsidRDefault="00000000">
      <w:pPr>
        <w:pStyle w:val="PargrafodaLista"/>
        <w:numPr>
          <w:ilvl w:val="0"/>
          <w:numId w:val="1"/>
        </w:numPr>
        <w:spacing w:after="100" w:line="360" w:lineRule="auto"/>
        <w:jc w:val="both"/>
      </w:pPr>
      <w:r>
        <w:rPr>
          <w:rFonts w:ascii="Arial" w:eastAsia="Arial" w:hAnsi="Arial" w:cs="Arial"/>
          <w:sz w:val="22"/>
          <w:szCs w:val="22"/>
        </w:rPr>
        <w:t>comunicação imediata ao fornecedor de qualquer indício de vazamento ou avaria, para pronta substituição;</w:t>
      </w:r>
    </w:p>
    <w:p w14:paraId="1F88865C" w14:textId="77777777" w:rsidR="00A329F7" w:rsidRDefault="00000000">
      <w:pPr>
        <w:pStyle w:val="PargrafodaLista"/>
        <w:numPr>
          <w:ilvl w:val="0"/>
          <w:numId w:val="1"/>
        </w:numPr>
        <w:spacing w:after="100" w:line="360" w:lineRule="auto"/>
        <w:jc w:val="both"/>
      </w:pPr>
      <w:r>
        <w:rPr>
          <w:rFonts w:ascii="Arial" w:eastAsia="Arial" w:hAnsi="Arial" w:cs="Arial"/>
          <w:sz w:val="22"/>
          <w:szCs w:val="22"/>
        </w:rPr>
        <w:lastRenderedPageBreak/>
        <w:t>armazenamento dos botijões em uso em local ventilado e conforme as normas técnicas aplicáveis;</w:t>
      </w:r>
    </w:p>
    <w:p w14:paraId="53973922" w14:textId="77777777" w:rsidR="00A329F7" w:rsidRDefault="00000000">
      <w:pPr>
        <w:pStyle w:val="PargrafodaLista"/>
        <w:numPr>
          <w:ilvl w:val="0"/>
          <w:numId w:val="1"/>
        </w:numPr>
        <w:spacing w:after="100" w:line="360" w:lineRule="auto"/>
        <w:jc w:val="both"/>
      </w:pPr>
      <w:r>
        <w:rPr>
          <w:rFonts w:ascii="Arial" w:eastAsia="Arial" w:hAnsi="Arial" w:cs="Arial"/>
          <w:sz w:val="22"/>
          <w:szCs w:val="22"/>
        </w:rPr>
        <w:t>racionalização das entregas, buscando otimização das rotas logísticas.</w:t>
      </w:r>
    </w:p>
    <w:p w14:paraId="6B77B2A7" w14:textId="77777777" w:rsidR="00A329F7" w:rsidRDefault="00000000">
      <w:pPr>
        <w:spacing w:after="200" w:line="360" w:lineRule="auto"/>
        <w:ind w:firstLine="1134"/>
        <w:jc w:val="both"/>
      </w:pPr>
      <w:r>
        <w:rPr>
          <w:rFonts w:ascii="Arial" w:eastAsia="Arial" w:hAnsi="Arial" w:cs="Arial"/>
          <w:sz w:val="22"/>
          <w:szCs w:val="22"/>
        </w:rPr>
        <w:t>Essas medidas contribuem para redução dos impactos ambientais e dos riscos de segurança da contratação, sem impor exigências desproporcionais ao mercado fornecedor.</w:t>
      </w:r>
    </w:p>
    <w:p w14:paraId="6A0DA0AF" w14:textId="77777777" w:rsidR="00A329F7" w:rsidRDefault="00000000">
      <w:pPr>
        <w:spacing w:before="200" w:after="200" w:line="360" w:lineRule="auto"/>
        <w:jc w:val="both"/>
      </w:pPr>
      <w:r>
        <w:rPr>
          <w:rFonts w:ascii="Arial" w:eastAsia="Arial" w:hAnsi="Arial" w:cs="Arial"/>
          <w:b/>
          <w:bCs/>
          <w:sz w:val="22"/>
          <w:szCs w:val="22"/>
        </w:rPr>
        <w:t>14. POSICIONAMENTO CONCLUSIVO SOBRE A ADEQUAÇÃO DA CONTRATAÇÃO</w:t>
      </w:r>
    </w:p>
    <w:p w14:paraId="27DA48B2" w14:textId="77777777" w:rsidR="00A329F7" w:rsidRDefault="00000000">
      <w:pPr>
        <w:spacing w:after="200" w:line="360" w:lineRule="auto"/>
        <w:ind w:firstLine="1134"/>
        <w:jc w:val="both"/>
      </w:pPr>
      <w:r>
        <w:rPr>
          <w:rFonts w:ascii="Arial" w:eastAsia="Arial" w:hAnsi="Arial" w:cs="Arial"/>
          <w:sz w:val="22"/>
          <w:szCs w:val="22"/>
        </w:rPr>
        <w:t>O presente Estudo Técnico Preliminar demonstrou que a necessidade administrativa possui caráter permanente e decorre da utilização contínua de gás de cozinha pelas cozinhas institucionais municipais, com destaque para sua essencialidade ao funcionamento da alimentação escolar assegurada pelo PNAE.</w:t>
      </w:r>
    </w:p>
    <w:p w14:paraId="7C239673" w14:textId="77777777" w:rsidR="00A329F7" w:rsidRDefault="00000000">
      <w:pPr>
        <w:spacing w:after="200" w:line="360" w:lineRule="auto"/>
        <w:ind w:firstLine="1134"/>
        <w:jc w:val="both"/>
      </w:pPr>
      <w:r>
        <w:rPr>
          <w:rFonts w:ascii="Arial" w:eastAsia="Arial" w:hAnsi="Arial" w:cs="Arial"/>
          <w:sz w:val="22"/>
          <w:szCs w:val="22"/>
        </w:rPr>
        <w:t>A análise das alternativas disponíveis evidenciou que a formação de Ata de Registro de Preços representa a solução que melhor atende às características da demanda, conciliando flexibilidade operacional, segurança no armazenamento, racionalização administrativa, economicidade e continuidade do abastecimento.</w:t>
      </w:r>
    </w:p>
    <w:p w14:paraId="7C4FA60C" w14:textId="77777777" w:rsidR="00A329F7" w:rsidRDefault="00000000">
      <w:pPr>
        <w:spacing w:after="200" w:line="360" w:lineRule="auto"/>
        <w:ind w:firstLine="1134"/>
        <w:jc w:val="both"/>
      </w:pPr>
      <w:r>
        <w:rPr>
          <w:rFonts w:ascii="Arial" w:eastAsia="Arial" w:hAnsi="Arial" w:cs="Arial"/>
          <w:sz w:val="22"/>
          <w:szCs w:val="22"/>
        </w:rPr>
        <w:t>A modelagem proposta, baseada na realização de procedimento licitatório único com adjudicação por item, fundamentada na Súmula TCU nº 247, revela-se compatível com os princípios da competitividade, isonomia, economicidade, planejamento e eficiência administrativa.</w:t>
      </w:r>
    </w:p>
    <w:p w14:paraId="16A20655" w14:textId="77777777" w:rsidR="00A329F7" w:rsidRDefault="00000000">
      <w:pPr>
        <w:spacing w:after="200" w:line="360" w:lineRule="auto"/>
        <w:ind w:firstLine="1134"/>
        <w:jc w:val="both"/>
      </w:pPr>
      <w:r>
        <w:rPr>
          <w:rFonts w:ascii="Arial" w:eastAsia="Arial" w:hAnsi="Arial" w:cs="Arial"/>
          <w:sz w:val="22"/>
          <w:szCs w:val="22"/>
        </w:rPr>
        <w:t>Da mesma forma, as peculiaridades operacionais da Administração e a essencialidade do objeto justificam a previsão de prazo máximo de entrega de até dois dias úteis, requisito diretamente relacionado à continuidade dos serviços públicos e à efetividade da contratação.</w:t>
      </w:r>
    </w:p>
    <w:p w14:paraId="60D9BAFA" w14:textId="77777777" w:rsidR="00A329F7" w:rsidRDefault="00000000">
      <w:pPr>
        <w:spacing w:after="200" w:line="360" w:lineRule="auto"/>
        <w:ind w:firstLine="1134"/>
        <w:jc w:val="both"/>
      </w:pPr>
      <w:r>
        <w:rPr>
          <w:rFonts w:ascii="Arial" w:eastAsia="Arial" w:hAnsi="Arial" w:cs="Arial"/>
          <w:sz w:val="22"/>
          <w:szCs w:val="22"/>
        </w:rPr>
        <w:t>Quanto à forma de realização do certame, a opção pelo pregão presencial poderá ser adequadamente motivada pela Administração, considerando a estrutura do mercado fornecedor regional, observando-se o disposto no art. 17, §2º, da Lei Federal nº 14.133/2021.</w:t>
      </w:r>
    </w:p>
    <w:p w14:paraId="1BE6E955" w14:textId="77777777" w:rsidR="00A329F7" w:rsidRDefault="00000000">
      <w:pPr>
        <w:spacing w:after="200" w:line="360" w:lineRule="auto"/>
        <w:ind w:firstLine="1134"/>
        <w:jc w:val="both"/>
      </w:pPr>
      <w:r>
        <w:rPr>
          <w:rFonts w:ascii="Arial" w:eastAsia="Arial" w:hAnsi="Arial" w:cs="Arial"/>
          <w:sz w:val="22"/>
          <w:szCs w:val="22"/>
        </w:rPr>
        <w:t xml:space="preserve">Sob os aspectos técnico, operacional, administrativo, econômico e jurídico, conclui-se que a contratação pretendida </w:t>
      </w:r>
      <w:proofErr w:type="gramStart"/>
      <w:r>
        <w:rPr>
          <w:rFonts w:ascii="Arial" w:eastAsia="Arial" w:hAnsi="Arial" w:cs="Arial"/>
          <w:sz w:val="22"/>
          <w:szCs w:val="22"/>
        </w:rPr>
        <w:t>mostra-se</w:t>
      </w:r>
      <w:proofErr w:type="gramEnd"/>
      <w:r>
        <w:rPr>
          <w:rFonts w:ascii="Arial" w:eastAsia="Arial" w:hAnsi="Arial" w:cs="Arial"/>
          <w:sz w:val="22"/>
          <w:szCs w:val="22"/>
        </w:rPr>
        <w:t xml:space="preserve"> necessária, adequada, viável e plenamente compatível com o interesse público.</w:t>
      </w:r>
    </w:p>
    <w:p w14:paraId="0492138F" w14:textId="77777777" w:rsidR="00A329F7" w:rsidRDefault="00000000">
      <w:pPr>
        <w:spacing w:after="200" w:line="360" w:lineRule="auto"/>
        <w:ind w:firstLine="1134"/>
        <w:jc w:val="both"/>
      </w:pPr>
      <w:r>
        <w:rPr>
          <w:rFonts w:ascii="Arial" w:eastAsia="Arial" w:hAnsi="Arial" w:cs="Arial"/>
          <w:sz w:val="22"/>
          <w:szCs w:val="22"/>
        </w:rPr>
        <w:t xml:space="preserve">Dessa forma, recomenda-se o prosseguimento da fase preparatória, com elaboração do Termo de Referência e adoção das demais providências necessárias à realização do procedimento licitatório destinado à formação de Ata de Registro de Preços para </w:t>
      </w:r>
      <w:r>
        <w:rPr>
          <w:rFonts w:ascii="Arial" w:eastAsia="Arial" w:hAnsi="Arial" w:cs="Arial"/>
          <w:sz w:val="22"/>
          <w:szCs w:val="22"/>
        </w:rPr>
        <w:lastRenderedPageBreak/>
        <w:t>futura e eventual aquisição de gás de cozinha destinado às Secretarias Municipais do Município de São Valério do Sul/RS.</w:t>
      </w:r>
    </w:p>
    <w:sectPr w:rsidR="00A329F7">
      <w:pgSz w:w="11906" w:h="16838"/>
      <w:pgMar w:top="1417" w:right="1134" w:bottom="1417" w:left="1701"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53736"/>
    <w:multiLevelType w:val="hybridMultilevel"/>
    <w:tmpl w:val="89FE41FE"/>
    <w:lvl w:ilvl="0" w:tplc="25BE67FA">
      <w:start w:val="1"/>
      <w:numFmt w:val="bullet"/>
      <w:lvlText w:val="●"/>
      <w:lvlJc w:val="left"/>
      <w:pPr>
        <w:ind w:left="720" w:hanging="360"/>
      </w:pPr>
    </w:lvl>
    <w:lvl w:ilvl="1" w:tplc="41721E34">
      <w:start w:val="1"/>
      <w:numFmt w:val="bullet"/>
      <w:lvlText w:val="○"/>
      <w:lvlJc w:val="left"/>
      <w:pPr>
        <w:ind w:left="1440" w:hanging="360"/>
      </w:pPr>
    </w:lvl>
    <w:lvl w:ilvl="2" w:tplc="02FE358C">
      <w:start w:val="1"/>
      <w:numFmt w:val="bullet"/>
      <w:lvlText w:val="■"/>
      <w:lvlJc w:val="left"/>
      <w:pPr>
        <w:ind w:left="2160" w:hanging="360"/>
      </w:pPr>
    </w:lvl>
    <w:lvl w:ilvl="3" w:tplc="B134C620">
      <w:start w:val="1"/>
      <w:numFmt w:val="bullet"/>
      <w:lvlText w:val="●"/>
      <w:lvlJc w:val="left"/>
      <w:pPr>
        <w:ind w:left="2880" w:hanging="360"/>
      </w:pPr>
    </w:lvl>
    <w:lvl w:ilvl="4" w:tplc="47D057EE">
      <w:start w:val="1"/>
      <w:numFmt w:val="bullet"/>
      <w:lvlText w:val="○"/>
      <w:lvlJc w:val="left"/>
      <w:pPr>
        <w:ind w:left="3600" w:hanging="360"/>
      </w:pPr>
    </w:lvl>
    <w:lvl w:ilvl="5" w:tplc="9B94F294">
      <w:start w:val="1"/>
      <w:numFmt w:val="bullet"/>
      <w:lvlText w:val="■"/>
      <w:lvlJc w:val="left"/>
      <w:pPr>
        <w:ind w:left="4320" w:hanging="360"/>
      </w:pPr>
    </w:lvl>
    <w:lvl w:ilvl="6" w:tplc="A8100ADE">
      <w:start w:val="1"/>
      <w:numFmt w:val="bullet"/>
      <w:lvlText w:val="●"/>
      <w:lvlJc w:val="left"/>
      <w:pPr>
        <w:ind w:left="5040" w:hanging="360"/>
      </w:pPr>
    </w:lvl>
    <w:lvl w:ilvl="7" w:tplc="47666F86">
      <w:start w:val="1"/>
      <w:numFmt w:val="bullet"/>
      <w:lvlText w:val="●"/>
      <w:lvlJc w:val="left"/>
      <w:pPr>
        <w:ind w:left="5760" w:hanging="360"/>
      </w:pPr>
    </w:lvl>
    <w:lvl w:ilvl="8" w:tplc="F8F8081A">
      <w:start w:val="1"/>
      <w:numFmt w:val="bullet"/>
      <w:lvlText w:val="●"/>
      <w:lvlJc w:val="left"/>
      <w:pPr>
        <w:ind w:left="6480" w:hanging="360"/>
      </w:pPr>
    </w:lvl>
  </w:abstractNum>
  <w:num w:numId="1" w16cid:durableId="203367884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29F7"/>
    <w:rsid w:val="0019277F"/>
    <w:rsid w:val="004D494D"/>
    <w:rsid w:val="00A329F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E0A01"/>
  <w15:docId w15:val="{D3CEBAD1-453E-4259-A575-54D5A838E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outlineLvl w:val="0"/>
    </w:pPr>
    <w:rPr>
      <w:color w:val="2E74B5"/>
      <w:sz w:val="32"/>
      <w:szCs w:val="32"/>
    </w:rPr>
  </w:style>
  <w:style w:type="paragraph" w:styleId="Ttulo2">
    <w:name w:val="heading 2"/>
    <w:uiPriority w:val="9"/>
    <w:semiHidden/>
    <w:unhideWhenUsed/>
    <w:qFormat/>
    <w:pPr>
      <w:outlineLvl w:val="1"/>
    </w:pPr>
    <w:rPr>
      <w:color w:val="2E74B5"/>
      <w:sz w:val="26"/>
      <w:szCs w:val="26"/>
    </w:rPr>
  </w:style>
  <w:style w:type="paragraph" w:styleId="Ttulo3">
    <w:name w:val="heading 3"/>
    <w:uiPriority w:val="9"/>
    <w:semiHidden/>
    <w:unhideWhenUsed/>
    <w:qFormat/>
    <w:pPr>
      <w:outlineLvl w:val="2"/>
    </w:pPr>
    <w:rPr>
      <w:color w:val="1F4D78"/>
      <w:sz w:val="24"/>
      <w:szCs w:val="24"/>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uiPriority w:val="10"/>
    <w:qFormat/>
    <w:rPr>
      <w:sz w:val="56"/>
      <w:szCs w:val="56"/>
    </w:rPr>
  </w:style>
  <w:style w:type="paragraph" w:customStyle="1" w:styleId="Forte1">
    <w:name w:val="Forte1"/>
    <w:qFormat/>
    <w:rPr>
      <w:b/>
      <w:bCs/>
    </w:rPr>
  </w:style>
  <w:style w:type="paragraph" w:styleId="PargrafodaLista">
    <w:name w:val="List Paragraph"/>
    <w:qFormat/>
  </w:style>
  <w:style w:type="character" w:styleId="Hyperlink">
    <w:name w:val="Hyperlink"/>
    <w:uiPriority w:val="99"/>
    <w:unhideWhenUsed/>
    <w:rPr>
      <w:color w:val="0563C1"/>
      <w:u w:val="single"/>
    </w:rPr>
  </w:style>
  <w:style w:type="character" w:styleId="Refdenotaderodap">
    <w:name w:val="footnote reference"/>
    <w:uiPriority w:val="99"/>
    <w:semiHidden/>
    <w:unhideWhenUsed/>
    <w:rPr>
      <w:vertAlign w:val="superscript"/>
    </w:rPr>
  </w:style>
  <w:style w:type="paragraph" w:styleId="Textodenotaderodap">
    <w:name w:val="footnote text"/>
    <w:link w:val="TextodenotaderodapChar"/>
    <w:uiPriority w:val="99"/>
    <w:semiHidden/>
    <w:unhideWhenUsed/>
  </w:style>
  <w:style w:type="character" w:customStyle="1" w:styleId="TextodenotaderodapChar">
    <w:name w:val="Texto de nota de rodapé Char"/>
    <w:link w:val="Textodenotaderodap"/>
    <w:uiPriority w:val="99"/>
    <w:semiHidden/>
    <w:unhideWhenUsed/>
    <w:rPr>
      <w:sz w:val="20"/>
      <w:szCs w:val="20"/>
    </w:rPr>
  </w:style>
  <w:style w:type="character" w:styleId="Refdenotadefim">
    <w:name w:val="endnote reference"/>
    <w:uiPriority w:val="99"/>
    <w:semiHidden/>
    <w:unhideWhenUsed/>
    <w:rPr>
      <w:vertAlign w:val="superscript"/>
    </w:rPr>
  </w:style>
  <w:style w:type="paragraph" w:styleId="Textodenotadefim">
    <w:name w:val="endnote text"/>
    <w:link w:val="TextodenotadefimChar"/>
    <w:uiPriority w:val="99"/>
    <w:semiHidden/>
    <w:unhideWhenUsed/>
  </w:style>
  <w:style w:type="character" w:customStyle="1" w:styleId="TextodenotadefimChar">
    <w:name w:val="Texto de nota de fim Char"/>
    <w:link w:val="Textodenotadefim"/>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5149</Words>
  <Characters>27806</Characters>
  <Application>Microsoft Office Word</Application>
  <DocSecurity>0</DocSecurity>
  <Lines>231</Lines>
  <Paragraphs>65</Paragraphs>
  <ScaleCrop>false</ScaleCrop>
  <Company/>
  <LinksUpToDate>false</LinksUpToDate>
  <CharactersWithSpaces>32890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Geciana Seffrin</cp:lastModifiedBy>
  <cp:revision>2</cp:revision>
  <dcterms:created xsi:type="dcterms:W3CDTF">2026-07-17T18:35:00Z</dcterms:created>
  <dcterms:modified xsi:type="dcterms:W3CDTF">2026-07-17T18:35:00Z</dcterms:modified>
</cp:coreProperties>
</file>