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spacing w:lineRule="auto" w:line="240" w:before="0" w:after="0"/>
        <w:jc w:val="center"/>
        <w:rPr/>
      </w:pPr>
      <w:r>
        <w:rPr>
          <w:rFonts w:ascii="Arial" w:hAnsi="Arial"/>
          <w:b/>
          <w:bCs/>
          <w:sz w:val="20"/>
          <w:szCs w:val="20"/>
        </w:rPr>
        <w:t xml:space="preserve">PROCESSO Nº </w:t>
      </w:r>
      <w:r>
        <w:rPr>
          <w:rFonts w:ascii="Arial" w:hAnsi="Arial"/>
          <w:b/>
          <w:bCs/>
          <w:sz w:val="20"/>
          <w:szCs w:val="20"/>
        </w:rPr>
        <w:t>0</w:t>
      </w:r>
      <w:r>
        <w:rPr>
          <w:rFonts w:eastAsia="Calibri" w:cs="" w:ascii="Arial" w:hAnsi="Arial"/>
          <w:b/>
          <w:bCs/>
          <w:color w:val="00000A"/>
          <w:kern w:val="0"/>
          <w:sz w:val="20"/>
          <w:szCs w:val="20"/>
          <w:lang w:val="pt-BR" w:eastAsia="en-US" w:bidi="ar-SA"/>
        </w:rPr>
        <w:t>63</w:t>
      </w:r>
      <w:r>
        <w:rPr>
          <w:rFonts w:ascii="Arial" w:hAnsi="Arial"/>
          <w:b/>
          <w:bCs/>
          <w:sz w:val="20"/>
          <w:szCs w:val="20"/>
        </w:rPr>
        <w:t>/2024</w:t>
      </w:r>
    </w:p>
    <w:p>
      <w:pPr>
        <w:pStyle w:val="Corpodotexto"/>
        <w:spacing w:lineRule="auto" w:line="240" w:before="0" w:after="0"/>
        <w:jc w:val="center"/>
        <w:rPr/>
      </w:pPr>
      <w:r>
        <w:rPr>
          <w:rFonts w:ascii="Arial" w:hAnsi="Arial"/>
          <w:b/>
          <w:bCs/>
          <w:sz w:val="20"/>
          <w:szCs w:val="20"/>
        </w:rPr>
        <w:t xml:space="preserve">DISPENSA POR LIMITE Nº </w:t>
      </w:r>
      <w:r>
        <w:rPr>
          <w:rFonts w:ascii="Arial" w:hAnsi="Arial"/>
          <w:b/>
          <w:bCs/>
          <w:sz w:val="20"/>
          <w:szCs w:val="20"/>
        </w:rPr>
        <w:t>0</w:t>
      </w:r>
      <w:r>
        <w:rPr>
          <w:rFonts w:ascii="Arial" w:hAnsi="Arial"/>
          <w:b/>
          <w:bCs/>
          <w:sz w:val="20"/>
          <w:szCs w:val="20"/>
        </w:rPr>
        <w:t>56</w:t>
      </w:r>
      <w:r>
        <w:rPr>
          <w:rFonts w:ascii="Arial" w:hAnsi="Arial"/>
          <w:b/>
          <w:bCs/>
          <w:sz w:val="20"/>
          <w:szCs w:val="20"/>
        </w:rPr>
        <w:t>/</w:t>
      </w:r>
      <w:r>
        <w:rPr>
          <w:rFonts w:ascii="Arial" w:hAnsi="Arial"/>
          <w:b/>
          <w:bCs/>
          <w:sz w:val="20"/>
          <w:szCs w:val="20"/>
        </w:rPr>
        <w:t>2024</w:t>
      </w:r>
    </w:p>
    <w:p>
      <w:pPr>
        <w:pStyle w:val="Corpodotexto"/>
        <w:spacing w:lineRule="auto" w:line="36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889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8895"/>
      </w:tblGrid>
      <w:tr>
        <w:trPr>
          <w:trHeight w:val="120" w:hRule="atLeast"/>
        </w:trPr>
        <w:tc>
          <w:tcPr>
            <w:tcW w:w="8895" w:type="dxa"/>
            <w:tcBorders/>
            <w:shd w:color="auto" w:fill="C7E4F8" w:val="clear"/>
          </w:tcPr>
          <w:p>
            <w:pPr>
              <w:pStyle w:val="LONormal"/>
              <w:spacing w:before="57" w:after="57"/>
              <w:ind w:left="57" w:hanging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1 DO OBJETO</w:t>
            </w:r>
          </w:p>
        </w:tc>
      </w:tr>
    </w:tbl>
    <w:p>
      <w:pPr>
        <w:pStyle w:val="Corpodotexto"/>
        <w:spacing w:lineRule="auto" w:line="360" w:before="113" w:after="0"/>
        <w:jc w:val="both"/>
        <w:rPr/>
      </w:pPr>
      <w:r>
        <w:rPr>
          <w:rFonts w:ascii="Arial" w:hAnsi="Arial"/>
          <w:b/>
          <w:bCs/>
          <w:sz w:val="20"/>
          <w:szCs w:val="20"/>
        </w:rPr>
        <w:t>1.1</w:t>
      </w:r>
      <w:r>
        <w:rPr>
          <w:rFonts w:ascii="Arial" w:hAnsi="Arial"/>
          <w:sz w:val="20"/>
          <w:szCs w:val="20"/>
        </w:rPr>
        <w:t xml:space="preserve"> Contratação de empresa especializada no ramo de </w:t>
      </w:r>
      <w:r>
        <w:rPr>
          <w:rFonts w:eastAsia="Calibri" w:cs="" w:ascii="Arial" w:hAnsi="Arial"/>
          <w:bCs/>
          <w:color w:val="00000A"/>
          <w:kern w:val="0"/>
          <w:sz w:val="20"/>
          <w:szCs w:val="20"/>
          <w:lang w:val="pt-BR" w:eastAsia="en-US" w:bidi="ar-SA"/>
        </w:rPr>
        <w:t xml:space="preserve">prestação de </w:t>
      </w:r>
      <w:r>
        <w:rPr>
          <w:rFonts w:ascii="Arial" w:hAnsi="Arial"/>
          <w:b/>
          <w:sz w:val="20"/>
          <w:szCs w:val="20"/>
        </w:rPr>
        <w:t xml:space="preserve">Serviços Técnicos Especializados para Manutenção do Parque Tecnológico do Consórcio Intermunicipal da Região Centro do Estado/RS - CI/Centro, </w:t>
      </w:r>
      <w:r>
        <w:rPr>
          <w:rFonts w:ascii="Arial" w:hAnsi="Arial"/>
          <w:sz w:val="20"/>
          <w:szCs w:val="20"/>
        </w:rPr>
        <w:t>visando atender a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demanda d</w:t>
      </w:r>
      <w:r>
        <w:rPr>
          <w:rFonts w:eastAsia="NSimSun" w:cs="Arial" w:ascii="Arial" w:hAnsi="Arial"/>
          <w:color w:val="auto"/>
          <w:kern w:val="2"/>
          <w:sz w:val="20"/>
          <w:szCs w:val="20"/>
          <w:lang w:val="pt-BR" w:eastAsia="zh-CN" w:bidi="hi-IN"/>
        </w:rPr>
        <w:t>a entidade.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 xml:space="preserve">1.2 </w:t>
      </w:r>
      <w:r>
        <w:rPr>
          <w:rFonts w:ascii="Arial" w:hAnsi="Arial"/>
          <w:b w:val="false"/>
          <w:bCs w:val="false"/>
          <w:color w:val="000000"/>
          <w:sz w:val="20"/>
          <w:szCs w:val="20"/>
        </w:rPr>
        <w:t>Os</w:t>
      </w:r>
      <w:r>
        <w:rPr>
          <w:rFonts w:ascii="Arial" w:hAnsi="Arial"/>
          <w:b w:val="false"/>
          <w:bCs w:val="false"/>
          <w:color w:val="000000"/>
          <w:spacing w:val="-7"/>
          <w:sz w:val="20"/>
          <w:szCs w:val="20"/>
        </w:rPr>
        <w:t xml:space="preserve"> </w:t>
      </w:r>
      <w:r>
        <w:rPr>
          <w:rFonts w:ascii="Arial" w:hAnsi="Arial"/>
          <w:b w:val="false"/>
          <w:bCs w:val="false"/>
          <w:color w:val="000000"/>
          <w:sz w:val="20"/>
          <w:szCs w:val="20"/>
        </w:rPr>
        <w:t>itens</w:t>
      </w:r>
      <w:r>
        <w:rPr>
          <w:rFonts w:ascii="Arial" w:hAnsi="Arial"/>
          <w:b w:val="false"/>
          <w:bCs w:val="false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/>
          <w:b w:val="false"/>
          <w:bCs w:val="false"/>
          <w:color w:val="000000"/>
          <w:sz w:val="20"/>
          <w:szCs w:val="20"/>
        </w:rPr>
        <w:t>devem</w:t>
      </w:r>
      <w:r>
        <w:rPr>
          <w:rFonts w:ascii="Arial" w:hAnsi="Arial"/>
          <w:b w:val="false"/>
          <w:bCs w:val="false"/>
          <w:color w:val="000000"/>
          <w:spacing w:val="-4"/>
          <w:sz w:val="20"/>
          <w:szCs w:val="20"/>
        </w:rPr>
        <w:t xml:space="preserve"> </w:t>
      </w:r>
      <w:r>
        <w:rPr>
          <w:rFonts w:ascii="Arial" w:hAnsi="Arial"/>
          <w:b w:val="false"/>
          <w:bCs w:val="false"/>
          <w:color w:val="000000"/>
          <w:sz w:val="20"/>
          <w:szCs w:val="20"/>
        </w:rPr>
        <w:t>seguir</w:t>
      </w:r>
      <w:r>
        <w:rPr>
          <w:rFonts w:ascii="Arial" w:hAnsi="Arial"/>
          <w:b w:val="false"/>
          <w:bCs w:val="false"/>
          <w:color w:val="000000"/>
          <w:spacing w:val="-4"/>
          <w:sz w:val="20"/>
          <w:szCs w:val="20"/>
        </w:rPr>
        <w:t xml:space="preserve"> </w:t>
      </w:r>
      <w:r>
        <w:rPr>
          <w:rFonts w:ascii="Arial" w:hAnsi="Arial"/>
          <w:b w:val="false"/>
          <w:bCs w:val="false"/>
          <w:color w:val="000000"/>
          <w:sz w:val="20"/>
          <w:szCs w:val="20"/>
        </w:rPr>
        <w:t>as</w:t>
      </w:r>
      <w:r>
        <w:rPr>
          <w:rFonts w:ascii="Arial" w:hAnsi="Arial"/>
          <w:b w:val="false"/>
          <w:bCs w:val="false"/>
          <w:color w:val="000000"/>
          <w:spacing w:val="-4"/>
          <w:sz w:val="20"/>
          <w:szCs w:val="20"/>
        </w:rPr>
        <w:t xml:space="preserve"> </w:t>
      </w:r>
      <w:r>
        <w:rPr>
          <w:rFonts w:ascii="Arial" w:hAnsi="Arial"/>
          <w:b w:val="false"/>
          <w:bCs w:val="false"/>
          <w:color w:val="000000"/>
          <w:sz w:val="20"/>
          <w:szCs w:val="20"/>
        </w:rPr>
        <w:t>seguintes</w:t>
      </w:r>
      <w:r>
        <w:rPr>
          <w:rFonts w:ascii="Arial" w:hAnsi="Arial"/>
          <w:b w:val="false"/>
          <w:bCs w:val="false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/>
          <w:b w:val="false"/>
          <w:bCs w:val="false"/>
          <w:color w:val="000000"/>
          <w:spacing w:val="-2"/>
          <w:sz w:val="20"/>
          <w:szCs w:val="20"/>
        </w:rPr>
        <w:t>características:</w:t>
      </w:r>
    </w:p>
    <w:tbl>
      <w:tblPr>
        <w:tblW w:w="8925" w:type="dxa"/>
        <w:jc w:val="left"/>
        <w:tblInd w:w="1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63"/>
        <w:gridCol w:w="898"/>
        <w:gridCol w:w="960"/>
        <w:gridCol w:w="3898"/>
        <w:gridCol w:w="6"/>
        <w:gridCol w:w="1177"/>
        <w:gridCol w:w="1222"/>
      </w:tblGrid>
      <w:tr>
        <w:trPr/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Apres.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Qtde.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Valor Unitário  Estimado R$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Valor Total 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Estimado R$</w:t>
            </w:r>
          </w:p>
        </w:tc>
      </w:tr>
      <w:tr>
        <w:trPr/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pt-BR" w:eastAsia="zh-CN" w:bidi="hi-IN"/>
              </w:rPr>
              <w:t>1ª hora técnica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pt-BR" w:eastAsia="zh-CN" w:bidi="hi-IN"/>
              </w:rPr>
              <w:t>05 mensal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Cs/>
                <w:sz w:val="20"/>
                <w:szCs w:val="20"/>
              </w:rPr>
              <w:t>Serviços Técnicos Especializados para Manutenção do Parque Tecnológico do Consórcio, contemplando o atendimento na sede do Consórcio.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Cs/>
                <w:sz w:val="20"/>
                <w:szCs w:val="20"/>
              </w:rPr>
              <w:t>O serviço deve conter no mínimo as seguintes atividades: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Cs/>
                <w:sz w:val="20"/>
                <w:szCs w:val="20"/>
              </w:rPr>
              <w:t>- Identificação do problema;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Cs/>
                <w:sz w:val="20"/>
                <w:szCs w:val="20"/>
              </w:rPr>
              <w:t>- Diagnóstico;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Cs/>
                <w:sz w:val="20"/>
                <w:szCs w:val="20"/>
              </w:rPr>
              <w:t>- Solicitação de Peças ao Consórcio (caso necessárias);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Cs/>
                <w:sz w:val="20"/>
                <w:szCs w:val="20"/>
              </w:rPr>
              <w:t>- Solução do problema via serviço ou a substituição das peças, caso necessário.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Cs/>
                <w:sz w:val="20"/>
                <w:szCs w:val="20"/>
              </w:rPr>
              <w:t>- Comprovação do serviço realizado com emissão de relatório e demonstração ao setor responsável pela demanda;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Cs/>
                <w:sz w:val="20"/>
                <w:szCs w:val="20"/>
              </w:rPr>
              <w:t>- Aceite do setor responsável pela demanda.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Cs/>
                <w:sz w:val="20"/>
                <w:szCs w:val="20"/>
              </w:rPr>
              <w:t>O serviço deve ser prestado de acordo com a demanda solicitada através de comunicação formal do Consórcio para a Contratada.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Cs/>
                <w:sz w:val="20"/>
                <w:szCs w:val="20"/>
              </w:rPr>
              <w:t>O prazo para início do atendimento aos chamados de serviços é de até 04 (quatro) horas úteis após o pedido do Consórcio.</w:t>
            </w:r>
          </w:p>
        </w:tc>
        <w:tc>
          <w:tcPr>
            <w:tcW w:w="1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R$ 120,00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pt-BR" w:eastAsia="zh-CN" w:bidi="hi-IN"/>
              </w:rPr>
              <w:t>600,00</w:t>
            </w:r>
          </w:p>
          <w:p>
            <w:pPr>
              <w:pStyle w:val="Corpodotexto"/>
              <w:spacing w:lineRule="auto" w:line="240" w:before="0" w:after="0"/>
              <w:ind w:right="-1" w:hanging="0"/>
              <w:jc w:val="center"/>
              <w:rPr>
                <w:rFonts w:ascii="Arial" w:hAnsi="Arial" w:eastAsia="NSimSun" w:cs="Arial"/>
                <w:color w:val="auto"/>
                <w:kern w:val="2"/>
                <w:sz w:val="20"/>
                <w:szCs w:val="20"/>
                <w:lang w:val="pt-BR" w:eastAsia="zh-CN" w:bidi="hi-IN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pt-BR" w:eastAsia="zh-CN" w:bidi="hi-IN"/>
              </w:rPr>
            </w:r>
          </w:p>
        </w:tc>
      </w:tr>
      <w:tr>
        <w:trPr/>
        <w:tc>
          <w:tcPr>
            <w:tcW w:w="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02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eastAsia="NSimSun" w:cs="Arial" w:ascii="Arial" w:hAnsi="Arial"/>
                <w:color w:val="auto"/>
                <w:kern w:val="2"/>
                <w:sz w:val="20"/>
                <w:szCs w:val="20"/>
                <w:lang w:val="pt-BR" w:eastAsia="zh-CN" w:bidi="hi-IN"/>
              </w:rPr>
              <w:t>Hora subsequente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-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left"/>
              <w:rPr/>
            </w:pPr>
            <w:r>
              <w:rPr>
                <w:rFonts w:ascii="Arial" w:hAnsi="Arial"/>
                <w:sz w:val="20"/>
                <w:szCs w:val="20"/>
              </w:rPr>
              <w:t>Hora Técnica subsequente</w:t>
            </w:r>
          </w:p>
        </w:tc>
        <w:tc>
          <w:tcPr>
            <w:tcW w:w="118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R$ 45,00</w:t>
            </w:r>
          </w:p>
        </w:tc>
        <w:tc>
          <w:tcPr>
            <w:tcW w:w="1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R$ 45,00</w:t>
            </w:r>
          </w:p>
        </w:tc>
      </w:tr>
      <w:tr>
        <w:trPr>
          <w:trHeight w:val="412" w:hRule="atLeast"/>
        </w:trPr>
        <w:tc>
          <w:tcPr>
            <w:tcW w:w="65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orpodotexto"/>
              <w:spacing w:lineRule="auto" w:line="240" w:before="0" w:after="0"/>
              <w:ind w:right="-1" w:hanging="0"/>
              <w:jc w:val="both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R$ 645,00</w:t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</w:r>
    </w:p>
    <w:tbl>
      <w:tblPr>
        <w:tblW w:w="889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8895"/>
      </w:tblGrid>
      <w:tr>
        <w:trPr>
          <w:trHeight w:val="120" w:hRule="atLeast"/>
        </w:trPr>
        <w:tc>
          <w:tcPr>
            <w:tcW w:w="8895" w:type="dxa"/>
            <w:tcBorders/>
            <w:shd w:color="auto" w:fill="C7E4F8" w:val="clear"/>
          </w:tcPr>
          <w:p>
            <w:pPr>
              <w:pStyle w:val="Corpodotexto"/>
              <w:spacing w:lineRule="auto" w:line="360" w:before="57" w:after="57"/>
              <w:ind w:left="57" w:hanging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2 DO CONTRATADO</w:t>
            </w:r>
          </w:p>
        </w:tc>
      </w:tr>
    </w:tbl>
    <w:p>
      <w:pPr>
        <w:pStyle w:val="Corpodotexto"/>
        <w:spacing w:lineRule="auto" w:line="360" w:before="113" w:after="0"/>
        <w:jc w:val="both"/>
        <w:rPr/>
      </w:pPr>
      <w:r>
        <w:rPr>
          <w:rFonts w:ascii="Arial" w:hAnsi="Arial"/>
          <w:b/>
          <w:bCs/>
          <w:sz w:val="20"/>
          <w:szCs w:val="20"/>
        </w:rPr>
        <w:t>2.1</w:t>
      </w:r>
      <w:r>
        <w:rPr>
          <w:rFonts w:ascii="Arial" w:hAnsi="Arial"/>
          <w:sz w:val="20"/>
          <w:szCs w:val="20"/>
        </w:rPr>
        <w:t xml:space="preserve">  </w:t>
      </w:r>
      <w:r>
        <w:rPr>
          <w:rFonts w:eastAsia="SimSun;宋体" w:cs="Arial" w:ascii="Arial" w:hAnsi="Arial"/>
          <w:b/>
          <w:bCs/>
          <w:i w:val="false"/>
          <w:iCs w:val="false"/>
          <w:color w:val="auto"/>
          <w:kern w:val="2"/>
          <w:sz w:val="20"/>
          <w:szCs w:val="20"/>
          <w:lang w:val="pt-BR" w:eastAsia="zh-CN" w:bidi="hi-IN"/>
        </w:rPr>
        <w:t>PIVOT TECNOLOGIA</w:t>
      </w:r>
      <w:r>
        <w:rPr>
          <w:rFonts w:cs="Arial" w:ascii="Arial" w:hAnsi="Arial"/>
          <w:b/>
          <w:bCs/>
          <w:i w:val="false"/>
          <w:iCs w:val="false"/>
          <w:color w:val="000000"/>
          <w:sz w:val="20"/>
          <w:szCs w:val="20"/>
          <w:lang w:val="pt-BR" w:eastAsia="pt-BR"/>
        </w:rPr>
        <w:t xml:space="preserve"> LTDA</w:t>
      </w:r>
      <w:r>
        <w:rPr>
          <w:rFonts w:cs="Arial" w:ascii="Arial" w:hAnsi="Arial"/>
          <w:bCs/>
          <w:color w:val="000000"/>
          <w:sz w:val="20"/>
          <w:szCs w:val="20"/>
          <w:lang w:eastAsia="pt-BR"/>
        </w:rPr>
        <w:t>,</w:t>
      </w:r>
      <w:r>
        <w:rPr>
          <w:rFonts w:cs="Arial" w:ascii="Arial" w:hAnsi="Arial"/>
          <w:b/>
          <w:bCs/>
          <w:color w:val="000000"/>
          <w:sz w:val="20"/>
          <w:szCs w:val="20"/>
          <w:lang w:eastAsia="pt-BR"/>
        </w:rPr>
        <w:t xml:space="preserve"> </w:t>
      </w:r>
      <w:r>
        <w:rPr>
          <w:rFonts w:cs="Arial" w:ascii="Arial" w:hAnsi="Arial"/>
          <w:bCs/>
          <w:color w:val="000000"/>
          <w:sz w:val="20"/>
          <w:szCs w:val="20"/>
          <w:lang w:eastAsia="pt-BR"/>
        </w:rPr>
        <w:t xml:space="preserve">inscrita no CNPJ sob nº </w:t>
      </w:r>
      <w:r>
        <w:rPr>
          <w:rFonts w:eastAsia="SimSun;宋体" w:cs="Arial" w:ascii="Arial" w:hAnsi="Arial"/>
          <w:bCs/>
          <w:color w:val="000000"/>
          <w:kern w:val="2"/>
          <w:sz w:val="20"/>
          <w:szCs w:val="20"/>
          <w:lang w:val="pt-BR" w:eastAsia="pt-BR" w:bidi="hi-IN"/>
        </w:rPr>
        <w:t>05.833.765/0001-26</w:t>
      </w:r>
      <w:r>
        <w:rPr>
          <w:rFonts w:cs="Arial" w:ascii="Arial" w:hAnsi="Arial"/>
          <w:bCs/>
          <w:color w:val="000000"/>
          <w:sz w:val="20"/>
          <w:szCs w:val="20"/>
          <w:lang w:eastAsia="pt-BR"/>
        </w:rPr>
        <w:t>,</w:t>
      </w:r>
      <w:r>
        <w:rPr>
          <w:rFonts w:cs="Arial" w:ascii="Arial" w:hAnsi="Arial"/>
          <w:b/>
          <w:bCs/>
          <w:color w:val="000000"/>
          <w:sz w:val="20"/>
          <w:szCs w:val="20"/>
          <w:lang w:eastAsia="pt-BR"/>
        </w:rPr>
        <w:t xml:space="preserve"> </w:t>
      </w:r>
      <w:r>
        <w:rPr>
          <w:rFonts w:cs="Arial" w:ascii="Arial" w:hAnsi="Arial"/>
          <w:color w:val="000000"/>
          <w:sz w:val="20"/>
          <w:szCs w:val="20"/>
        </w:rPr>
        <w:t>com sede na</w:t>
      </w:r>
      <w:r>
        <w:rPr>
          <w:rFonts w:eastAsia="SimSun;宋体" w:cs="Arial" w:ascii="Arial" w:hAnsi="Arial"/>
          <w:color w:val="000000"/>
          <w:kern w:val="2"/>
          <w:sz w:val="20"/>
          <w:szCs w:val="20"/>
          <w:highlight w:val="white"/>
          <w:lang w:val="pt-BR" w:eastAsia="zh-CN" w:bidi="hi-IN"/>
        </w:rPr>
        <w:t xml:space="preserve"> Rua</w:t>
      </w:r>
      <w:r>
        <w:rPr>
          <w:rFonts w:eastAsia="SimSun;宋体" w:cs="Arial" w:ascii="Arial" w:hAnsi="Arial"/>
          <w:color w:val="000000"/>
          <w:kern w:val="2"/>
          <w:sz w:val="20"/>
          <w:szCs w:val="20"/>
          <w:highlight w:val="yellow"/>
          <w:lang w:val="pt-BR" w:eastAsia="zh-CN" w:bidi="hi-IN"/>
        </w:rPr>
        <w:t xml:space="preserve"> </w:t>
      </w:r>
      <w:r>
        <w:rPr>
          <w:rFonts w:eastAsia="SimSun;宋体" w:cs="Arial" w:ascii="Arial" w:hAnsi="Arial"/>
          <w:color w:val="000000"/>
          <w:kern w:val="2"/>
          <w:sz w:val="20"/>
          <w:szCs w:val="20"/>
          <w:highlight w:val="white"/>
          <w:lang w:val="pt-BR" w:eastAsia="zh-CN" w:bidi="hi-IN"/>
        </w:rPr>
        <w:t>Alameda Antofagasta, nª 77, sala 102 Bairro Nossa Senhora das Dores,</w:t>
      </w:r>
      <w:r>
        <w:rPr>
          <w:rFonts w:eastAsia="SimSun;宋体" w:cs="Arial" w:ascii="Arial" w:hAnsi="Arial"/>
          <w:color w:val="000000"/>
          <w:kern w:val="2"/>
          <w:sz w:val="20"/>
          <w:szCs w:val="20"/>
          <w:lang w:val="pt-BR" w:eastAsia="zh-CN" w:bidi="hi-IN"/>
        </w:rPr>
        <w:t xml:space="preserve"> Município: Santa Maria (RS), CEP 97.050-660 . sendo seu representante legal</w:t>
      </w:r>
      <w:r>
        <w:rPr>
          <w:rFonts w:eastAsia="SimSun;宋体" w:cs="Arial" w:ascii="Arial" w:hAnsi="Arial"/>
          <w:bCs/>
          <w:color w:val="000000"/>
          <w:kern w:val="2"/>
          <w:sz w:val="20"/>
          <w:szCs w:val="20"/>
          <w:lang w:val="pt-BR" w:eastAsia="zh-CN" w:bidi="hi-IN"/>
        </w:rPr>
        <w:t xml:space="preserve">, </w:t>
      </w:r>
      <w:r>
        <w:rPr>
          <w:rFonts w:eastAsia="Calibri" w:cs="Arial" w:ascii="Arial" w:hAnsi="Arial"/>
          <w:bCs/>
          <w:color w:val="auto"/>
          <w:kern w:val="2"/>
          <w:sz w:val="20"/>
          <w:szCs w:val="20"/>
          <w:lang w:val="pt-BR" w:eastAsia="zh-CN" w:bidi="ar-SA"/>
        </w:rPr>
        <w:t xml:space="preserve">Sr. Fabiano Witt Leiria, Empresário, brasileiro, casado, inscrito no CPF nº </w:t>
      </w:r>
      <w:r>
        <w:rPr>
          <w:rFonts w:eastAsia="Calibri" w:cs="Arial" w:ascii="Arial" w:hAnsi="Arial"/>
          <w:bCs/>
          <w:color w:val="000000"/>
          <w:kern w:val="2"/>
          <w:sz w:val="20"/>
          <w:szCs w:val="20"/>
          <w:highlight w:val="black"/>
          <w:lang w:val="pt-BR" w:eastAsia="zh-CN" w:bidi="ar-SA"/>
        </w:rPr>
        <w:t>610.448.900-10</w:t>
      </w:r>
      <w:r>
        <w:rPr>
          <w:rFonts w:eastAsia="Calibri" w:cs="Arial" w:ascii="Arial" w:hAnsi="Arial"/>
          <w:bCs/>
          <w:color w:val="auto"/>
          <w:kern w:val="2"/>
          <w:sz w:val="20"/>
          <w:szCs w:val="20"/>
          <w:lang w:val="pt-BR" w:eastAsia="zh-CN" w:bidi="ar-SA"/>
        </w:rPr>
        <w:t xml:space="preserve">, RG nº </w:t>
      </w:r>
      <w:r>
        <w:rPr>
          <w:rFonts w:eastAsia="Calibri" w:cs="Arial" w:ascii="Arial" w:hAnsi="Arial"/>
          <w:bCs/>
          <w:color w:val="000000"/>
          <w:kern w:val="2"/>
          <w:sz w:val="20"/>
          <w:szCs w:val="20"/>
          <w:highlight w:val="black"/>
          <w:lang w:val="pt-BR" w:eastAsia="zh-CN" w:bidi="ar-SA"/>
        </w:rPr>
        <w:t>4036608158</w:t>
      </w:r>
      <w:r>
        <w:rPr>
          <w:rFonts w:eastAsia="Calibri" w:cs="Arial" w:ascii="Arial" w:hAnsi="Arial"/>
          <w:bCs/>
          <w:color w:val="auto"/>
          <w:kern w:val="2"/>
          <w:sz w:val="20"/>
          <w:szCs w:val="20"/>
          <w:lang w:val="pt-BR" w:eastAsia="zh-CN" w:bidi="ar-SA"/>
        </w:rPr>
        <w:t>.</w:t>
      </w:r>
    </w:p>
    <w:p>
      <w:pPr>
        <w:pStyle w:val="Corpodotexto"/>
        <w:spacing w:lineRule="auto" w:line="360" w:before="113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360" w:before="113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889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8895"/>
      </w:tblGrid>
      <w:tr>
        <w:trPr>
          <w:trHeight w:val="120" w:hRule="atLeast"/>
        </w:trPr>
        <w:tc>
          <w:tcPr>
            <w:tcW w:w="8895" w:type="dxa"/>
            <w:tcBorders/>
            <w:shd w:color="auto" w:fill="C7E4F8" w:val="clear"/>
          </w:tcPr>
          <w:p>
            <w:pPr>
              <w:pStyle w:val="Corpodotexto"/>
              <w:spacing w:lineRule="auto" w:line="360" w:before="57" w:after="57"/>
              <w:ind w:left="57" w:hanging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3 DO VALOR E CONDIÇÕES DE PAGAMENTO</w:t>
            </w:r>
          </w:p>
        </w:tc>
      </w:tr>
    </w:tbl>
    <w:p>
      <w:pPr>
        <w:pStyle w:val="Corpodotexto"/>
        <w:spacing w:lineRule="auto" w:line="360" w:before="113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 xml:space="preserve">3.1 </w:t>
      </w:r>
      <w:r>
        <w:rPr>
          <w:rFonts w:ascii="Arial" w:hAnsi="Arial"/>
          <w:color w:val="000000"/>
          <w:sz w:val="20"/>
          <w:szCs w:val="20"/>
        </w:rPr>
        <w:t>O valor estimado a ser pago mensalmente a empresa corresponderá a demanda do órgão</w:t>
      </w:r>
      <w:r>
        <w:rPr>
          <w:rFonts w:eastAsia="Calibri" w:cs="" w:ascii="Arial" w:hAnsi="Arial"/>
          <w:color w:val="000000"/>
          <w:kern w:val="0"/>
          <w:sz w:val="20"/>
          <w:szCs w:val="20"/>
          <w:lang w:val="pt-BR" w:eastAsia="en-US" w:bidi="ar-SA"/>
        </w:rPr>
        <w:t>;</w:t>
      </w:r>
    </w:p>
    <w:p>
      <w:pPr>
        <w:pStyle w:val="Corpodotexto"/>
        <w:spacing w:lineRule="auto" w:line="360" w:before="0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 xml:space="preserve">3.2 </w:t>
      </w:r>
      <w:r>
        <w:rPr>
          <w:rStyle w:val="Strong"/>
          <w:rFonts w:ascii="Arial" w:hAnsi="Arial"/>
          <w:b w:val="false"/>
          <w:bCs w:val="false"/>
          <w:color w:val="000000"/>
          <w:sz w:val="20"/>
          <w:szCs w:val="20"/>
          <w:highlight w:val="white"/>
        </w:rPr>
        <w:t>O pagamento será realizado em até 30 (trinta) dias corridos, mediante apresentação de Nota Fiscal,</w:t>
      </w:r>
      <w:r>
        <w:rPr>
          <w:rStyle w:val="Strong"/>
          <w:rFonts w:ascii="Arial" w:hAnsi="Arial"/>
          <w:b w:val="false"/>
          <w:bCs w:val="false"/>
          <w:color w:val="000000"/>
          <w:spacing w:val="-1"/>
          <w:sz w:val="20"/>
          <w:szCs w:val="20"/>
          <w:highlight w:val="white"/>
        </w:rPr>
        <w:t xml:space="preserve"> </w:t>
      </w:r>
      <w:r>
        <w:rPr>
          <w:rStyle w:val="Strong"/>
          <w:rFonts w:ascii="Arial" w:hAnsi="Arial"/>
          <w:b w:val="false"/>
          <w:bCs w:val="false"/>
          <w:color w:val="000000"/>
          <w:sz w:val="20"/>
          <w:szCs w:val="20"/>
          <w:highlight w:val="white"/>
        </w:rPr>
        <w:t>com</w:t>
      </w:r>
      <w:r>
        <w:rPr>
          <w:rStyle w:val="Strong"/>
          <w:rFonts w:ascii="Arial" w:hAnsi="Arial"/>
          <w:b w:val="false"/>
          <w:bCs w:val="false"/>
          <w:color w:val="000000"/>
          <w:spacing w:val="-2"/>
          <w:sz w:val="20"/>
          <w:szCs w:val="20"/>
          <w:highlight w:val="white"/>
        </w:rPr>
        <w:t xml:space="preserve"> </w:t>
      </w:r>
      <w:r>
        <w:rPr>
          <w:rStyle w:val="Strong"/>
          <w:rFonts w:ascii="Arial" w:hAnsi="Arial"/>
          <w:b w:val="false"/>
          <w:bCs w:val="false"/>
          <w:color w:val="000000"/>
          <w:sz w:val="20"/>
          <w:szCs w:val="20"/>
          <w:highlight w:val="white"/>
        </w:rPr>
        <w:t>a</w:t>
      </w:r>
      <w:r>
        <w:rPr>
          <w:rStyle w:val="Strong"/>
          <w:rFonts w:ascii="Arial" w:hAnsi="Arial"/>
          <w:b w:val="false"/>
          <w:bCs w:val="false"/>
          <w:color w:val="000000"/>
          <w:spacing w:val="-1"/>
          <w:sz w:val="20"/>
          <w:szCs w:val="20"/>
          <w:highlight w:val="white"/>
        </w:rPr>
        <w:t xml:space="preserve"> </w:t>
      </w:r>
      <w:r>
        <w:rPr>
          <w:rStyle w:val="Strong"/>
          <w:rFonts w:ascii="Arial" w:hAnsi="Arial"/>
          <w:b w:val="false"/>
          <w:bCs w:val="false"/>
          <w:color w:val="000000"/>
          <w:sz w:val="20"/>
          <w:szCs w:val="20"/>
          <w:highlight w:val="white"/>
        </w:rPr>
        <w:t>validação</w:t>
      </w:r>
      <w:r>
        <w:rPr>
          <w:rStyle w:val="Strong"/>
          <w:rFonts w:ascii="Arial" w:hAnsi="Arial"/>
          <w:b w:val="false"/>
          <w:bCs w:val="false"/>
          <w:color w:val="000000"/>
          <w:spacing w:val="-1"/>
          <w:sz w:val="20"/>
          <w:szCs w:val="20"/>
          <w:highlight w:val="white"/>
        </w:rPr>
        <w:t xml:space="preserve"> </w:t>
      </w:r>
      <w:r>
        <w:rPr>
          <w:rStyle w:val="Strong"/>
          <w:rFonts w:ascii="Arial" w:hAnsi="Arial"/>
          <w:b w:val="false"/>
          <w:bCs w:val="false"/>
          <w:color w:val="000000"/>
          <w:sz w:val="20"/>
          <w:szCs w:val="20"/>
          <w:highlight w:val="white"/>
        </w:rPr>
        <w:t>das</w:t>
      </w:r>
      <w:r>
        <w:rPr>
          <w:rStyle w:val="Strong"/>
          <w:rFonts w:ascii="Arial" w:hAnsi="Arial"/>
          <w:b w:val="false"/>
          <w:bCs w:val="false"/>
          <w:color w:val="000000"/>
          <w:spacing w:val="-1"/>
          <w:sz w:val="20"/>
          <w:szCs w:val="20"/>
          <w:highlight w:val="white"/>
        </w:rPr>
        <w:t xml:space="preserve"> </w:t>
      </w:r>
      <w:r>
        <w:rPr>
          <w:rStyle w:val="Strong"/>
          <w:rFonts w:ascii="Arial" w:hAnsi="Arial"/>
          <w:b w:val="false"/>
          <w:bCs w:val="false"/>
          <w:color w:val="000000"/>
          <w:sz w:val="20"/>
          <w:szCs w:val="20"/>
          <w:highlight w:val="white"/>
        </w:rPr>
        <w:t>informações pelo Fiscal do Contrato.</w:t>
      </w:r>
    </w:p>
    <w:p>
      <w:pPr>
        <w:pStyle w:val="Normal"/>
        <w:tabs>
          <w:tab w:val="clear" w:pos="720"/>
          <w:tab w:val="left" w:pos="741" w:leader="none"/>
        </w:tabs>
        <w:spacing w:lineRule="auto" w:line="360" w:before="0" w:after="0"/>
        <w:jc w:val="both"/>
        <w:rPr/>
      </w:pPr>
      <w:r>
        <w:rPr>
          <w:rStyle w:val="Strong"/>
          <w:rFonts w:ascii="Arial" w:hAnsi="Arial"/>
          <w:b/>
          <w:bCs/>
          <w:color w:val="000000"/>
          <w:sz w:val="20"/>
          <w:szCs w:val="20"/>
          <w:highlight w:val="white"/>
        </w:rPr>
        <w:t xml:space="preserve">3.3 </w:t>
      </w:r>
      <w:r>
        <w:rPr>
          <w:rFonts w:ascii="Arial" w:hAnsi="Arial"/>
          <w:color w:val="000000"/>
          <w:sz w:val="20"/>
          <w:szCs w:val="20"/>
        </w:rPr>
        <w:t>A nota fiscal ou boleto emitido pelo fornecedor deverá conter, em local de fácil visualização, a indicação do nº do processo, a descrição dos serviços realizados no mês;</w:t>
      </w:r>
    </w:p>
    <w:p>
      <w:pPr>
        <w:pStyle w:val="Corpodotexto"/>
        <w:spacing w:lineRule="auto" w:line="360" w:before="0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 xml:space="preserve">3.4 </w:t>
      </w:r>
      <w:r>
        <w:rPr>
          <w:rFonts w:ascii="Arial" w:hAnsi="Arial"/>
          <w:color w:val="000000"/>
          <w:sz w:val="20"/>
          <w:szCs w:val="20"/>
        </w:rPr>
        <w:t>Ocorrendo atraso no p</w:t>
      </w:r>
      <w:r>
        <w:rPr>
          <w:rFonts w:eastAsia="Calibri" w:ascii="Arial" w:hAnsi="Arial"/>
          <w:color w:val="000000"/>
          <w:sz w:val="20"/>
          <w:szCs w:val="20"/>
        </w:rPr>
        <w:t xml:space="preserve">agamento, os valores serão corrigidos monetariamente </w:t>
      </w:r>
      <w:bookmarkStart w:id="0" w:name="__DdeLink__313_3322236571"/>
      <w:r>
        <w:rPr>
          <w:rFonts w:eastAsia="Calibri" w:ascii="Arial" w:hAnsi="Arial"/>
          <w:color w:val="000000"/>
          <w:sz w:val="20"/>
          <w:szCs w:val="20"/>
        </w:rPr>
        <w:t>pelo IPCA - Índice Nacional de Preços ao Consumidor Amplo - (IBGE) do período</w:t>
      </w:r>
      <w:bookmarkEnd w:id="0"/>
      <w:r>
        <w:rPr>
          <w:rFonts w:eastAsia="Calibri" w:ascii="Arial" w:hAnsi="Arial"/>
          <w:color w:val="000000"/>
          <w:sz w:val="20"/>
          <w:szCs w:val="20"/>
        </w:rPr>
        <w:t>, ou outro índice que vier a substituí-lo, e a Administração compensará a contra</w:t>
      </w:r>
      <w:r>
        <w:rPr>
          <w:rFonts w:ascii="Arial" w:hAnsi="Arial"/>
          <w:color w:val="000000"/>
          <w:sz w:val="20"/>
          <w:szCs w:val="20"/>
        </w:rPr>
        <w:t>tada com juros de 0,5% ao mês, pro rata;</w:t>
      </w:r>
    </w:p>
    <w:p>
      <w:pPr>
        <w:pStyle w:val="Corpodotexto"/>
        <w:spacing w:lineRule="auto" w:line="360" w:before="0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 xml:space="preserve">3.5 </w:t>
      </w:r>
      <w:r>
        <w:rPr>
          <w:rFonts w:ascii="Arial" w:hAnsi="Arial"/>
          <w:color w:val="000000"/>
          <w:sz w:val="20"/>
          <w:szCs w:val="20"/>
        </w:rPr>
        <w:t>Serão processadas as retenções previdenciárias nos termos da legislação que regula a matéria.</w:t>
      </w:r>
    </w:p>
    <w:p>
      <w:pPr>
        <w:pStyle w:val="Corpodotexto"/>
        <w:spacing w:lineRule="auto" w:line="360" w:before="0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 xml:space="preserve">3.6 </w:t>
      </w:r>
      <w:r>
        <w:rPr>
          <w:rFonts w:ascii="Arial" w:hAnsi="Arial"/>
          <w:color w:val="000000"/>
          <w:sz w:val="20"/>
          <w:szCs w:val="20"/>
        </w:rPr>
        <w:t>O reajuste da mensalidade, na hipótese de prorrogação, será igual à variação do</w:t>
      </w:r>
      <w:r>
        <w:rPr>
          <w:rFonts w:eastAsia="Calibri" w:ascii="Arial" w:hAnsi="Arial"/>
          <w:color w:val="000000"/>
          <w:sz w:val="20"/>
          <w:szCs w:val="20"/>
        </w:rPr>
        <w:t xml:space="preserve"> IPCA - Índice Nacional de Preços ao Consumidor Amplo - (IBGE) do período</w:t>
      </w:r>
      <w:r>
        <w:rPr>
          <w:rFonts w:ascii="Arial" w:hAnsi="Arial"/>
          <w:color w:val="000000"/>
          <w:sz w:val="20"/>
          <w:szCs w:val="20"/>
        </w:rPr>
        <w:t>. Na falta do IPCA será adotado outro indexador que espelhe a perda do valor aquisitivo da moeda nacional;</w:t>
      </w:r>
    </w:p>
    <w:p>
      <w:pPr>
        <w:pStyle w:val="Corpodotexto"/>
        <w:spacing w:lineRule="auto" w:line="36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</w:r>
    </w:p>
    <w:tbl>
      <w:tblPr>
        <w:tblW w:w="885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8850"/>
      </w:tblGrid>
      <w:tr>
        <w:trPr>
          <w:trHeight w:val="120" w:hRule="atLeast"/>
        </w:trPr>
        <w:tc>
          <w:tcPr>
            <w:tcW w:w="8850" w:type="dxa"/>
            <w:tcBorders/>
            <w:shd w:color="auto" w:fill="C7E4F8" w:val="clear"/>
          </w:tcPr>
          <w:p>
            <w:pPr>
              <w:pStyle w:val="Corpodotexto"/>
              <w:spacing w:lineRule="auto" w:line="360" w:before="57" w:after="57"/>
              <w:ind w:left="57" w:hanging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4 DO ORÇAMENTO</w:t>
            </w:r>
          </w:p>
        </w:tc>
      </w:tr>
    </w:tbl>
    <w:p>
      <w:pPr>
        <w:pStyle w:val="Corpodotexto"/>
        <w:spacing w:lineRule="auto" w:line="360" w:before="113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>4.1</w:t>
      </w:r>
      <w:r>
        <w:rPr>
          <w:rFonts w:ascii="Arial" w:hAnsi="Arial"/>
          <w:color w:val="000000"/>
          <w:sz w:val="20"/>
          <w:szCs w:val="20"/>
        </w:rPr>
        <w:t xml:space="preserve"> As despesas decorrentes deste processo serão por conta da seguinte dotação orçamentária:</w:t>
      </w:r>
    </w:p>
    <w:tbl>
      <w:tblPr>
        <w:tblW w:w="8895" w:type="dxa"/>
        <w:jc w:val="left"/>
        <w:tblInd w:w="39" w:type="dxa"/>
        <w:tblCellMar>
          <w:top w:w="0" w:type="dxa"/>
          <w:left w:w="0" w:type="dxa"/>
          <w:bottom w:w="90" w:type="dxa"/>
          <w:right w:w="0" w:type="dxa"/>
        </w:tblCellMar>
      </w:tblPr>
      <w:tblGrid>
        <w:gridCol w:w="507"/>
        <w:gridCol w:w="659"/>
        <w:gridCol w:w="823"/>
        <w:gridCol w:w="389"/>
        <w:gridCol w:w="660"/>
        <w:gridCol w:w="4"/>
        <w:gridCol w:w="955"/>
        <w:gridCol w:w="1379"/>
        <w:gridCol w:w="6"/>
        <w:gridCol w:w="818"/>
        <w:gridCol w:w="5"/>
        <w:gridCol w:w="1028"/>
        <w:gridCol w:w="7"/>
        <w:gridCol w:w="1654"/>
      </w:tblGrid>
      <w:tr>
        <w:trPr/>
        <w:tc>
          <w:tcPr>
            <w:tcW w:w="3042" w:type="dxa"/>
            <w:gridSpan w:val="6"/>
            <w:tcBorders>
              <w:bottom w:val="single" w:sz="2" w:space="0" w:color="DDDDDD"/>
            </w:tcBorders>
            <w:shd w:fill="FFFFFF" w:val="clear"/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Style w:val="Nfaseforte"/>
                <w:rFonts w:ascii="Arial" w:hAnsi="Arial"/>
                <w:b/>
                <w:sz w:val="20"/>
                <w:szCs w:val="20"/>
                <w:lang w:val="pt-BR"/>
              </w:rPr>
              <w:t>Classificação Funcional Programática</w:t>
            </w:r>
          </w:p>
        </w:tc>
        <w:tc>
          <w:tcPr>
            <w:tcW w:w="2340" w:type="dxa"/>
            <w:gridSpan w:val="3"/>
            <w:tcBorders>
              <w:bottom w:val="single" w:sz="2" w:space="0" w:color="DDDDDD"/>
            </w:tcBorders>
            <w:shd w:fill="FFFFFF" w:val="clear"/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Style w:val="Nfaseforte"/>
                <w:rFonts w:ascii="Arial" w:hAnsi="Arial"/>
                <w:b/>
                <w:sz w:val="20"/>
                <w:szCs w:val="20"/>
                <w:lang w:val="pt-BR"/>
              </w:rPr>
              <w:t>Atividade/Projeto/Elemento de Despesa</w:t>
            </w:r>
          </w:p>
        </w:tc>
        <w:tc>
          <w:tcPr>
            <w:tcW w:w="823" w:type="dxa"/>
            <w:gridSpan w:val="2"/>
            <w:tcBorders>
              <w:bottom w:val="single" w:sz="2" w:space="0" w:color="DDDDDD"/>
            </w:tcBorders>
            <w:shd w:fill="FFFFFF" w:val="clear"/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Style w:val="Nfaseforte"/>
                <w:rFonts w:ascii="Arial" w:hAnsi="Arial"/>
                <w:b/>
                <w:sz w:val="20"/>
                <w:szCs w:val="20"/>
                <w:lang w:val="pt-BR"/>
              </w:rPr>
              <w:t>Fonte</w:t>
            </w:r>
          </w:p>
        </w:tc>
        <w:tc>
          <w:tcPr>
            <w:tcW w:w="1035" w:type="dxa"/>
            <w:gridSpan w:val="2"/>
            <w:tcBorders>
              <w:bottom w:val="single" w:sz="2" w:space="0" w:color="DDDDDD"/>
            </w:tcBorders>
            <w:shd w:fill="FFFFFF" w:val="clear"/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Style w:val="Nfaseforte"/>
                <w:rFonts w:ascii="Arial" w:hAnsi="Arial"/>
                <w:b/>
                <w:sz w:val="20"/>
                <w:szCs w:val="20"/>
                <w:lang w:val="pt-BR"/>
              </w:rPr>
              <w:t>Conta reduzida</w:t>
            </w:r>
          </w:p>
        </w:tc>
        <w:tc>
          <w:tcPr>
            <w:tcW w:w="1654" w:type="dxa"/>
            <w:tcBorders>
              <w:bottom w:val="single" w:sz="2" w:space="0" w:color="DDDDDD"/>
            </w:tcBorders>
            <w:shd w:fill="FFFFFF" w:val="clear"/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Style w:val="Nfaseforte"/>
                <w:rFonts w:ascii="Arial" w:hAnsi="Arial"/>
                <w:b/>
                <w:sz w:val="20"/>
                <w:szCs w:val="20"/>
                <w:lang w:val="pt-BR"/>
              </w:rPr>
              <w:t>Bloqueio - valor máximo R$</w:t>
            </w:r>
          </w:p>
        </w:tc>
      </w:tr>
      <w:tr>
        <w:trPr/>
        <w:tc>
          <w:tcPr>
            <w:tcW w:w="507" w:type="dxa"/>
            <w:tcBorders/>
            <w:shd w:fill="FFFFFF" w:val="clear"/>
            <w:tcMar>
              <w:bottom w:w="0" w:type="dxa"/>
            </w:tcMar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  <w:lang w:val="pt-BR"/>
              </w:rPr>
              <w:t>10</w:t>
            </w:r>
          </w:p>
        </w:tc>
        <w:tc>
          <w:tcPr>
            <w:tcW w:w="659" w:type="dxa"/>
            <w:tcBorders/>
            <w:shd w:fill="FFFFFF" w:val="clear"/>
            <w:tcMar>
              <w:bottom w:w="0" w:type="dxa"/>
            </w:tcMar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  <w:lang w:val="pt-BR"/>
              </w:rPr>
              <w:t>122</w:t>
            </w:r>
          </w:p>
        </w:tc>
        <w:tc>
          <w:tcPr>
            <w:tcW w:w="823" w:type="dxa"/>
            <w:tcBorders/>
            <w:shd w:fill="FFFFFF" w:val="clear"/>
            <w:tcMar>
              <w:bottom w:w="0" w:type="dxa"/>
            </w:tcMar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  <w:lang w:val="pt-BR"/>
              </w:rPr>
              <w:t>3010</w:t>
            </w:r>
          </w:p>
        </w:tc>
        <w:tc>
          <w:tcPr>
            <w:tcW w:w="389" w:type="dxa"/>
            <w:tcBorders/>
            <w:shd w:fill="FFFFFF" w:val="clear"/>
            <w:tcMar>
              <w:bottom w:w="0" w:type="dxa"/>
            </w:tcMar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  <w:lang w:val="pt-BR"/>
              </w:rPr>
              <w:t>2</w:t>
            </w:r>
          </w:p>
        </w:tc>
        <w:tc>
          <w:tcPr>
            <w:tcW w:w="660" w:type="dxa"/>
            <w:tcBorders/>
            <w:shd w:fill="FFFFFF" w:val="clear"/>
            <w:tcMar>
              <w:bottom w:w="0" w:type="dxa"/>
            </w:tcMar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  <w:lang w:val="pt-BR"/>
              </w:rPr>
              <w:t>002</w:t>
            </w:r>
          </w:p>
        </w:tc>
        <w:tc>
          <w:tcPr>
            <w:tcW w:w="959" w:type="dxa"/>
            <w:gridSpan w:val="2"/>
            <w:tcBorders/>
            <w:shd w:fill="FFFFFF" w:val="clear"/>
            <w:tcMar>
              <w:bottom w:w="0" w:type="dxa"/>
            </w:tcMar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  <w:lang w:val="pt-BR"/>
              </w:rPr>
              <w:t>2002</w:t>
            </w:r>
          </w:p>
        </w:tc>
        <w:tc>
          <w:tcPr>
            <w:tcW w:w="1379" w:type="dxa"/>
            <w:tcBorders/>
            <w:shd w:fill="FFFFFF" w:val="clear"/>
            <w:tcMar>
              <w:bottom w:w="0" w:type="dxa"/>
            </w:tcMar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  <w:lang w:val="pt-BR"/>
              </w:rPr>
              <w:t>3.3.90.40</w:t>
            </w:r>
          </w:p>
        </w:tc>
        <w:tc>
          <w:tcPr>
            <w:tcW w:w="824" w:type="dxa"/>
            <w:gridSpan w:val="2"/>
            <w:tcBorders/>
            <w:shd w:fill="FFFFFF" w:val="clear"/>
            <w:tcMar>
              <w:bottom w:w="0" w:type="dxa"/>
            </w:tcMar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  <w:lang w:val="pt-BR"/>
              </w:rPr>
              <w:t>001</w:t>
            </w:r>
          </w:p>
        </w:tc>
        <w:tc>
          <w:tcPr>
            <w:tcW w:w="1033" w:type="dxa"/>
            <w:gridSpan w:val="2"/>
            <w:tcBorders/>
            <w:shd w:fill="FFFFFF" w:val="clear"/>
            <w:tcMar>
              <w:bottom w:w="0" w:type="dxa"/>
            </w:tcMar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356</w:t>
            </w:r>
          </w:p>
        </w:tc>
        <w:tc>
          <w:tcPr>
            <w:tcW w:w="1661" w:type="dxa"/>
            <w:gridSpan w:val="2"/>
            <w:tcBorders/>
            <w:shd w:fill="FFFFFF" w:val="clear"/>
            <w:tcMar>
              <w:bottom w:w="0" w:type="dxa"/>
            </w:tcMar>
            <w:vAlign w:val="center"/>
          </w:tcPr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  <w:lang w:val="pt-BR"/>
              </w:rPr>
              <w:t xml:space="preserve">3.840,00 </w:t>
            </w:r>
          </w:p>
          <w:p>
            <w:pPr>
              <w:pStyle w:val="Contedodatabela"/>
              <w:spacing w:lineRule="atLeast" w:line="270" w:before="0" w:after="0"/>
              <w:ind w:left="0" w:right="0" w:hanging="0"/>
              <w:jc w:val="center"/>
              <w:rPr/>
            </w:pPr>
            <w:r>
              <w:rPr>
                <w:rFonts w:ascii="Arial" w:hAnsi="Arial"/>
                <w:sz w:val="20"/>
                <w:szCs w:val="20"/>
                <w:lang w:val="pt-BR"/>
              </w:rPr>
              <w:t>(12 meses)</w:t>
            </w:r>
          </w:p>
        </w:tc>
      </w:tr>
    </w:tbl>
    <w:p>
      <w:pPr>
        <w:pStyle w:val="Normal"/>
        <w:rPr/>
      </w:pPr>
      <w:r>
        <w:rPr/>
      </w:r>
    </w:p>
    <w:tbl>
      <w:tblPr>
        <w:tblW w:w="889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8895"/>
      </w:tblGrid>
      <w:tr>
        <w:trPr>
          <w:trHeight w:val="120" w:hRule="atLeast"/>
        </w:trPr>
        <w:tc>
          <w:tcPr>
            <w:tcW w:w="8895" w:type="dxa"/>
            <w:tcBorders/>
            <w:shd w:color="auto" w:fill="C7E4F8" w:val="clear"/>
          </w:tcPr>
          <w:p>
            <w:pPr>
              <w:pStyle w:val="Corpodotexto"/>
              <w:spacing w:lineRule="auto" w:line="360" w:before="57" w:after="57"/>
              <w:ind w:left="57" w:hanging="0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5 DA JUSTIFICATIVA</w:t>
            </w:r>
          </w:p>
        </w:tc>
      </w:tr>
    </w:tbl>
    <w:p>
      <w:pPr>
        <w:pStyle w:val="Corpodotexto"/>
        <w:spacing w:lineRule="auto" w:line="360" w:before="113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>5.1</w:t>
      </w:r>
      <w:r>
        <w:rPr>
          <w:rFonts w:ascii="Arial" w:hAnsi="Arial"/>
          <w:color w:val="000000"/>
          <w:sz w:val="20"/>
          <w:szCs w:val="20"/>
        </w:rPr>
        <w:t xml:space="preserve"> </w:t>
      </w:r>
      <w:bookmarkStart w:id="1" w:name="__DdeLink__147_1467226269"/>
      <w:r>
        <w:rPr>
          <w:rFonts w:ascii="Arial" w:hAnsi="Arial"/>
          <w:color w:val="000000"/>
          <w:sz w:val="20"/>
          <w:szCs w:val="20"/>
        </w:rPr>
        <w:t>Justifica-se a presente contratação em face da necessidade e do interesse público que</w:t>
      </w:r>
      <w:r>
        <w:rPr>
          <w:rFonts w:ascii="Arial" w:hAnsi="Arial"/>
          <w:sz w:val="20"/>
          <w:szCs w:val="20"/>
        </w:rPr>
        <w:t xml:space="preserve"> tem a CONTRATANTE</w:t>
      </w:r>
      <w:bookmarkEnd w:id="1"/>
      <w:r>
        <w:rPr>
          <w:rFonts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 xml:space="preserve">em garantir </w:t>
      </w:r>
      <w:r>
        <w:rPr>
          <w:rFonts w:eastAsia="Calibri" w:cs="Arial" w:ascii="Arial" w:hAnsi="Arial"/>
          <w:color w:val="00000A"/>
          <w:kern w:val="0"/>
          <w:sz w:val="20"/>
          <w:szCs w:val="20"/>
          <w:u w:val="none"/>
          <w:lang w:val="pt-BR" w:eastAsia="en-US" w:bidi="ar-SA"/>
        </w:rPr>
        <w:t xml:space="preserve">a prestação de </w:t>
      </w:r>
      <w:r>
        <w:rPr>
          <w:rFonts w:cs="Arial" w:ascii="Arial" w:hAnsi="Arial"/>
          <w:b/>
          <w:sz w:val="20"/>
          <w:szCs w:val="20"/>
          <w:u w:val="none"/>
        </w:rPr>
        <w:t>Serviços Técnicos Especializados para Manutenção do Parque Tecnológico do Consórcio ,</w:t>
      </w:r>
      <w:r>
        <w:rPr>
          <w:rFonts w:cs="Arial" w:ascii="Arial" w:hAnsi="Arial"/>
          <w:sz w:val="20"/>
          <w:szCs w:val="20"/>
          <w:u w:val="none"/>
        </w:rPr>
        <w:t xml:space="preserve"> para</w:t>
      </w:r>
      <w:r>
        <w:rPr>
          <w:rFonts w:cs="Arial" w:ascii="Arial" w:hAnsi="Arial"/>
          <w:spacing w:val="1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>atender</w:t>
      </w:r>
      <w:r>
        <w:rPr>
          <w:rFonts w:cs="Arial" w:ascii="Arial" w:hAnsi="Arial"/>
          <w:spacing w:val="1"/>
          <w:sz w:val="20"/>
          <w:szCs w:val="20"/>
          <w:u w:val="none"/>
        </w:rPr>
        <w:t xml:space="preserve"> as demandas do </w:t>
      </w:r>
      <w:r>
        <w:rPr>
          <w:rFonts w:eastAsia="Calibri" w:cs="Arial" w:ascii="Arial" w:hAnsi="Arial"/>
          <w:color w:val="00000A"/>
          <w:kern w:val="0"/>
          <w:sz w:val="20"/>
          <w:szCs w:val="20"/>
          <w:u w:val="none"/>
          <w:lang w:val="pt-BR" w:eastAsia="en-US" w:bidi="ar-SA"/>
        </w:rPr>
        <w:t>órgão</w:t>
      </w:r>
      <w:r>
        <w:rPr>
          <w:rFonts w:cs="Arial" w:ascii="Arial" w:hAnsi="Arial"/>
          <w:sz w:val="20"/>
          <w:szCs w:val="20"/>
          <w:u w:val="none"/>
        </w:rPr>
        <w:t>,</w:t>
      </w:r>
      <w:r>
        <w:rPr>
          <w:rFonts w:cs="Arial" w:ascii="Arial" w:hAnsi="Arial"/>
          <w:spacing w:val="1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>sendo</w:t>
      </w:r>
      <w:r>
        <w:rPr>
          <w:rFonts w:cs="Arial" w:ascii="Arial" w:hAnsi="Arial"/>
          <w:spacing w:val="1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>que</w:t>
      </w:r>
      <w:r>
        <w:rPr>
          <w:rFonts w:cs="Arial" w:ascii="Arial" w:hAnsi="Arial"/>
          <w:spacing w:val="1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>este</w:t>
      </w:r>
      <w:r>
        <w:rPr>
          <w:rFonts w:cs="Arial" w:ascii="Arial" w:hAnsi="Arial"/>
          <w:spacing w:val="1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>objeto</w:t>
      </w:r>
      <w:r>
        <w:rPr>
          <w:rFonts w:cs="Arial" w:ascii="Arial" w:hAnsi="Arial"/>
          <w:spacing w:val="1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>é</w:t>
      </w:r>
      <w:r>
        <w:rPr>
          <w:rFonts w:cs="Arial" w:ascii="Arial" w:hAnsi="Arial"/>
          <w:spacing w:val="1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>de</w:t>
      </w:r>
      <w:r>
        <w:rPr>
          <w:rFonts w:cs="Arial" w:ascii="Arial" w:hAnsi="Arial"/>
          <w:spacing w:val="1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>extrema</w:t>
      </w:r>
      <w:r>
        <w:rPr>
          <w:rFonts w:cs="Arial" w:ascii="Arial" w:hAnsi="Arial"/>
          <w:spacing w:val="1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>importância</w:t>
      </w:r>
      <w:r>
        <w:rPr>
          <w:rFonts w:cs="Arial" w:ascii="Arial" w:hAnsi="Arial"/>
          <w:spacing w:val="-3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>para a continuação e realização</w:t>
      </w:r>
      <w:r>
        <w:rPr>
          <w:rFonts w:cs="Arial" w:ascii="Arial" w:hAnsi="Arial"/>
          <w:spacing w:val="-2"/>
          <w:sz w:val="20"/>
          <w:szCs w:val="20"/>
          <w:u w:val="none"/>
        </w:rPr>
        <w:t xml:space="preserve"> </w:t>
      </w:r>
      <w:r>
        <w:rPr>
          <w:rFonts w:cs="Arial" w:ascii="Arial" w:hAnsi="Arial"/>
          <w:sz w:val="20"/>
          <w:szCs w:val="20"/>
          <w:u w:val="none"/>
        </w:rPr>
        <w:t xml:space="preserve">das atividades diárias e </w:t>
      </w:r>
      <w:r>
        <w:rPr>
          <w:rFonts w:ascii="Arial" w:hAnsi="Arial"/>
          <w:sz w:val="20"/>
          <w:szCs w:val="20"/>
        </w:rPr>
        <w:t>para atender as necessidades do órgão.</w:t>
      </w:r>
    </w:p>
    <w:p>
      <w:pPr>
        <w:pStyle w:val="Corpodotexto"/>
        <w:spacing w:lineRule="auto" w:line="360" w:before="113" w:after="0"/>
        <w:jc w:val="both"/>
        <w:rPr>
          <w:rFonts w:ascii="Arial" w:hAnsi="Arial"/>
          <w:sz w:val="12"/>
          <w:szCs w:val="12"/>
        </w:rPr>
      </w:pPr>
      <w:r>
        <w:rPr>
          <w:rFonts w:ascii="Arial" w:hAnsi="Arial"/>
          <w:sz w:val="12"/>
          <w:szCs w:val="12"/>
        </w:rPr>
      </w:r>
    </w:p>
    <w:tbl>
      <w:tblPr>
        <w:tblW w:w="889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8895"/>
      </w:tblGrid>
      <w:tr>
        <w:trPr>
          <w:trHeight w:val="120" w:hRule="atLeast"/>
        </w:trPr>
        <w:tc>
          <w:tcPr>
            <w:tcW w:w="8895" w:type="dxa"/>
            <w:tcBorders/>
            <w:shd w:color="auto" w:fill="C7E4F8" w:val="clear"/>
          </w:tcPr>
          <w:p>
            <w:pPr>
              <w:pStyle w:val="Corpodotexto"/>
              <w:spacing w:lineRule="auto" w:line="360" w:before="57" w:after="57"/>
              <w:ind w:hanging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 DA FUNDAMENTAÇÃO LEGAL</w:t>
            </w:r>
          </w:p>
        </w:tc>
      </w:tr>
    </w:tbl>
    <w:p>
      <w:pPr>
        <w:pStyle w:val="Corpodotexto"/>
        <w:spacing w:lineRule="auto" w:line="360" w:before="113" w:after="0"/>
        <w:jc w:val="both"/>
        <w:rPr/>
      </w:pPr>
      <w:r>
        <w:rPr>
          <w:rFonts w:ascii="Arial" w:hAnsi="Arial"/>
          <w:b/>
          <w:bCs/>
          <w:sz w:val="20"/>
          <w:szCs w:val="20"/>
        </w:rPr>
        <w:t xml:space="preserve">6.1 </w:t>
      </w:r>
      <w:r>
        <w:rPr>
          <w:rFonts w:ascii="Arial" w:hAnsi="Arial"/>
          <w:sz w:val="20"/>
          <w:szCs w:val="20"/>
        </w:rPr>
        <w:t xml:space="preserve">Por fim, com base no </w:t>
      </w:r>
      <w:r>
        <w:rPr>
          <w:rFonts w:eastAsia="Calibri" w:ascii="Arial" w:hAnsi="Arial"/>
          <w:sz w:val="20"/>
          <w:szCs w:val="20"/>
        </w:rPr>
        <w:t>A</w:t>
      </w:r>
      <w:r>
        <w:rPr>
          <w:rFonts w:ascii="Arial" w:hAnsi="Arial"/>
          <w:sz w:val="20"/>
          <w:szCs w:val="20"/>
        </w:rPr>
        <w:t xml:space="preserve">rtigo </w:t>
      </w:r>
      <w:r>
        <w:rPr>
          <w:rFonts w:eastAsia="Calibri" w:cs="" w:ascii="Arial" w:hAnsi="Arial"/>
          <w:color w:val="00000A"/>
          <w:kern w:val="0"/>
          <w:sz w:val="20"/>
          <w:szCs w:val="20"/>
          <w:lang w:val="pt-BR" w:eastAsia="en-US" w:bidi="ar-SA"/>
        </w:rPr>
        <w:t xml:space="preserve">75, </w:t>
      </w:r>
      <w:r>
        <w:rPr>
          <w:rFonts w:eastAsia="Calibri" w:cs="" w:ascii="Arial" w:hAnsi="Arial"/>
          <w:color w:val="00000A"/>
          <w:kern w:val="0"/>
          <w:sz w:val="20"/>
          <w:szCs w:val="20"/>
          <w:lang w:val="pt-BR" w:eastAsia="en-US" w:bidi="ar-SA"/>
        </w:rPr>
        <w:t>II</w:t>
      </w:r>
      <w:r>
        <w:rPr>
          <w:rFonts w:ascii="Arial" w:hAnsi="Arial"/>
          <w:sz w:val="20"/>
          <w:szCs w:val="20"/>
        </w:rPr>
        <w:t xml:space="preserve"> da Lei Federal </w:t>
      </w:r>
      <w:r>
        <w:rPr>
          <w:rFonts w:eastAsia="Calibri" w:cs="" w:ascii="Arial" w:hAnsi="Arial"/>
          <w:color w:val="00000A"/>
          <w:kern w:val="0"/>
          <w:sz w:val="20"/>
          <w:szCs w:val="20"/>
          <w:lang w:val="pt-BR" w:eastAsia="en-US" w:bidi="ar-SA"/>
        </w:rPr>
        <w:t>14.133/2021</w:t>
      </w:r>
      <w:r>
        <w:rPr>
          <w:rFonts w:ascii="Arial" w:hAnsi="Arial"/>
          <w:sz w:val="20"/>
          <w:szCs w:val="20"/>
        </w:rPr>
        <w:t>, RATIFICA-SE a presente DISPENSA</w:t>
      </w:r>
      <w:bookmarkStart w:id="2" w:name="__DdeLink__132_2002373367"/>
      <w:r>
        <w:rPr>
          <w:rFonts w:ascii="Arial" w:hAnsi="Arial"/>
          <w:sz w:val="20"/>
          <w:szCs w:val="20"/>
        </w:rPr>
        <w:t xml:space="preserve"> DE LICITAÇÃO</w:t>
      </w:r>
      <w:bookmarkEnd w:id="2"/>
      <w:r>
        <w:rPr>
          <w:rFonts w:ascii="Arial" w:hAnsi="Arial"/>
          <w:sz w:val="20"/>
          <w:szCs w:val="20"/>
        </w:rPr>
        <w:t>, para que produza os seus jurídicos e legais efeitos.</w:t>
      </w:r>
    </w:p>
    <w:p>
      <w:pPr>
        <w:pStyle w:val="Corpodotexto"/>
        <w:spacing w:lineRule="auto" w:line="360" w:before="0" w:after="0"/>
        <w:jc w:val="right"/>
        <w:rPr/>
      </w:pPr>
      <w:r>
        <w:rPr>
          <w:rFonts w:ascii="Arial" w:hAnsi="Arial"/>
          <w:sz w:val="20"/>
          <w:szCs w:val="20"/>
        </w:rPr>
        <w:t xml:space="preserve">Santa Maria/RS, </w:t>
      </w:r>
      <w:r>
        <w:rPr>
          <w:rFonts w:eastAsia="Calibri" w:cs="" w:ascii="Arial" w:hAnsi="Arial"/>
          <w:color w:val="00000A"/>
          <w:kern w:val="0"/>
          <w:sz w:val="20"/>
          <w:szCs w:val="20"/>
          <w:lang w:val="pt-BR" w:eastAsia="en-US" w:bidi="ar-SA"/>
        </w:rPr>
        <w:t>10</w:t>
      </w:r>
      <w:r>
        <w:rPr>
          <w:rFonts w:ascii="Arial" w:hAnsi="Arial"/>
          <w:sz w:val="20"/>
          <w:szCs w:val="20"/>
        </w:rPr>
        <w:t xml:space="preserve"> de </w:t>
      </w:r>
      <w:r>
        <w:rPr>
          <w:rFonts w:eastAsia="Calibri" w:cs="" w:ascii="Arial" w:hAnsi="Arial"/>
          <w:color w:val="00000A"/>
          <w:kern w:val="0"/>
          <w:sz w:val="20"/>
          <w:szCs w:val="20"/>
          <w:lang w:val="pt-BR" w:eastAsia="en-US" w:bidi="ar-SA"/>
        </w:rPr>
        <w:t xml:space="preserve">julho </w:t>
      </w:r>
      <w:r>
        <w:rPr>
          <w:rFonts w:ascii="Arial" w:hAnsi="Arial"/>
          <w:sz w:val="20"/>
          <w:szCs w:val="20"/>
        </w:rPr>
        <w:t>de 2024.</w:t>
      </w:r>
    </w:p>
    <w:tbl>
      <w:tblPr>
        <w:tblW w:w="9071" w:type="dxa"/>
        <w:jc w:val="left"/>
        <w:tblInd w:w="54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535"/>
        <w:gridCol w:w="4535"/>
      </w:tblGrid>
      <w:tr>
        <w:trPr/>
        <w:tc>
          <w:tcPr>
            <w:tcW w:w="4535" w:type="dxa"/>
            <w:tcBorders/>
            <w:shd w:color="auto"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76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JOCELVIO GONÇALVES CARDOSO</w:t>
            </w:r>
          </w:p>
          <w:p>
            <w:pPr>
              <w:pStyle w:val="Normal"/>
              <w:spacing w:lineRule="auto" w:line="276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Presidente</w:t>
            </w:r>
            <w:bookmarkStart w:id="3" w:name="__DdeLink__372_2399479761"/>
            <w:bookmarkEnd w:id="3"/>
          </w:p>
        </w:tc>
        <w:tc>
          <w:tcPr>
            <w:tcW w:w="4535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JORGE LUIZ CREMONESE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Coordenador Executivo</w:t>
            </w:r>
          </w:p>
        </w:tc>
      </w:tr>
      <w:tr>
        <w:trPr/>
        <w:tc>
          <w:tcPr>
            <w:tcW w:w="9070" w:type="dxa"/>
            <w:gridSpan w:val="2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b/>
                <w:bCs/>
                <w:color w:val="00000A"/>
                <w:kern w:val="0"/>
                <w:sz w:val="20"/>
                <w:szCs w:val="20"/>
                <w:lang w:val="pt-BR" w:eastAsia="en-US" w:bidi="ar-SA"/>
              </w:rPr>
              <w:t>ADILIO OLIVEIRA RIBEIRO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Assessor Jurídico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OAB/RS </w:t>
            </w:r>
            <w:r>
              <w:rPr>
                <w:rFonts w:eastAsia="Calibri" w:cs="Arial" w:ascii="Arial" w:hAnsi="Arial"/>
                <w:color w:val="00000A"/>
                <w:kern w:val="0"/>
                <w:sz w:val="20"/>
                <w:szCs w:val="20"/>
                <w:lang w:val="pt-BR" w:eastAsia="en-US" w:bidi="ar-SA"/>
              </w:rPr>
              <w:t>35.509</w:t>
            </w:r>
          </w:p>
        </w:tc>
      </w:tr>
    </w:tbl>
    <w:p>
      <w:pPr>
        <w:pStyle w:val="Normal"/>
        <w:spacing w:lineRule="auto" w:line="240" w:before="0" w:after="16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310" w:header="405" w:top="1485" w:footer="324" w:bottom="137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NewRomanPS-BoldM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tabs>
        <w:tab w:val="clear" w:pos="720"/>
        <w:tab w:val="left" w:pos="0" w:leader="none"/>
      </w:tabs>
      <w:jc w:val="center"/>
      <w:rPr/>
    </w:pPr>
    <w:r>
      <w:rPr>
        <w:sz w:val="16"/>
        <w:szCs w:val="16"/>
      </w:rPr>
      <w:fldChar w:fldCharType="begin"/>
    </w:r>
    <w:r>
      <w:rPr>
        <w:sz w:val="16"/>
        <w:szCs w:val="16"/>
      </w:rPr>
      <w:instrText> PAGE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2</w:t>
    </w:r>
    <w:r>
      <w:rPr>
        <w:sz w:val="16"/>
        <w:szCs w:val="16"/>
      </w:rPr>
      <w:fldChar w:fldCharType="end"/>
    </w:r>
  </w:p>
  <w:p>
    <w:pPr>
      <w:pStyle w:val="Standard"/>
      <w:tabs>
        <w:tab w:val="clear" w:pos="720"/>
        <w:tab w:val="left" w:pos="0" w:leader="none"/>
      </w:tabs>
      <w:jc w:val="center"/>
      <w:rPr/>
    </w:pPr>
    <w:r>
      <w:rPr>
        <w:rFonts w:eastAsia="Arial Unicode MS" w:cs="Times New Roman" w:ascii="Times New Roman" w:hAnsi="Times New Roman"/>
        <w:b/>
        <w:sz w:val="10"/>
        <w:szCs w:val="10"/>
      </w:rPr>
      <w:t>______________________________________________________________________________________________________________________________________________________________________________</w:t>
    </w:r>
  </w:p>
  <w:p>
    <w:pPr>
      <w:pStyle w:val="Standard"/>
      <w:tabs>
        <w:tab w:val="clear" w:pos="720"/>
        <w:tab w:val="left" w:pos="0" w:leader="none"/>
      </w:tabs>
      <w:jc w:val="center"/>
      <w:rPr>
        <w:rFonts w:ascii="Times New Roman" w:hAnsi="Times New Roman" w:eastAsia="Calibri" w:cs="TimesNewRomanPS-BoldMT"/>
        <w:b/>
        <w:b/>
        <w:bCs/>
        <w:color w:val="000081"/>
        <w:sz w:val="20"/>
        <w:szCs w:val="20"/>
        <w:lang w:eastAsia="en-US" w:bidi="ar-SA"/>
      </w:rPr>
    </w:pPr>
    <w:r>
      <w:rPr>
        <w:rFonts w:eastAsia="Calibri" w:cs="TimesNewRomanPS-BoldMT" w:ascii="Times New Roman" w:hAnsi="Times New Roman"/>
        <w:b/>
        <w:bCs/>
        <w:color w:val="000081"/>
        <w:sz w:val="20"/>
        <w:szCs w:val="20"/>
        <w:lang w:eastAsia="en-US" w:bidi="ar-SA"/>
      </w:rPr>
      <w:t>CNPJ: 94.446.804/0001-62 – Fone: (55) 3221-7441</w:t>
    </w:r>
  </w:p>
  <w:p>
    <w:pPr>
      <w:pStyle w:val="NoSpacing"/>
      <w:jc w:val="center"/>
      <w:rPr>
        <w:rFonts w:ascii="Times New Roman" w:hAnsi="Times New Roman" w:cs="Times New Roman"/>
        <w:b/>
        <w:b/>
        <w:sz w:val="20"/>
        <w:szCs w:val="20"/>
      </w:rPr>
    </w:pPr>
    <w:r>
      <w:rPr>
        <w:rFonts w:eastAsia="Calibri" w:cs="TimesNewRomanPS-BoldMT" w:ascii="Times New Roman" w:hAnsi="Times New Roman"/>
        <w:b/>
        <w:bCs/>
        <w:color w:val="000081"/>
        <w:sz w:val="20"/>
        <w:szCs w:val="20"/>
        <w:lang w:eastAsia="en-US"/>
      </w:rPr>
      <w:t>Endereço: Rua Lamartine Souza, 68 – N. S. de Lourdes - CEP: 97050-282 – Santa Maria – RS</w:t>
    </w:r>
  </w:p>
  <w:p>
    <w:pPr>
      <w:pStyle w:val="Standard"/>
      <w:tabs>
        <w:tab w:val="clear" w:pos="720"/>
        <w:tab w:val="left" w:pos="0" w:leader="none"/>
      </w:tabs>
      <w:spacing w:before="0" w:after="57"/>
      <w:jc w:val="center"/>
      <w:rPr>
        <w:rFonts w:ascii="Times New Roman" w:hAnsi="Times New Roman" w:eastAsia="Calibri" w:cs="TimesNewRomanPS-BoldMT"/>
        <w:b/>
        <w:b/>
        <w:bCs/>
        <w:color w:val="000081"/>
        <w:sz w:val="20"/>
        <w:szCs w:val="20"/>
        <w:lang w:eastAsia="en-US" w:bidi="ar-SA"/>
      </w:rPr>
    </w:pPr>
    <w:r>
      <w:rPr>
        <w:rFonts w:eastAsia="Calibri" w:cs="TimesNewRomanPS-BoldMT" w:ascii="Times New Roman" w:hAnsi="Times New Roman"/>
        <w:b/>
        <w:bCs/>
        <w:color w:val="000081"/>
        <w:sz w:val="20"/>
        <w:szCs w:val="20"/>
        <w:lang w:eastAsia="en-US" w:bidi="ar-SA"/>
      </w:rPr>
      <w:t>e-mail: licitacao@circ.rs.gov.br - site: www.circ.rs.gov.br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/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40005</wp:posOffset>
          </wp:positionH>
          <wp:positionV relativeFrom="paragraph">
            <wp:posOffset>-47625</wp:posOffset>
          </wp:positionV>
          <wp:extent cx="1350645" cy="5683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5064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TimesNewRomanPS-BoldMT" w:ascii="TimesNewRomanPS-BoldMT" w:hAnsi="TimesNewRomanPS-BoldMT"/>
        <w:b/>
        <w:bCs/>
        <w:color w:val="000081"/>
        <w:sz w:val="28"/>
        <w:szCs w:val="28"/>
      </w:rPr>
      <w:tab/>
    </w:r>
    <w:r>
      <w:rPr>
        <w:rFonts w:cs="TimesNewRomanPS-BoldMT" w:ascii="TimesNewRomanPS-BoldMT" w:hAnsi="TimesNewRomanPS-BoldMT"/>
        <w:b/>
        <w:bCs/>
        <w:color w:val="000081"/>
        <w:sz w:val="28"/>
        <w:szCs w:val="28"/>
      </w:rPr>
      <w:tab/>
    </w:r>
    <w:r>
      <w:rPr>
        <w:rFonts w:cs="TimesNewRomanPS-BoldMT" w:ascii="Times New Roman" w:hAnsi="Times New Roman"/>
        <w:b/>
        <w:bCs/>
        <w:color w:val="000081"/>
        <w:sz w:val="32"/>
        <w:szCs w:val="32"/>
      </w:rPr>
      <w:t xml:space="preserve">        </w:t>
    </w:r>
    <w:r>
      <w:rPr>
        <w:rFonts w:cs="TimesNewRomanPS-BoldMT" w:ascii="Times New Roman" w:hAnsi="Times New Roman"/>
        <w:b/>
        <w:bCs/>
        <w:color w:val="000081"/>
        <w:sz w:val="30"/>
        <w:szCs w:val="30"/>
      </w:rPr>
      <w:t xml:space="preserve">CONSÓRCIO INTERMUNICIPAL DA REGIÃO </w:t>
    </w:r>
  </w:p>
  <w:p>
    <w:pPr>
      <w:pStyle w:val="Normal"/>
      <w:spacing w:lineRule="auto" w:line="240" w:before="0" w:after="0"/>
      <w:jc w:val="center"/>
      <w:rPr/>
    </w:pPr>
    <w:r>
      <w:rPr>
        <w:rFonts w:cs="TimesNewRomanPS-BoldMT" w:ascii="Times New Roman" w:hAnsi="Times New Roman"/>
        <w:b/>
        <w:bCs/>
        <w:color w:val="000081"/>
        <w:sz w:val="30"/>
        <w:szCs w:val="30"/>
      </w:rPr>
      <w:tab/>
      <w:tab/>
      <w:t xml:space="preserve">         CENTRO DO ESTADO/RS – CI/CENTR</w:t>
    </w:r>
    <w:r>
      <w:rPr>
        <w:rFonts w:cs="TimesNewRomanPS-BoldMT" w:ascii="TimesNewRomanPS-BoldMT" w:hAnsi="TimesNewRomanPS-BoldMT"/>
        <w:b/>
        <w:bCs/>
        <w:color w:val="000081"/>
        <w:sz w:val="30"/>
        <w:szCs w:val="30"/>
      </w:rPr>
      <w:t>O</w:t>
    </w:r>
  </w:p>
  <w:p>
    <w:pPr>
      <w:pStyle w:val="Normal"/>
      <w:spacing w:lineRule="auto" w:line="240" w:before="0" w:after="0"/>
      <w:jc w:val="center"/>
      <w:rPr>
        <w:rFonts w:ascii="TimesNewRomanPS-BoldMT" w:hAnsi="TimesNewRomanPS-BoldMT" w:cs="TimesNewRomanPS-BoldMT"/>
        <w:b/>
        <w:b/>
        <w:bCs/>
        <w:color w:val="000081"/>
        <w:sz w:val="12"/>
        <w:szCs w:val="12"/>
      </w:rPr>
    </w:pPr>
    <w:r>
      <w:rPr>
        <w:rFonts w:cs="TimesNewRomanPS-BoldMT" w:ascii="TimesNewRomanPS-BoldMT" w:hAnsi="TimesNewRomanPS-BoldMT"/>
        <w:b/>
        <w:bCs/>
        <w:color w:val="000081"/>
        <w:sz w:val="12"/>
        <w:szCs w:val="12"/>
      </w:rPr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column">
                <wp:posOffset>0</wp:posOffset>
              </wp:positionH>
              <wp:positionV relativeFrom="paragraph">
                <wp:posOffset>63500</wp:posOffset>
              </wp:positionV>
              <wp:extent cx="5626735" cy="12700"/>
              <wp:effectExtent l="0" t="0" r="0" b="0"/>
              <wp:wrapNone/>
              <wp:docPr id="2" name="Form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26080" cy="10080"/>
                      </a:xfrm>
                      <a:prstGeom prst="line">
                        <a:avLst/>
                      </a:prstGeom>
                      <a:ln>
                        <a:solidFill>
                          <a:srgbClr val="3465a4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4.65pt" to="442.95pt,5.4pt" ID="Forma1" stroked="t" style="position:absolute">
              <v:stroke color="#3465a4" joinstyle="round" endcap="flat"/>
              <v:fill o:detectmouseclick="t" on="fals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60743"/>
    <w:pPr>
      <w:widowControl/>
      <w:bidi w:val="0"/>
      <w:spacing w:lineRule="auto" w:line="252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outlineLvl w:val="0"/>
    </w:pPr>
    <w:rPr/>
  </w:style>
  <w:style w:type="paragraph" w:styleId="Ttulo2">
    <w:name w:val="Heading 2"/>
    <w:basedOn w:val="Normal"/>
    <w:qFormat/>
    <w:pPr>
      <w:outlineLvl w:val="1"/>
    </w:pPr>
    <w:rPr/>
  </w:style>
  <w:style w:type="paragraph" w:styleId="Ttulo3">
    <w:name w:val="Heading 3"/>
    <w:basedOn w:val="Normal"/>
    <w:qFormat/>
    <w:pPr>
      <w:outlineLvl w:val="2"/>
    </w:pPr>
    <w:rPr/>
  </w:style>
  <w:style w:type="character" w:styleId="DefaultParagraphFont" w:default="1">
    <w:name w:val="Default Paragraph Font"/>
    <w:uiPriority w:val="1"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b60743"/>
    <w:rPr/>
  </w:style>
  <w:style w:type="character" w:styleId="RodapChar" w:customStyle="1">
    <w:name w:val="Rodapé Char"/>
    <w:basedOn w:val="DefaultParagraphFont"/>
    <w:link w:val="Rodap"/>
    <w:uiPriority w:val="99"/>
    <w:qFormat/>
    <w:rsid w:val="00b60743"/>
    <w:rPr/>
  </w:style>
  <w:style w:type="character" w:styleId="LinkdaInternet" w:customStyle="1">
    <w:name w:val="Link da Internet"/>
    <w:basedOn w:val="DefaultParagraphFont"/>
    <w:uiPriority w:val="99"/>
    <w:unhideWhenUsed/>
    <w:qFormat/>
    <w:rsid w:val="00b60743"/>
    <w:rPr>
      <w:color w:val="0563C1" w:themeColor="hyperlink"/>
      <w:u w:val="single"/>
    </w:rPr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Smbolosdenumerao" w:customStyle="1">
    <w:name w:val="Símbolos de numeração"/>
    <w:qFormat/>
    <w:rPr/>
  </w:style>
  <w:style w:type="character" w:styleId="Marcas" w:customStyle="1">
    <w:name w:val="Marcas"/>
    <w:qFormat/>
    <w:rPr>
      <w:rFonts w:ascii="OpenSymbol" w:hAnsi="OpenSymbol" w:eastAsia="OpenSymbol" w:cs="OpenSymbol"/>
    </w:rPr>
  </w:style>
  <w:style w:type="character" w:styleId="Strong">
    <w:name w:val="Strong"/>
    <w:qFormat/>
    <w:rPr>
      <w:rFonts w:ascii="Arial" w:hAnsi="Arial" w:eastAsia="Arial Unicode MS" w:cs="Arial"/>
      <w:b/>
      <w:bCs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qFormat/>
    <w:pPr>
      <w:spacing w:lineRule="auto" w:line="288" w:before="0" w:after="140"/>
    </w:pPr>
    <w:rPr/>
  </w:style>
  <w:style w:type="paragraph" w:styleId="Lista">
    <w:name w:val="List"/>
    <w:basedOn w:val="Normal"/>
    <w:pPr>
      <w:widowControl w:val="false"/>
    </w:pPr>
    <w:rPr>
      <w:rFonts w:cs="Mangal"/>
      <w:color w:val="auto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Corpodotexto"/>
    <w:qFormat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6074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b6074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b60743"/>
    <w:pPr>
      <w:spacing w:before="0" w:after="160"/>
      <w:ind w:left="720" w:hanging="0"/>
      <w:contextualSpacing/>
    </w:pPr>
    <w:rPr/>
  </w:style>
  <w:style w:type="paragraph" w:styleId="Citaes" w:customStyle="1">
    <w:name w:val="Citações"/>
    <w:basedOn w:val="Normal"/>
    <w:qFormat/>
    <w:pPr/>
    <w:rPr/>
  </w:style>
  <w:style w:type="paragraph" w:styleId="Subttulo">
    <w:name w:val="Subtitle"/>
    <w:basedOn w:val="Normal"/>
    <w:qFormat/>
    <w:pPr/>
    <w:rPr/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59"/>
      <w:jc w:val="left"/>
      <w:textAlignment w:val="baseline"/>
    </w:pPr>
    <w:rPr>
      <w:rFonts w:ascii="Liberation Serif;Times New Roma" w:hAnsi="Liberation Serif;Times New Roma" w:eastAsia="SimSun;宋体" w:cs="Mangal"/>
      <w:color w:val="00000A"/>
      <w:kern w:val="0"/>
      <w:sz w:val="24"/>
      <w:szCs w:val="24"/>
      <w:lang w:val="pt-BR" w:eastAsia="zh-C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59"/>
      <w:jc w:val="left"/>
      <w:textAlignment w:val="baseline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ar-SA"/>
    </w:rPr>
  </w:style>
  <w:style w:type="paragraph" w:styleId="Contedodatabela" w:customStyle="1">
    <w:name w:val="Conteúdo da tabela"/>
    <w:basedOn w:val="Normal"/>
    <w:qFormat/>
    <w:pPr/>
    <w:rPr/>
  </w:style>
  <w:style w:type="paragraph" w:styleId="Ttulodetabela" w:customStyle="1">
    <w:name w:val="Título de tabela"/>
    <w:basedOn w:val="Contedodatabela"/>
    <w:qFormat/>
    <w:pPr/>
    <w:rPr/>
  </w:style>
  <w:style w:type="paragraph" w:styleId="LONormal" w:customStyle="1">
    <w:name w:val="LO-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kern w:val="2"/>
      <w:sz w:val="22"/>
      <w:szCs w:val="22"/>
      <w:lang w:val="pt-BR" w:eastAsia="zh-CN" w:bidi="hi-IN"/>
    </w:rPr>
  </w:style>
  <w:style w:type="paragraph" w:styleId="Ttulodatabela" w:customStyle="1">
    <w:name w:val="Título da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Application>LibreOffice/6.3.3.2$Windows_x86 LibreOffice_project/a64200df03143b798afd1ec74a12ab50359878ed</Application>
  <Pages>2</Pages>
  <Words>639</Words>
  <Characters>3682</Characters>
  <CharactersWithSpaces>4272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2021-09-13T15:09:00Z</dcterms:created>
  <dc:creator>ROGER IMPRENSA</dc:creator>
  <dc:description/>
  <dc:language>pt-BR</dc:language>
  <cp:lastModifiedBy/>
  <cp:lastPrinted>2024-07-10T11:05:17Z</cp:lastPrinted>
  <dcterms:modified xsi:type="dcterms:W3CDTF">2024-07-10T11:14:32Z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