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500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8952"/>
      </w:tblGrid>
      <w:tr w14:paraId="54C13A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1500" w:type="dxa"/>
            <w:tcMar>
              <w:right w:w="200" w:type="dxa"/>
            </w:tcMar>
            <w:vAlign w:val="top"/>
          </w:tcPr>
          <w:p w14:paraId="51F6C35D">
            <w:r>
              <w:drawing>
                <wp:inline distT="0" distB="0" distL="114300" distR="114300">
                  <wp:extent cx="849630" cy="849630"/>
                  <wp:effectExtent l="0" t="0" r="0" b="0"/>
                  <wp:docPr id="1" name="Logotip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tipo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000" cy="8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0" w:type="dxa"/>
            <w:vAlign w:val="top"/>
          </w:tcPr>
          <w:p w14:paraId="400A22E6">
            <w:pPr>
              <w:spacing w:before="0" w:after="0" w:line="360" w:lineRule="exact"/>
              <w:jc w:val="left"/>
            </w:pPr>
            <w:r>
              <w:rPr>
                <w:rFonts w:ascii="Times New Roman" w:hAnsi="Times New Roman"/>
                <w:sz w:val="24"/>
              </w:rPr>
              <w:t>PREFEITURA MUNICIPAL DE MATO LEITÃO</w:t>
            </w:r>
          </w:p>
          <w:p w14:paraId="593B8154">
            <w:pPr>
              <w:spacing w:before="0" w:after="0" w:line="360" w:lineRule="exact"/>
              <w:jc w:val="left"/>
            </w:pPr>
            <w:r>
              <w:rPr>
                <w:rFonts w:ascii="Times New Roman" w:hAnsi="Times New Roman"/>
                <w:sz w:val="24"/>
              </w:rPr>
              <w:t>Telefone: (51) 3784-1085</w:t>
            </w:r>
          </w:p>
          <w:p w14:paraId="4E1BB5CA">
            <w:pPr>
              <w:spacing w:before="0" w:after="0" w:line="360" w:lineRule="exact"/>
              <w:jc w:val="left"/>
            </w:pPr>
            <w:r>
              <w:rPr>
                <w:rFonts w:ascii="Times New Roman" w:hAnsi="Times New Roman"/>
                <w:sz w:val="24"/>
              </w:rPr>
              <w:t>Departamento: Secretaria Municipal da Administração, Planejamento e Desenvolvimento</w:t>
            </w:r>
          </w:p>
        </w:tc>
      </w:tr>
    </w:tbl>
    <w:p w14:paraId="08A1426D">
      <w:pPr>
        <w:spacing w:before="200" w:after="50" w:line="360" w:lineRule="exact"/>
        <w:jc w:val="center"/>
      </w:pPr>
      <w:r>
        <w:rPr>
          <w:rFonts w:ascii="Times New Roman" w:hAnsi="Times New Roman"/>
          <w:b/>
          <w:sz w:val="24"/>
        </w:rPr>
        <w:t>Estudo Técnico Preliminar</w:t>
      </w:r>
    </w:p>
    <w:p w14:paraId="046295AC">
      <w:pPr>
        <w:spacing w:before="200" w:after="400" w:line="360" w:lineRule="exact"/>
        <w:jc w:val="both"/>
      </w:pPr>
      <w:r>
        <w:rPr>
          <w:rFonts w:ascii="Times New Roman" w:hAnsi="Times New Roman"/>
          <w:sz w:val="24"/>
        </w:rPr>
        <w:t>Execução de processos e atividades necessárias para a realização de concurso público, abrangendo todas as etapas e demandas associadas à seleção de candidatos para cargos públicos.</w:t>
      </w:r>
    </w:p>
    <w:p w14:paraId="7F7FB3B8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1. Descrição da necessidade</w:t>
      </w:r>
    </w:p>
    <w:p w14:paraId="3CF41E0C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demanda pela realização de concurso público surge da necessidade de suprir vagas existentes ou previstas no quadro de servidores da administração pública, assegurando a seleção de candidatos por meio de critérios objetivos, democráticos e legalmente estabelecidos. Esta medida está diretamente relacionada ao interesse público, uma vez que garante o acesso à cargos públicos de acordo com os princípios constitucionais da isonomia, impessoalidade, eficiência e transparência, além de possibilitar o regular funcionamento dos serviços públicos, evitando descontinuidades que poderiam comprometer o atendimento à sociedade.</w:t>
      </w:r>
    </w:p>
    <w:p w14:paraId="4E6DAF1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Necessidades Identificadas</w:t>
      </w:r>
    </w:p>
    <w:p w14:paraId="54AC70DC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Promoção de seleção pública:</w:t>
      </w:r>
      <w:r>
        <w:rPr>
          <w:rFonts w:ascii="Times New Roman" w:hAnsi="Times New Roman"/>
          <w:sz w:val="24"/>
        </w:rPr>
        <w:t>Demanda vinculada à obrigatoriedade do acesso aos cargos públicos via concurso, observando o princípio da impessoalidade.</w:t>
      </w:r>
    </w:p>
    <w:p w14:paraId="1917EC11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Atendimento às demandas de pessoal:</w:t>
      </w:r>
      <w:r>
        <w:rPr>
          <w:rFonts w:ascii="Times New Roman" w:hAnsi="Times New Roman"/>
          <w:sz w:val="24"/>
        </w:rPr>
        <w:t>Supre a necessidade de recomposição, ampliação ou adequação do quadro de servidores para garantir a prestação eficiente dos serviços públicos à população.</w:t>
      </w:r>
    </w:p>
    <w:p w14:paraId="3ECECD82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Garantia de qualidade e legalidade:</w:t>
      </w:r>
      <w:r>
        <w:rPr>
          <w:rFonts w:ascii="Times New Roman" w:hAnsi="Times New Roman"/>
          <w:sz w:val="24"/>
        </w:rPr>
        <w:t>Possibilita a seleção de candidatos aptos à ocupação de funções públicas, valorizando critérios técnicos e meritocráticos, conforme preceitos legais vigentes.</w:t>
      </w:r>
    </w:p>
    <w:p w14:paraId="61E555A6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Observância do interesse coletivo:</w:t>
      </w:r>
      <w:r>
        <w:rPr>
          <w:rFonts w:ascii="Times New Roman" w:hAnsi="Times New Roman"/>
          <w:sz w:val="24"/>
        </w:rPr>
        <w:t>Proporciona segurança jurídica e assegura que toda a sociedade se beneficie dos serviços públicos por meio de processos seletivos transparentes e justos.</w:t>
      </w:r>
    </w:p>
    <w:p w14:paraId="3CAAACE6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Demandas Geradas</w:t>
      </w:r>
    </w:p>
    <w:tbl>
      <w:tblPr>
        <w:tblStyle w:val="3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241"/>
        <w:gridCol w:w="5259"/>
      </w:tblGrid>
      <w:tr w14:paraId="46EAC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35C93F70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Item Necessário</w:t>
            </w:r>
          </w:p>
        </w:tc>
        <w:tc>
          <w:tcPr>
            <w:tcW w:w="0" w:type="dxa"/>
          </w:tcPr>
          <w:p w14:paraId="43BD0982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Descrição</w:t>
            </w:r>
          </w:p>
        </w:tc>
      </w:tr>
      <w:tr w14:paraId="5E645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36FBFDCE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Realização de concurso público</w:t>
            </w:r>
          </w:p>
        </w:tc>
        <w:tc>
          <w:tcPr>
            <w:tcW w:w="0" w:type="dxa"/>
          </w:tcPr>
          <w:p w14:paraId="6034D548">
            <w:pPr>
              <w:spacing w:before="100" w:after="100"/>
              <w:jc w:val="both"/>
            </w:pPr>
            <w:r>
              <w:rPr>
                <w:rFonts w:ascii="Times New Roman" w:hAnsi="Times New Roman"/>
                <w:sz w:val="24"/>
              </w:rPr>
              <w:t>Execução integral de processos e atividades inerentes à seleção de candidatos, contemplando todas as etapas estabelecidas para a identificação, avaliação e classificação de candidatos aptos ao provimento de cargos públicos.</w:t>
            </w:r>
          </w:p>
        </w:tc>
      </w:tr>
    </w:tbl>
    <w:p w14:paraId="11B7F837">
      <w:pPr>
        <w:spacing w:after="60"/>
      </w:pPr>
    </w:p>
    <w:p w14:paraId="65BF89EF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Portanto, a demanda de realização de concurso público permite atendimento às necessidades acima apontadas, refletindo diretamente no fortalecimento e manutenção dos serviços prestados à sociedade, em conformidade com o interesse público e com os normativos legais aplicáveis à Administração Pública.</w:t>
      </w:r>
    </w:p>
    <w:p w14:paraId="14FA3F23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2. Requisitos da contratação</w:t>
      </w:r>
    </w:p>
    <w:p w14:paraId="1076882F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demanda para realização de concurso público decorre da necessidade de assegurar o provimento de cargos efetivos, com observância aos princípios constitucionais e às exigências legais que disciplinam o acesso aos cargos da Administração Pública, garantindo eficiência e transparência. Para que essa necessidade seja devidamente atendida, é indispensável considerar requisitos essenciais, baseados na legislação vigente, normativos correlatos e nas melhores práticas de sustentabilidade.</w:t>
      </w:r>
    </w:p>
    <w:p w14:paraId="74C0C06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Requisitos necessários para o atendimento da demanda</w:t>
      </w:r>
    </w:p>
    <w:p w14:paraId="7D28296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Previsão Legal e Orçamentária:</w:t>
      </w:r>
      <w:r>
        <w:rPr>
          <w:rFonts w:ascii="Times New Roman" w:hAnsi="Times New Roman"/>
          <w:sz w:val="24"/>
        </w:rPr>
        <w:t>Existência de autorização legal e disponibilidade orçamentária para a realização do concurso e para o provimento dos cargos previstos, conforme a?Lei de Diretrizes Orçamentárias (LDO), a Lei Orçamentária Anual (LOA), a Lei de Responsabilidade Fiscal (Lei Complementar nº 101/2000) e demais legislações correlatas.</w:t>
      </w:r>
    </w:p>
    <w:p w14:paraId="045BEAA9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Definição da Necessidade dos Cargos:</w:t>
      </w:r>
      <w:r>
        <w:rPr>
          <w:rFonts w:ascii="Times New Roman" w:hAnsi="Times New Roman"/>
          <w:sz w:val="24"/>
        </w:rPr>
        <w:t>Identificação clara das vagas a serem ofertadas, com descrição de cargos, atribuições, requisitos para investidura, jornada de trabalho e localidade de atuação, em consonância com o quadro de pessoal vigente e a legislação específica de cargos da instituição demandante.</w:t>
      </w:r>
    </w:p>
    <w:p w14:paraId="0C0D211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Fundamentação na Necessidade Pública:</w:t>
      </w:r>
      <w:r>
        <w:rPr>
          <w:rFonts w:ascii="Times New Roman" w:hAnsi="Times New Roman"/>
          <w:sz w:val="24"/>
        </w:rPr>
        <w:t>Comprovação da real necessidade de recomposição/de ampliação do quadro de servidores, visando à prestação adequada dos serviços públicos e ao atendimento ao interesse coletivo, em observância ao princípio da continuidade do serviço público.</w:t>
      </w:r>
    </w:p>
    <w:p w14:paraId="688C04E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Publicidade e Transparência:</w:t>
      </w:r>
      <w:r>
        <w:rPr>
          <w:rFonts w:ascii="Times New Roman" w:hAnsi="Times New Roman"/>
          <w:sz w:val="24"/>
        </w:rPr>
        <w:t>Garantia de ampla divulgação do edital, das condições de participação e das etapas do concurso, respeitando as regras de publicidade, acesso à informação e isonomia entre os candidatos, conforme determina a Constituição Federal, art. 37, e a Lei nº 14.133/2021.</w:t>
      </w:r>
    </w:p>
    <w:p w14:paraId="28E099FD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Criterios Objetivos de Seleção:</w:t>
      </w:r>
      <w:r>
        <w:rPr>
          <w:rFonts w:ascii="Times New Roman" w:hAnsi="Times New Roman"/>
          <w:sz w:val="24"/>
        </w:rPr>
        <w:t>Estabelecimento de critérios objetivos, claros e impessoais para avaliação e classificação dos candidatos, assegurando a seleção por mérito e competência, observando os princípios da legalidade, impessoalidade, moralidade e eficiência.</w:t>
      </w:r>
    </w:p>
    <w:p w14:paraId="37E4B8BF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Comissão Organizadora Regularmente Constituída:</w:t>
      </w:r>
      <w:r>
        <w:rPr>
          <w:rFonts w:ascii="Times New Roman" w:hAnsi="Times New Roman"/>
          <w:sz w:val="24"/>
        </w:rPr>
        <w:t>Formação de comissão composta por servidores públicos estáveis e com reputação ilibada, responsável pela elaboração, acompanhamento e fiscalização de todas as etapas do concurso, conforme regulamentação interna e legislação vigente.</w:t>
      </w:r>
    </w:p>
    <w:p w14:paraId="00D87592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Instrumentos e Procedimentos de Fiscalização e Controle:</w:t>
      </w:r>
      <w:r>
        <w:rPr>
          <w:rFonts w:ascii="Times New Roman" w:hAnsi="Times New Roman"/>
          <w:sz w:val="24"/>
        </w:rPr>
        <w:t>Previsão de mecanismos para garantir a lisura e a integridade de todas as fases do certame, incluindo dispositivos para interposição de recursos pelos candidatos, aferição de títulos e critérios de desempate.</w:t>
      </w:r>
    </w:p>
    <w:p w14:paraId="3CABDE0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Observância dos Direitos das Pessoas com Deficiência (PCDs) e das Políticas de Ações Afirmativas:</w:t>
      </w:r>
      <w:r>
        <w:rPr>
          <w:rFonts w:ascii="Times New Roman" w:hAnsi="Times New Roman"/>
          <w:sz w:val="24"/>
        </w:rPr>
        <w:t>Reserva de percentual de vagas conforme legislação específica (Lei nº 8.112/1990, Decreto nº 9.508/2018, Lei nº 12.990/2014), com garantias de condições de acessibilidade e atendimento especial quando necessário.</w:t>
      </w:r>
    </w:p>
    <w:p w14:paraId="3FC30F4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Previsão de Sustentabilidade nas Dimensões Ambiental, Social e Econômica:</w:t>
      </w:r>
      <w:r>
        <w:rPr>
          <w:rFonts w:ascii="Times New Roman" w:hAnsi="Times New Roman"/>
          <w:i/>
          <w:sz w:val="24"/>
        </w:rPr>
        <w:t>Ambiental:</w:t>
      </w:r>
      <w:r>
        <w:rPr>
          <w:rFonts w:ascii="Times New Roman" w:hAnsi="Times New Roman"/>
          <w:sz w:val="24"/>
        </w:rPr>
        <w:t>Preferência por processos digitais, reduzindo o consumo de papel e outros recursos naturais.</w:t>
      </w:r>
      <w:r>
        <w:rPr>
          <w:rFonts w:ascii="Times New Roman" w:hAnsi="Times New Roman"/>
          <w:i/>
          <w:sz w:val="24"/>
        </w:rPr>
        <w:t>Social:</w:t>
      </w:r>
      <w:r>
        <w:rPr>
          <w:rFonts w:ascii="Times New Roman" w:hAnsi="Times New Roman"/>
          <w:sz w:val="24"/>
        </w:rPr>
        <w:t>Observância dos princípios da equidade no acesso, inclusão de pessoas com deficiência, ações afirmativas para negros, promoção da transparência e efetiva divulgação de todas as etapas.</w:t>
      </w:r>
      <w:r>
        <w:rPr>
          <w:rFonts w:ascii="Times New Roman" w:hAnsi="Times New Roman"/>
          <w:i/>
          <w:sz w:val="24"/>
        </w:rPr>
        <w:t>Econômica:</w:t>
      </w:r>
      <w:r>
        <w:rPr>
          <w:rFonts w:ascii="Times New Roman" w:hAnsi="Times New Roman"/>
          <w:sz w:val="24"/>
        </w:rPr>
        <w:t>Planejamento para racionalização de recursos e custo-benefício, evitando despesas desnecessárias e assegurando a eficiência na aplicação dos recursos públicos.</w:t>
      </w:r>
    </w:p>
    <w:p w14:paraId="36F8EEF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i/>
          <w:sz w:val="24"/>
        </w:rPr>
        <w:t>Ambiental:</w:t>
      </w:r>
      <w:r>
        <w:rPr>
          <w:rFonts w:ascii="Times New Roman" w:hAnsi="Times New Roman"/>
          <w:sz w:val="24"/>
        </w:rPr>
        <w:t>Preferência por processos digitais, reduzindo o consumo de papel e outros recursos naturais.</w:t>
      </w:r>
    </w:p>
    <w:p w14:paraId="2AA24F0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i/>
          <w:sz w:val="24"/>
        </w:rPr>
        <w:t>Social:</w:t>
      </w:r>
      <w:r>
        <w:rPr>
          <w:rFonts w:ascii="Times New Roman" w:hAnsi="Times New Roman"/>
          <w:sz w:val="24"/>
        </w:rPr>
        <w:t>Observância dos princípios da equidade no acesso, inclusão de pessoas com deficiência, ações afirmativas para negros, promoção da transparência e efetiva divulgação de todas as etapas.</w:t>
      </w:r>
    </w:p>
    <w:p w14:paraId="48A3D98F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i/>
          <w:sz w:val="24"/>
        </w:rPr>
        <w:t>Econômica:</w:t>
      </w:r>
      <w:r>
        <w:rPr>
          <w:rFonts w:ascii="Times New Roman" w:hAnsi="Times New Roman"/>
          <w:sz w:val="24"/>
        </w:rPr>
        <w:t>Planejamento para racionalização de recursos e custo-benefício, evitando despesas desnecessárias e assegurando a eficiência na aplicação dos recursos públicos.</w:t>
      </w:r>
    </w:p>
    <w:p w14:paraId="36280E85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Estrutura e Logística Adequadas para Realização das Provas:</w:t>
      </w:r>
      <w:r>
        <w:rPr>
          <w:rFonts w:ascii="Times New Roman" w:hAnsi="Times New Roman"/>
          <w:sz w:val="24"/>
        </w:rPr>
        <w:t>Disponibilidade de locais apropriados, seguros e acessíveis para aplicação das provas, preservando a integridade dos candidatos, das informações sigilosas e do material de prova.</w:t>
      </w:r>
    </w:p>
    <w:p w14:paraId="2B26897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Proteção de Dados Pessoais:</w:t>
      </w:r>
      <w:r>
        <w:rPr>
          <w:rFonts w:ascii="Times New Roman" w:hAnsi="Times New Roman"/>
          <w:sz w:val="24"/>
        </w:rPr>
        <w:t>Observância da Lei Geral de Proteção de Dados Pessoais (Lei nº 13.709/2018), com regras claras sobre o tratamento das informações dos candidatos.</w:t>
      </w:r>
    </w:p>
    <w:p w14:paraId="6540B90C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Exame dos normativos aplicáveis</w:t>
      </w:r>
    </w:p>
    <w:tbl>
      <w:tblPr>
        <w:tblStyle w:val="3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386"/>
        <w:gridCol w:w="5114"/>
      </w:tblGrid>
      <w:tr w14:paraId="6E99E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54147351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Normativo</w:t>
            </w:r>
          </w:p>
        </w:tc>
        <w:tc>
          <w:tcPr>
            <w:tcW w:w="0" w:type="dxa"/>
          </w:tcPr>
          <w:p w14:paraId="0B4251DA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Tema/Aplicação</w:t>
            </w:r>
          </w:p>
        </w:tc>
      </w:tr>
      <w:tr w14:paraId="1A2CC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6DF26FA6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Constituição Federal, art. 37</w:t>
            </w:r>
          </w:p>
        </w:tc>
        <w:tc>
          <w:tcPr>
            <w:tcW w:w="0" w:type="dxa"/>
          </w:tcPr>
          <w:p w14:paraId="45CADF4D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Princípios da administração pública; acesso aos cargos públicos via concurso.</w:t>
            </w:r>
          </w:p>
        </w:tc>
      </w:tr>
      <w:tr w14:paraId="10528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28809F35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nº 14.133/2021</w:t>
            </w:r>
          </w:p>
        </w:tc>
        <w:tc>
          <w:tcPr>
            <w:tcW w:w="0" w:type="dxa"/>
          </w:tcPr>
          <w:p w14:paraId="28FE8B8E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Normas gerais de licitações e contratos; referência obrigatória ao Estudo Técnico Preliminar (ETP).</w:t>
            </w:r>
          </w:p>
        </w:tc>
      </w:tr>
      <w:tr w14:paraId="75941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309CFB6E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n° 3.217/2023</w:t>
            </w:r>
          </w:p>
        </w:tc>
        <w:tc>
          <w:tcPr>
            <w:tcW w:w="0" w:type="dxa"/>
          </w:tcPr>
          <w:p w14:paraId="213FCDF5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Regime Jurídico dos Servidores Públicos do Município de Mato Leitão</w:t>
            </w:r>
          </w:p>
        </w:tc>
      </w:tr>
      <w:tr w14:paraId="6AEDD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691CCAC2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n° 3.218/2023</w:t>
            </w:r>
          </w:p>
        </w:tc>
        <w:tc>
          <w:tcPr>
            <w:tcW w:w="0" w:type="dxa"/>
          </w:tcPr>
          <w:p w14:paraId="101E68AE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Plano de Carreiras dos Servidores Públicos do Município de Mato Leitão</w:t>
            </w:r>
          </w:p>
        </w:tc>
      </w:tr>
      <w:tr w14:paraId="0687C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664504B8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Orgânica</w:t>
            </w:r>
          </w:p>
        </w:tc>
        <w:tc>
          <w:tcPr>
            <w:tcW w:w="0" w:type="dxa"/>
          </w:tcPr>
          <w:p w14:paraId="6D48CCB8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Orgânica do Município de Mato Leitão</w:t>
            </w:r>
          </w:p>
        </w:tc>
      </w:tr>
      <w:tr w14:paraId="078AD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67F16882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nº 1.202/2005</w:t>
            </w:r>
          </w:p>
        </w:tc>
        <w:tc>
          <w:tcPr>
            <w:tcW w:w="0" w:type="dxa"/>
          </w:tcPr>
          <w:p w14:paraId="296CF38C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Regime Próprio de Previdência Social do Município de Mato Leitão</w:t>
            </w:r>
          </w:p>
        </w:tc>
      </w:tr>
      <w:tr w14:paraId="26343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40814E6E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Lei Complementar nº 101/2000 (LRF)</w:t>
            </w:r>
          </w:p>
        </w:tc>
        <w:tc>
          <w:tcPr>
            <w:tcW w:w="0" w:type="dxa"/>
          </w:tcPr>
          <w:p w14:paraId="3AB453C2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Exigência de adequação orçamentária e limites de despesa de pessoal.</w:t>
            </w:r>
          </w:p>
        </w:tc>
      </w:tr>
    </w:tbl>
    <w:p w14:paraId="013F40C7">
      <w:pPr>
        <w:spacing w:after="60"/>
      </w:pPr>
    </w:p>
    <w:p w14:paraId="4384C92D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Resumo dos requisitos essenciais</w:t>
      </w:r>
    </w:p>
    <w:p w14:paraId="5AF84CD6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Prova de aprovação orçamentária e legal para realização do certame;</w:t>
      </w:r>
    </w:p>
    <w:p w14:paraId="009FA5E0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Identificação, descrição e justificativa das vagas;</w:t>
      </w:r>
    </w:p>
    <w:p w14:paraId="3006596E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Observância dos princípios constitucionais e legais;</w:t>
      </w:r>
    </w:p>
    <w:p w14:paraId="0DD6116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Transparência e publicidade dos atos;</w:t>
      </w:r>
    </w:p>
    <w:p w14:paraId="33897C9F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Criterios objetivos, impessoais e meritocráticos para seleção;</w:t>
      </w:r>
    </w:p>
    <w:p w14:paraId="7650AB4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Garantias de acessibilidade, inclusão e ações afirmativas;</w:t>
      </w:r>
    </w:p>
    <w:p w14:paraId="50077FF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Estrutura logística compatível com o porte do concurso;</w:t>
      </w:r>
    </w:p>
    <w:p w14:paraId="719A9C62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Proteção integral aos dados e à identidade dos candidatos;</w:t>
      </w:r>
    </w:p>
    <w:p w14:paraId="23B9D99D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Práticas de sustentabilidade em todas as etapas do processo;</w:t>
      </w:r>
    </w:p>
    <w:p w14:paraId="3CA4F797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Atendimento irrestrito à legislação e normativos vigentes.</w:t>
      </w:r>
    </w:p>
    <w:p w14:paraId="28EDD828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3. Estimativa das quantidades</w:t>
      </w:r>
    </w:p>
    <w:tbl>
      <w:tblPr>
        <w:tblStyle w:val="3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47"/>
        <w:gridCol w:w="2544"/>
        <w:gridCol w:w="1829"/>
        <w:gridCol w:w="1829"/>
        <w:gridCol w:w="1251"/>
      </w:tblGrid>
      <w:tr w14:paraId="32B6C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6F79C9BB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Produto</w:t>
            </w:r>
          </w:p>
        </w:tc>
        <w:tc>
          <w:tcPr>
            <w:tcW w:w="0" w:type="dxa"/>
          </w:tcPr>
          <w:p w14:paraId="3890E00A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Quantidade</w:t>
            </w:r>
          </w:p>
        </w:tc>
        <w:tc>
          <w:tcPr>
            <w:tcW w:w="0" w:type="dxa"/>
          </w:tcPr>
          <w:p w14:paraId="52370B17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Unidade</w:t>
            </w:r>
          </w:p>
        </w:tc>
        <w:tc>
          <w:tcPr>
            <w:tcW w:w="0" w:type="dxa"/>
          </w:tcPr>
          <w:p w14:paraId="06DE5E44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Valor Unitário</w:t>
            </w:r>
          </w:p>
        </w:tc>
        <w:tc>
          <w:tcPr>
            <w:tcW w:w="0" w:type="dxa"/>
          </w:tcPr>
          <w:p w14:paraId="1BA1B2AE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Valor Total</w:t>
            </w:r>
          </w:p>
        </w:tc>
      </w:tr>
      <w:tr w14:paraId="46706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0DBD7340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realizacao de concurso publico</w:t>
            </w:r>
          </w:p>
        </w:tc>
        <w:tc>
          <w:tcPr>
            <w:tcW w:w="0" w:type="dxa"/>
          </w:tcPr>
          <w:p w14:paraId="26DD8C24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1,00</w:t>
            </w:r>
          </w:p>
        </w:tc>
        <w:tc>
          <w:tcPr>
            <w:tcW w:w="0" w:type="dxa"/>
          </w:tcPr>
          <w:p w14:paraId="5C4CA0BB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Unidade</w:t>
            </w:r>
          </w:p>
        </w:tc>
        <w:tc>
          <w:tcPr>
            <w:tcW w:w="0" w:type="dxa"/>
          </w:tcPr>
          <w:p w14:paraId="5B83F2A0">
            <w:pPr>
              <w:spacing w:before="100" w:after="100"/>
              <w:jc w:val="left"/>
            </w:pPr>
          </w:p>
        </w:tc>
        <w:tc>
          <w:tcPr>
            <w:tcW w:w="0" w:type="dxa"/>
          </w:tcPr>
          <w:p w14:paraId="0C8CF613">
            <w:pPr>
              <w:spacing w:before="100" w:after="100"/>
              <w:jc w:val="left"/>
            </w:pPr>
          </w:p>
        </w:tc>
      </w:tr>
    </w:tbl>
    <w:p w14:paraId="30728D23">
      <w:pPr>
        <w:spacing w:after="60"/>
      </w:pPr>
    </w:p>
    <w:p w14:paraId="435F32F3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Segue anexo duas propostas</w:t>
      </w:r>
      <w:r>
        <w:rPr>
          <w:rFonts w:hint="default" w:ascii="Times New Roman" w:hAnsi="Times New Roman"/>
          <w:sz w:val="24"/>
          <w:lang w:val="pt-BR"/>
        </w:rPr>
        <w:t>, servindo como norte para definição de valores de mercado</w:t>
      </w:r>
      <w:r>
        <w:rPr>
          <w:rFonts w:ascii="Times New Roman" w:hAnsi="Times New Roman"/>
          <w:sz w:val="24"/>
        </w:rPr>
        <w:t>.</w:t>
      </w:r>
    </w:p>
    <w:p w14:paraId="02FE33B5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4. Levantamento de mercado</w:t>
      </w:r>
    </w:p>
    <w:p w14:paraId="307DAE03">
      <w:pPr>
        <w:spacing w:before="300" w:after="200"/>
        <w:jc w:val="left"/>
      </w:pPr>
      <w:r>
        <w:rPr>
          <w:rFonts w:ascii="Times New Roman" w:hAnsi="Times New Roman"/>
          <w:b/>
          <w:sz w:val="24"/>
        </w:rPr>
        <w:t>1 - Contratação de Banca Examinadora Especializada </w:t>
      </w:r>
    </w:p>
    <w:p w14:paraId="7DC90250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Consiste na contratação de instituição ou empresa especializada, por meio de licitação, para realizar as etapas do concurso público, incluindo planejamento, elaboração de edital, inscrição, organização das provas (teóricas/práticas), aplicação, correção, divulgação de resultados e atendimento a pedidos de recursos. Esta alternativa é a mais difundida no mercado e conta com empresas/entidades renomadas (fundações, universidades ou empresas privadas) com expertise comprovada na condução de processos seletivos, estrutura logística robusta, tecnologia para gestão de dados pessoais e avaliação eletrônica, além de capacidade de atendimento simultâneo a centenas ou milhares de candidatos. Garante observância às exigências de transparência, objetividade, publicidade, acessibilidade e segurança dos procedimentos, bem como atendimento à legislação vigente, práticas de sustentabilidade (incluindo processos digitais) e mecanismos de fiscalização interna e externa.</w:t>
      </w:r>
    </w:p>
    <w:p w14:paraId="65F0DE60">
      <w:pPr>
        <w:spacing w:before="300" w:after="200"/>
        <w:jc w:val="left"/>
      </w:pPr>
      <w:r>
        <w:rPr>
          <w:rFonts w:ascii="Times New Roman" w:hAnsi="Times New Roman"/>
          <w:b/>
          <w:sz w:val="24"/>
        </w:rPr>
        <w:t>Pontos Positivos:</w:t>
      </w:r>
    </w:p>
    <w:p w14:paraId="7B00BE0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Especialização e experiência comprovada na condução de concursos públicos</w:t>
      </w:r>
    </w:p>
    <w:p w14:paraId="6660747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Estrutura logística e tecnológica robusta para gestão de volume</w:t>
      </w:r>
      <w:r>
        <w:rPr>
          <w:rFonts w:hint="default" w:ascii="Times New Roman" w:hAnsi="Times New Roman"/>
          <w:sz w:val="24"/>
          <w:lang w:val="pt-BR"/>
        </w:rPr>
        <w:t xml:space="preserve"> considerável </w:t>
      </w:r>
      <w:r>
        <w:rPr>
          <w:rFonts w:ascii="Times New Roman" w:hAnsi="Times New Roman"/>
          <w:sz w:val="24"/>
        </w:rPr>
        <w:t>de candidatos</w:t>
      </w:r>
    </w:p>
    <w:p w14:paraId="33E460BC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Cumprimento rigoroso das exigências legais, de transparência, publicidade e acessibilidade</w:t>
      </w:r>
    </w:p>
    <w:p w14:paraId="261BE172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Disponibilidade de recursos para processos digitais e práticas sustentáveis</w:t>
      </w:r>
    </w:p>
    <w:p w14:paraId="377CEB6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Redução de carga administrativa e operacional para o órgão contratante</w:t>
      </w:r>
    </w:p>
    <w:p w14:paraId="3EB71652">
      <w:pPr>
        <w:spacing w:before="300" w:after="200"/>
        <w:jc w:val="left"/>
      </w:pPr>
      <w:r>
        <w:rPr>
          <w:rFonts w:ascii="Times New Roman" w:hAnsi="Times New Roman"/>
          <w:b/>
          <w:sz w:val="24"/>
        </w:rPr>
        <w:t>Pontos Negativos:</w:t>
      </w:r>
    </w:p>
    <w:p w14:paraId="420A102C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Eventual dependência excessiva do órgão em relação à contratada</w:t>
      </w:r>
    </w:p>
    <w:p w14:paraId="3A9866E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Riscos ligados à garantia de confidencialidade e segurança das informações sensíveis</w:t>
      </w:r>
    </w:p>
    <w:p w14:paraId="4B6959E9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Possíveis custos elevados em comparação a outras alternativas</w:t>
      </w:r>
    </w:p>
    <w:p w14:paraId="05832997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Potenciais questionamentos sobre lisura, se não houver fiscalização adequada</w:t>
      </w:r>
    </w:p>
    <w:p w14:paraId="3CEE7460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Possível padronização excessiva dos processos, limitando soluções adaptadas às demandas locais</w:t>
      </w:r>
    </w:p>
    <w:p w14:paraId="78D7CD23">
      <w:pPr>
        <w:spacing w:before="300" w:after="200"/>
        <w:jc w:val="left"/>
      </w:pPr>
      <w:r>
        <w:rPr>
          <w:rFonts w:ascii="Times New Roman" w:hAnsi="Times New Roman"/>
          <w:b/>
          <w:sz w:val="24"/>
        </w:rPr>
        <w:t>Alternativa Escolhida</w:t>
      </w:r>
    </w:p>
    <w:p w14:paraId="1A3685B6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Contratação de Banca Examinadora Especializada</w:t>
      </w:r>
    </w:p>
    <w:p w14:paraId="22579200">
      <w:pPr>
        <w:spacing w:before="300" w:after="200"/>
        <w:jc w:val="left"/>
      </w:pPr>
      <w:r>
        <w:rPr>
          <w:rFonts w:ascii="Times New Roman" w:hAnsi="Times New Roman"/>
          <w:b/>
          <w:sz w:val="24"/>
        </w:rPr>
        <w:t>Justificativa</w:t>
      </w:r>
    </w:p>
    <w:p w14:paraId="6D6227AC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contratação de banca examinadora especializada é a alternativa que melhor atende aos requisitos técnicos, legais e de transparência exigidos para a realização de concursos públicos, especialmente quando consideradas as demandas de segurança, eficiência, proteção de dados, acessibilidade e sustentabilidade. O mercado já disponibiliza entidades consolidadas, experientes e auditáveis, com recursos e logística adequados à complexidade do certame, garantindo observância aos princípios constitucionais, compliance integral à legislação vigente (incluindo LGPD) e possibilidade de escalar soluções digitais para ampliação do acesso e redução do impacto ambiental. Além disso, viabiliza a fiscalização da comissão própria da Administração, promovendo segurança jurídica, gestão de riscos e confiança dos candidatos e do Tribunal de Contas, ao mesmo tempo que racionaliza custos e libera servidores municipais para foco em atividades-fim. Considerando a expertise e maturidade dos prestadores disponíveis, trata-se da alternativa mais segura, eficiente e economicamente justificável para o município.</w:t>
      </w:r>
    </w:p>
    <w:p w14:paraId="73789711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5. Estimativa do preço da contratação</w:t>
      </w:r>
    </w:p>
    <w:p w14:paraId="50B712A3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O valor total estimado para essa contratação segue conforme propostas em anexo.</w:t>
      </w:r>
    </w:p>
    <w:p w14:paraId="5CA85A1C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6. Descrição da solução como um todo</w:t>
      </w:r>
    </w:p>
    <w:p w14:paraId="57C40843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solução escolhida para o atendimento da demanda identificada consiste na</w:t>
      </w:r>
      <w:r>
        <w:rPr>
          <w:rFonts w:hint="default" w:ascii="Times New Roman" w:hAnsi="Times New Roman"/>
          <w:sz w:val="24"/>
          <w:lang w:val="pt-BR"/>
        </w:rPr>
        <w:t xml:space="preserve"> </w:t>
      </w:r>
      <w:r>
        <w:rPr>
          <w:rFonts w:ascii="Times New Roman" w:hAnsi="Times New Roman"/>
          <w:b/>
          <w:sz w:val="24"/>
        </w:rPr>
        <w:t>contratação de banca examinadora especializada</w:t>
      </w:r>
      <w:r>
        <w:rPr>
          <w:rFonts w:hint="default" w:ascii="Times New Roman" w:hAnsi="Times New Roman"/>
          <w:b/>
          <w:sz w:val="24"/>
          <w:lang w:val="pt-BR"/>
        </w:rPr>
        <w:t xml:space="preserve"> </w:t>
      </w:r>
      <w:r>
        <w:rPr>
          <w:rFonts w:ascii="Times New Roman" w:hAnsi="Times New Roman"/>
          <w:sz w:val="24"/>
        </w:rPr>
        <w:t xml:space="preserve">para a execução do concurso público, por meio de </w:t>
      </w:r>
      <w:r>
        <w:rPr>
          <w:rFonts w:hint="default" w:ascii="Times New Roman" w:hAnsi="Times New Roman"/>
          <w:sz w:val="24"/>
          <w:lang w:val="pt-BR"/>
        </w:rPr>
        <w:t>contrato com base na Lei 14.133/2021</w:t>
      </w:r>
      <w:r>
        <w:rPr>
          <w:rFonts w:ascii="Times New Roman" w:hAnsi="Times New Roman"/>
          <w:sz w:val="24"/>
        </w:rPr>
        <w:t>, de acordo com as exigências legais e as melhores práticas de gestão no setor público. Esta alternativa contempla de maneira mais eficaz e segura as necessidades vinculadas à promoção da seleção pública, à recomposição do quadro de servidores, à garantia de transparência, eficiência, legalidade, acessibilidade e sustentabilidade, conforme detalhado a seguir.</w:t>
      </w:r>
    </w:p>
    <w:p w14:paraId="3E7C3DE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Descrição Detalhada da Solução Escolhida</w:t>
      </w:r>
    </w:p>
    <w:p w14:paraId="76D42A8B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contratação de banca examinadora especializada envolve a seleção, por meio de processo licitatóri</w:t>
      </w:r>
      <w:r>
        <w:rPr>
          <w:rFonts w:hint="default" w:ascii="Times New Roman" w:hAnsi="Times New Roman"/>
          <w:sz w:val="24"/>
          <w:lang w:val="pt-BR"/>
        </w:rPr>
        <w:t>o, dispensa ou inexigibilidade</w:t>
      </w:r>
      <w:r>
        <w:rPr>
          <w:rFonts w:ascii="Times New Roman" w:hAnsi="Times New Roman"/>
          <w:sz w:val="24"/>
        </w:rPr>
        <w:t>, de instituição, fundação, universidade ou empresa privada com comprovada experiência e capacidade para realizar todos os procedimentos inerentes ao concurso público. A banca contratada será responsável por:</w:t>
      </w:r>
    </w:p>
    <w:p w14:paraId="7866BF22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Planejamento e organização de todas as etapas do concurso, desde a elaboração do edital até a homologação do resultado final;</w:t>
      </w:r>
    </w:p>
    <w:p w14:paraId="71960E6E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Gestão do sistema de inscrições, incluindo recursos digitais e atendimento a candidatos;</w:t>
      </w:r>
    </w:p>
    <w:p w14:paraId="5EC2E4F3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Confecção, aplicação, correção e divulgação dos resultados das provas teóricas e práticas, resguardando sigilo e integridade das avaliações;</w:t>
      </w:r>
    </w:p>
    <w:p w14:paraId="7CF2100D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Disponibilização de canais oficiais para atendimento, interposição de recursos e divulgação de informações ao público;</w:t>
      </w:r>
    </w:p>
    <w:p w14:paraId="693AAC64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Observância integral às normas de proteção de dados pessoais, acessibilidade, ações afirmativas e políticas de inclusão;</w:t>
      </w:r>
    </w:p>
    <w:p w14:paraId="469E97A5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Promoção de práticas sustentáveis (por exemplo, processos digitais para inscrição e divulgação de resultados);</w:t>
      </w:r>
    </w:p>
    <w:p w14:paraId="000692F3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Gestão logística para aplicação das provas em locais seguros, acessíveis e apropriados, conforme a demanda e abrangência;</w:t>
      </w:r>
    </w:p>
    <w:p w14:paraId="57F167D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• Facilitação da fiscalização e do controle, mediante transparência dos atos e abertura ao acompanhamento pela comissão interna e órgãos de controle.</w:t>
      </w:r>
    </w:p>
    <w:p w14:paraId="37594EE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Como a Solução Atende Melhor às Necessidades Identificadas</w:t>
      </w:r>
    </w:p>
    <w:p w14:paraId="0EFCD5F3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 alternativa escolhida é a que melhor responde aos requisitos e necessidades levantados pelo Estudo Técnico Preliminar, pois apresenta as seguintes vantagens em relação às demais possibilidades:</w:t>
      </w:r>
    </w:p>
    <w:tbl>
      <w:tblPr>
        <w:tblStyle w:val="3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387"/>
        <w:gridCol w:w="5113"/>
      </w:tblGrid>
      <w:tr w14:paraId="282DB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1DCE9E97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Necessidade Identificada</w:t>
            </w:r>
          </w:p>
        </w:tc>
        <w:tc>
          <w:tcPr>
            <w:tcW w:w="0" w:type="dxa"/>
          </w:tcPr>
          <w:p w14:paraId="3494CF18">
            <w:pPr>
              <w:spacing w:before="100" w:after="100"/>
              <w:jc w:val="left"/>
            </w:pPr>
            <w:r>
              <w:rPr>
                <w:rFonts w:ascii="Times New Roman" w:hAnsi="Times New Roman"/>
                <w:b/>
                <w:sz w:val="24"/>
              </w:rPr>
              <w:t>Atendimento pela Solução Adotada</w:t>
            </w:r>
          </w:p>
        </w:tc>
      </w:tr>
      <w:tr w14:paraId="4DE5E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0EDBC539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Promoção de seleção pública, observando impessoalidade e isonomia</w:t>
            </w:r>
          </w:p>
        </w:tc>
        <w:tc>
          <w:tcPr>
            <w:tcW w:w="0" w:type="dxa"/>
          </w:tcPr>
          <w:p w14:paraId="05DFEF8B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A banca aplica critérios objetivos e controles rigorosos, assegurando igualdade de condições a todos os candidatos e cumprimento da legislação constitucional.</w:t>
            </w:r>
          </w:p>
        </w:tc>
      </w:tr>
      <w:tr w14:paraId="38418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4C433B93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Atendimento às demandas de pessoal da administração</w:t>
            </w:r>
          </w:p>
        </w:tc>
        <w:tc>
          <w:tcPr>
            <w:tcW w:w="0" w:type="dxa"/>
          </w:tcPr>
          <w:p w14:paraId="3B18030F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Garante a recomposição e/ou ampliação do quadro com agilidade, qualidade e segurança, sem sobrecarregar o quadro atual de servidores.</w:t>
            </w:r>
          </w:p>
        </w:tc>
      </w:tr>
      <w:tr w14:paraId="087F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4CD38554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Garantia de qualidade, legalidade e critérios técnicos</w:t>
            </w:r>
          </w:p>
        </w:tc>
        <w:tc>
          <w:tcPr>
            <w:tcW w:w="0" w:type="dxa"/>
          </w:tcPr>
          <w:p w14:paraId="152A682A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Empresa/habilitada com expertise em concursos, assegurando processos fidedignos, meritocráticos e auditáveis, além de compliance à legislação vigente.</w:t>
            </w:r>
          </w:p>
        </w:tc>
      </w:tr>
      <w:tr w14:paraId="5976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399B2A15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Observância do interesse coletivo, transparência e segurança jurídica</w:t>
            </w:r>
          </w:p>
        </w:tc>
        <w:tc>
          <w:tcPr>
            <w:tcW w:w="0" w:type="dxa"/>
          </w:tcPr>
          <w:p w14:paraId="09B0F8C1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Processos e informações amplamente divulgados e auditáveis, garantindo legitimidade e minimizando riscos de contestações judiciais ou administrativas.</w:t>
            </w:r>
          </w:p>
        </w:tc>
      </w:tr>
      <w:tr w14:paraId="72503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0BF7DC4F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Sustentabilidade e inclusão</w:t>
            </w:r>
          </w:p>
        </w:tc>
        <w:tc>
          <w:tcPr>
            <w:tcW w:w="0" w:type="dxa"/>
          </w:tcPr>
          <w:p w14:paraId="6DE62853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Processos digitais, reserva de vagas e adaptações para PCDs e cotas, práticas ambientais, atendendo às dimensões de sustentabilidade legalmente exigidas.</w:t>
            </w:r>
          </w:p>
        </w:tc>
      </w:tr>
      <w:tr w14:paraId="56627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0" w:type="dxa"/>
          </w:tcPr>
          <w:p w14:paraId="00931DB6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Proteção de dados pessoais</w:t>
            </w:r>
          </w:p>
        </w:tc>
        <w:tc>
          <w:tcPr>
            <w:tcW w:w="0" w:type="dxa"/>
          </w:tcPr>
          <w:p w14:paraId="72D16CC9">
            <w:pPr>
              <w:spacing w:before="100" w:after="100"/>
              <w:jc w:val="left"/>
            </w:pPr>
            <w:r>
              <w:rPr>
                <w:rFonts w:ascii="Times New Roman" w:hAnsi="Times New Roman"/>
                <w:sz w:val="24"/>
              </w:rPr>
              <w:t>A banca segue protocolos de acordo com a LGPD, garantindo sigilo e integridade das informações dos candidatos.</w:t>
            </w:r>
          </w:p>
        </w:tc>
      </w:tr>
    </w:tbl>
    <w:p w14:paraId="7793885E">
      <w:pPr>
        <w:spacing w:after="60"/>
      </w:pPr>
    </w:p>
    <w:p w14:paraId="1BC3EBA6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Principais Características e Benefícios da Solução</w:t>
      </w:r>
    </w:p>
    <w:p w14:paraId="5C31D54A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Eficiência operacional:</w:t>
      </w:r>
      <w:r>
        <w:rPr>
          <w:rFonts w:ascii="Times New Roman" w:hAnsi="Times New Roman"/>
          <w:sz w:val="24"/>
        </w:rPr>
        <w:t>Desonera a administração municipal de grande parte das tarefas administrativas e operacionais do certame.</w:t>
      </w:r>
    </w:p>
    <w:p w14:paraId="60E7BAB5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Ampliação do acesso:</w:t>
      </w:r>
      <w:r>
        <w:rPr>
          <w:rFonts w:ascii="Times New Roman" w:hAnsi="Times New Roman"/>
          <w:sz w:val="24"/>
        </w:rPr>
        <w:t>Utilização de tecnologia para permitir inscrições online, divulgação de editais e resultados de forma ampla e acessível.</w:t>
      </w:r>
    </w:p>
    <w:p w14:paraId="40BBE65E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Especialização:</w:t>
      </w:r>
      <w:r>
        <w:rPr>
          <w:rFonts w:ascii="Times New Roman" w:hAnsi="Times New Roman"/>
          <w:sz w:val="24"/>
        </w:rPr>
        <w:t>Empresas ou entidades especializadas oferecem equipes e métodos testados e reconhecidos para lidar com grande volume de candidatos e complexidade de provas.</w:t>
      </w:r>
    </w:p>
    <w:p w14:paraId="3EEFE958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Compliance legal e regulatório:</w:t>
      </w:r>
      <w:r>
        <w:rPr>
          <w:rFonts w:ascii="Times New Roman" w:hAnsi="Times New Roman"/>
          <w:sz w:val="24"/>
        </w:rPr>
        <w:t>Atendimento irrestrito a todos os normativos identificados, inclusive requisitos de acessibilidade, inclusão e proteção de dados.</w:t>
      </w:r>
    </w:p>
    <w:p w14:paraId="4E1D5C49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Sustentabilidade:</w:t>
      </w:r>
      <w:r>
        <w:rPr>
          <w:rFonts w:ascii="Times New Roman" w:hAnsi="Times New Roman"/>
          <w:sz w:val="24"/>
        </w:rPr>
        <w:t>Redução do uso de papel e outros recursos, favorecendo processos digitais e condutas de responsabilidade ambiental.</w:t>
      </w:r>
    </w:p>
    <w:p w14:paraId="3DBA2FAB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Segurança jurídica:</w:t>
      </w:r>
      <w:r>
        <w:rPr>
          <w:rFonts w:ascii="Times New Roman" w:hAnsi="Times New Roman"/>
          <w:sz w:val="24"/>
        </w:rPr>
        <w:t>A transparência e a fiscalização contínua trazem confiança para candidatos, cidadãos e órgãos de controle, mitigando riscos de judicialização.</w:t>
      </w:r>
    </w:p>
    <w:p w14:paraId="032B58F0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 xml:space="preserve">• </w:t>
      </w:r>
      <w:r>
        <w:rPr>
          <w:rFonts w:ascii="Times New Roman" w:hAnsi="Times New Roman"/>
          <w:b/>
          <w:sz w:val="24"/>
        </w:rPr>
        <w:t>Gestão do risco:</w:t>
      </w:r>
      <w:r>
        <w:rPr>
          <w:rFonts w:ascii="Times New Roman" w:hAnsi="Times New Roman"/>
          <w:sz w:val="24"/>
        </w:rPr>
        <w:t>A expertise contratada reduz falhas e amplia as garantias de lisura e qualidade em todas as etapas.</w:t>
      </w:r>
    </w:p>
    <w:p w14:paraId="25078BD1">
      <w:pPr>
        <w:spacing w:before="100" w:after="100" w:line="360" w:lineRule="exact"/>
        <w:ind w:firstLine="720"/>
        <w:jc w:val="both"/>
      </w:pPr>
      <w:r>
        <w:rPr>
          <w:rFonts w:ascii="Times New Roman" w:hAnsi="Times New Roman"/>
          <w:sz w:val="24"/>
        </w:rPr>
        <w:t>Conclusão</w:t>
      </w:r>
    </w:p>
    <w:p w14:paraId="266DDAD9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Assim, a contratação de banca examinadora especializada representa a solução que melhor equilibra segurança, eficiência, legalidade, transparência, sustentabilidade e inovação, atendendo de maneira plena a todas as necessidades e requisitos identificados para a realização do concurso público. Esta alternativa contribui diretamente para a regularidade da prestação dos serviços públicos, a valorização do mérito no ingresso ao serviço público e o fortalecimento do interesse coletivo.</w:t>
      </w:r>
    </w:p>
    <w:p w14:paraId="647BA8A0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7. Viabilidade da contratação</w:t>
      </w:r>
    </w:p>
    <w:p w14:paraId="7AB2FD4D">
      <w:pPr>
        <w:spacing w:before="200" w:after="200" w:line="360" w:lineRule="exact"/>
        <w:ind w:firstLine="720"/>
        <w:jc w:val="both"/>
      </w:pPr>
      <w:r>
        <w:rPr>
          <w:rFonts w:ascii="Times New Roman" w:hAnsi="Times New Roman"/>
          <w:sz w:val="24"/>
        </w:rPr>
        <w:t>Sim, a contratação é viável, pois foi conduzida uma análise criteriosa dos requisitos técnicos, soluções disponíveis no mercado e estimativas de custos. A solução identificada atende plenamente às necessidade</w:t>
      </w:r>
      <w:bookmarkStart w:id="0" w:name="_GoBack"/>
      <w:bookmarkEnd w:id="0"/>
      <w:r>
        <w:rPr>
          <w:rFonts w:ascii="Times New Roman" w:hAnsi="Times New Roman"/>
          <w:sz w:val="24"/>
        </w:rPr>
        <w:t>s operacionais e estratégicas, garantindo alta disponibilidade dos serviços essenciais. Além disso, a previsão orçamentária confirma a compatibilidade financeira da contratação, assegurando transparência e eficiência no processo de aquisição.</w:t>
      </w:r>
    </w:p>
    <w:p w14:paraId="199A2D97">
      <w:pPr>
        <w:spacing w:before="200" w:after="200" w:line="360" w:lineRule="exact"/>
        <w:jc w:val="both"/>
      </w:pPr>
      <w:r>
        <w:rPr>
          <w:rFonts w:ascii="Times New Roman" w:hAnsi="Times New Roman"/>
          <w:b/>
          <w:sz w:val="24"/>
        </w:rPr>
        <w:t>8. Responsáveis</w:t>
      </w:r>
    </w:p>
    <w:p w14:paraId="3C662C08">
      <w:pPr>
        <w:spacing w:before="100" w:after="100" w:line="360" w:lineRule="exact"/>
        <w:ind w:firstLine="720"/>
        <w:jc w:val="both"/>
        <w:rPr>
          <w:rFonts w:ascii="Times New Roman" w:hAnsi="Times New Roman"/>
          <w:sz w:val="24"/>
        </w:rPr>
      </w:pPr>
    </w:p>
    <w:p w14:paraId="7B5F39D8">
      <w:pPr>
        <w:spacing w:before="100" w:after="100" w:line="360" w:lineRule="exact"/>
        <w:ind w:firstLine="720"/>
        <w:jc w:val="both"/>
        <w:rPr>
          <w:rFonts w:ascii="Times New Roman" w:hAnsi="Times New Roman"/>
          <w:sz w:val="24"/>
        </w:rPr>
      </w:pPr>
    </w:p>
    <w:p w14:paraId="6F1D61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240" w:lineRule="auto"/>
        <w:ind w:firstLine="720"/>
        <w:jc w:val="both"/>
        <w:textAlignment w:val="auto"/>
        <w:rPr>
          <w:rFonts w:hint="default" w:ascii="Times New Roman" w:hAnsi="Times New Roman"/>
          <w:sz w:val="24"/>
          <w:lang w:val="pt-BR"/>
        </w:rPr>
      </w:pPr>
      <w:r>
        <w:rPr>
          <w:rFonts w:hint="default" w:ascii="Times New Roman" w:hAnsi="Times New Roman"/>
          <w:sz w:val="24"/>
          <w:lang w:val="pt-BR"/>
        </w:rPr>
        <w:t>CINTIA BEATRIZ HILLESHEIM GISCH</w:t>
      </w:r>
    </w:p>
    <w:p w14:paraId="7EBC63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240" w:lineRule="auto"/>
        <w:ind w:firstLine="720"/>
        <w:jc w:val="both"/>
        <w:textAlignment w:val="auto"/>
        <w:rPr>
          <w:rFonts w:hint="default" w:ascii="Times New Roman" w:hAnsi="Times New Roman"/>
          <w:sz w:val="24"/>
          <w:lang w:val="pt-BR"/>
        </w:rPr>
      </w:pPr>
      <w:r>
        <w:rPr>
          <w:rFonts w:hint="default" w:ascii="Times New Roman" w:hAnsi="Times New Roman"/>
          <w:sz w:val="24"/>
          <w:lang w:val="pt-BR"/>
        </w:rPr>
        <w:t>Diretora do Departamento de Recursos Humanos</w:t>
      </w:r>
    </w:p>
    <w:sectPr>
      <w:footerReference r:id="rId3" w:type="default"/>
      <w:pgMar w:top="567" w:right="1134" w:bottom="567" w:left="1700" w:header="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BEBED">
    <w:pPr>
      <w:spacing w:before="0" w:after="0"/>
      <w:jc w:val="right"/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 PAGE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>1</w:t>
    </w:r>
    <w:r>
      <w:rPr>
        <w:rFonts w:ascii="Times New Roman" w:hAnsi="Times New Roman"/>
        <w:sz w:val="20"/>
      </w:rPr>
      <w:fldChar w:fldCharType="end"/>
    </w:r>
    <w:r>
      <w:rPr>
        <w:rFonts w:ascii="Times New Roman" w:hAnsi="Times New Roman"/>
        <w:sz w:val="20"/>
      </w:rPr>
      <w:t>/</w:t>
    </w: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 NUMPAGES 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>1</w:t>
    </w:r>
    <w:r>
      <w:rPr>
        <w:rFonts w:ascii="Times New Roman" w:hAnsi="Times New Roman"/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7679E2"/>
    <w:rsid w:val="49C50B4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TotalTime>6</TotalTime>
  <ScaleCrop>false</ScaleCrop>
  <LinksUpToDate>false</LinksUpToDate>
  <Application>WPS Office_12.2.0.23155_F1E327BC-269C-435d-A152-05C5408002CA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2025-11-24T18:35:00Z</dcterms:created>
  <dc:creator>cintia</dc:creator>
  <cp:lastModifiedBy>Evandro Luis Lenhart</cp:lastModifiedBy>
  <dcterms:modified xsi:type="dcterms:W3CDTF">2025-11-28T19:26:12Z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9CE207D7F17B404789DB48FF11940927_13</vt:lpwstr>
  </property>
</Properties>
</file>