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start="-851" w:end="-426"/>
        <w:jc w:val="center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 xml:space="preserve">        </w:t>
      </w:r>
      <w:r>
        <w:rPr>
          <w:b/>
          <w:sz w:val="24"/>
          <w:szCs w:val="24"/>
          <w:shd w:fill="FFFFFF" w:val="clear"/>
        </w:rPr>
        <w:t>ESTUDO TÉCNICO PRELIMINAR</w:t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start="-851" w:end="-426"/>
        <w:jc w:val="center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start="-567"/>
        <w:rPr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>PROCESSO ADMINISTRATIVO Nº 042/2025</w:t>
      </w:r>
    </w:p>
    <w:p>
      <w:pPr>
        <w:pStyle w:val="normal1"/>
        <w:spacing w:lineRule="auto" w:line="360"/>
        <w:ind w:start="-567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>Município de Lindolfo Collor</w:t>
      </w:r>
    </w:p>
    <w:p>
      <w:pPr>
        <w:pStyle w:val="normal1"/>
        <w:spacing w:lineRule="auto" w:line="360"/>
        <w:ind w:start="-567"/>
        <w:rPr>
          <w:b/>
          <w:bCs/>
          <w:sz w:val="24"/>
          <w:szCs w:val="24"/>
        </w:rPr>
      </w:pPr>
      <w:r>
        <w:rPr>
          <w:sz w:val="24"/>
          <w:szCs w:val="24"/>
        </w:rPr>
        <w:t>Secretaria Municipal da Administração, Planejamento e Turismo</w:t>
      </w:r>
      <w:r>
        <w:rPr>
          <w:b/>
          <w:bCs/>
          <w:sz w:val="24"/>
          <w:szCs w:val="24"/>
        </w:rPr>
        <w:br/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start="-567" w:end="-426"/>
        <w:jc w:val="both"/>
        <w:rPr>
          <w:bCs/>
          <w:sz w:val="24"/>
          <w:szCs w:val="24"/>
        </w:rPr>
      </w:pPr>
      <w:r>
        <w:rPr>
          <w:b/>
          <w:sz w:val="24"/>
          <w:szCs w:val="24"/>
          <w:shd w:fill="FFFFFF" w:val="clear"/>
        </w:rPr>
        <w:t>Necessidade da Administração:</w:t>
      </w:r>
      <w:r>
        <w:rPr>
          <w:sz w:val="24"/>
          <w:szCs w:val="24"/>
          <w:shd w:fill="FFFFFF" w:val="clear"/>
        </w:rPr>
        <w:t xml:space="preserve"> </w:t>
      </w:r>
      <w:r>
        <w:rPr>
          <w:bCs/>
          <w:sz w:val="24"/>
          <w:szCs w:val="24"/>
          <w:shd w:fill="FFFFFF" w:val="clear"/>
        </w:rPr>
        <w:t>A Administração Municipal de Lindolfo Collor, por intermédio da Secretaria Municipal da Administração, Planejamento e Turismo, identificou a necessidade de contratação de serviços de locação de banheiros químicos para atendimento do público durante o evento “Kerb na Praça”, programado para o dia 18 de outubro do corrente ano.</w:t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start="-567" w:end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shd w:fill="FFFFFF" w:val="clear"/>
        </w:rPr>
        <w:t xml:space="preserve">         </w:t>
      </w:r>
      <w:r>
        <w:rPr>
          <w:bCs/>
          <w:sz w:val="24"/>
          <w:szCs w:val="24"/>
          <w:shd w:fill="FFFFFF" w:val="clear"/>
        </w:rPr>
        <w:t>O evento será viabilizado com recursos vinculados recebidos do Governo do Estado do Rio Grande do Sul, por meio do Processo Participativo – Consulta Popular 2023/2024, conforme estabelecido no Convênio FPE nº 5080/2024.</w:t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start="-567" w:end="-426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>1. DESCRIÇÃO DA NECESSIDADE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ab/>
        <w:t>A presente contratação é necessária para assegurar a infraestrutura adequada ao evento “Kerb na Praça”, considerando o grande fluxo de visitantes previsto. A disponibilização de banheiros químicos garantirá condições de higiene, conforto e acessibilidade, atendendo às necessidades básicas da população e contribuindo para a segurança sanitária e a boa organização do evento.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 xml:space="preserve">        </w:t>
      </w:r>
      <w:r>
        <w:rPr>
          <w:sz w:val="24"/>
          <w:szCs w:val="24"/>
          <w:shd w:fill="FFFFFF" w:val="clear"/>
        </w:rPr>
        <w:t>Além disso, a medida encontra-se em consonância com o plano de trabalho aprovado pelo órgão estadual competente, assegurando a correta aplicação dos recursos vinculados ao convênio.</w:t>
      </w:r>
    </w:p>
    <w:p>
      <w:pPr>
        <w:pStyle w:val="normal1"/>
        <w:spacing w:lineRule="auto" w:line="360"/>
        <w:ind w:hanging="0" w:start="0" w:end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>2. DESCRIÇÃO DOS REQUISITOS DA CONTRATAÇÃO</w:t>
      </w:r>
    </w:p>
    <w:p>
      <w:pPr>
        <w:pStyle w:val="normal1"/>
        <w:spacing w:lineRule="auto" w:line="360"/>
        <w:ind w:firstLine="567" w:start="-567" w:end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>Os bens a serem contratados possuem natureza de prestação de serviços, considerando que seus padrões de desempenho e qualidade podem ser objetivamente definidos mediante especificações técnicas adequadas, nos termos do art. 6º, inciso XIII, da Lei Federal nº 14.133/2021.</w:t>
      </w:r>
    </w:p>
    <w:p>
      <w:pPr>
        <w:pStyle w:val="normal1"/>
        <w:spacing w:lineRule="auto" w:line="360"/>
        <w:ind w:firstLine="567" w:start="-567" w:end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>A contratação será realizada por dispensa de licitação, uma vez que o valor estimado se enquadra no limite legal estabelecido pela referida Lei para essa modalidade, não havendo obrigatoriedade de procedimento licitatório.</w:t>
      </w:r>
    </w:p>
    <w:p>
      <w:pPr>
        <w:pStyle w:val="normal1"/>
        <w:spacing w:lineRule="auto" w:line="360"/>
        <w:ind w:firstLine="567" w:start="-567" w:end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>Para a execução do objeto, os interessados deverão comprovar atuação em ramo de atividade compatível, além de apresentar a documentação exigida para fins de habilitação, em conformidade com o disposto no art. 62 e seguintes da Lei nº 14.133/2021.</w:t>
      </w:r>
    </w:p>
    <w:p>
      <w:pPr>
        <w:pStyle w:val="normal1"/>
        <w:spacing w:lineRule="auto" w:line="360"/>
        <w:ind w:start="-567" w:end="-426"/>
        <w:jc w:val="both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>3. ESTIMATIVA DAS QUANTIDADES</w:t>
      </w:r>
    </w:p>
    <w:p>
      <w:pPr>
        <w:pStyle w:val="normal1"/>
        <w:spacing w:lineRule="auto" w:line="360"/>
        <w:ind w:hanging="0" w:start="-567" w:end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>Para atender às necessidades do evento, será realizada a locação de:</w:t>
      </w:r>
    </w:p>
    <w:p>
      <w:pPr>
        <w:pStyle w:val="normal1"/>
        <w:spacing w:lineRule="auto" w:line="360"/>
        <w:ind w:firstLine="927" w:start="-567" w:end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1"/>
        <w:spacing w:lineRule="auto" w:line="360"/>
        <w:ind w:firstLine="927" w:start="-567" w:end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- 04 (quatro) banheiros químicos modelo standard;</w:t>
      </w:r>
    </w:p>
    <w:p>
      <w:pPr>
        <w:pStyle w:val="normal1"/>
        <w:spacing w:lineRule="auto" w:line="360"/>
        <w:ind w:firstLine="927" w:start="-567" w:end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- 01 (um) banheiro químico adaptado para pessoa com deficiência (PCD).</w:t>
      </w:r>
    </w:p>
    <w:p>
      <w:pPr>
        <w:pStyle w:val="normal1"/>
        <w:spacing w:lineRule="auto" w:line="360"/>
        <w:ind w:firstLine="927" w:start="-567" w:end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1"/>
        <w:spacing w:lineRule="auto" w:line="360"/>
        <w:ind w:hanging="0" w:start="-567" w:end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>O serviço contemplará transporte de ida e volta, instalação no local, fornecimento de insumos (papel higiênico, bactericida e odorizador), bem como a sucção de dejetos e destinação final em estação de tratamento licenciada.</w:t>
      </w:r>
    </w:p>
    <w:p>
      <w:pPr>
        <w:pStyle w:val="normal1"/>
        <w:spacing w:lineRule="auto" w:line="360"/>
        <w:ind w:start="-567" w:end="-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4. ALTERNATIVAS DISPONÍVEIS NO MERCADO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>Conforme pesquisa de mercado realizada, para solução da necessidade administrativa, objeto do presente Estudo Técnico Preliminar, vislumbra-se possível, sob o aspecto técnico e econômico, a contratação de empresas especializadas, seguindo os seguintes critérios:</w:t>
      </w:r>
    </w:p>
    <w:p>
      <w:pPr>
        <w:pStyle w:val="BodyText"/>
        <w:spacing w:lineRule="auto" w:line="360"/>
        <w:ind w:hanging="1" w:start="-567" w:end="-426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  <w:t>1. Capacidade Técnica e Adequação ao Objeto:</w:t>
      </w:r>
    </w:p>
    <w:p>
      <w:pPr>
        <w:pStyle w:val="BodyText"/>
        <w:spacing w:lineRule="auto" w:line="360"/>
        <w:ind w:hanging="1" w:start="-567" w:end="-426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  <w:tab/>
        <w:t>As empresas foram selecionadas com base em sua comprovada competência técnica para fornecer os bens ou prestar os serviços compatíveis com o objeto da contratação. Foram analisados portfólios, referências e experiência anterior com produtos/serviços semelhantes aos que serão adquiridos.</w:t>
      </w:r>
    </w:p>
    <w:p>
      <w:pPr>
        <w:pStyle w:val="BodyText"/>
        <w:spacing w:lineRule="auto" w:line="360"/>
        <w:ind w:hanging="1" w:start="-567" w:end="-426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  <w:t>2. Reputação e Regularidade Fiscal:</w:t>
      </w:r>
    </w:p>
    <w:p>
      <w:pPr>
        <w:pStyle w:val="BodyText"/>
        <w:spacing w:lineRule="auto" w:line="360"/>
        <w:ind w:hanging="1" w:start="-567" w:end="-426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  <w:tab/>
        <w:t>As empresas selecionadas possuem reputação sólida no mercado, com histórico de cumprimento de contratos semelhantes, além de estarem regulares quanto às obrigações fiscais e trabalhistas, conforme exigido pela legislação vigente, evitando riscos contratuais e garantindo maior confiabilidade.</w:t>
      </w:r>
    </w:p>
    <w:p>
      <w:pPr>
        <w:pStyle w:val="BodyText"/>
        <w:spacing w:lineRule="auto" w:line="360"/>
        <w:ind w:hanging="1" w:start="-567" w:end="-426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  <w:t>3. Preços Competitivos e Condições de Pagamento:</w:t>
      </w:r>
    </w:p>
    <w:p>
      <w:pPr>
        <w:pStyle w:val="BodyText"/>
        <w:spacing w:lineRule="auto" w:line="360"/>
        <w:ind w:hanging="1" w:start="-567" w:end="-426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  <w:tab/>
        <w:t>A escolha buscou garantir a obtenção da melhor proposta em termos de preço, prazo e qualidade, observando a economicidade e vantajosidade para a administração pública, conforme o artigo 71 da Lei nº 14.133/2021, que trata dos princípios da licitação e contratação pública.</w:t>
      </w:r>
    </w:p>
    <w:p>
      <w:pPr>
        <w:pStyle w:val="BodyText"/>
        <w:spacing w:lineRule="auto" w:line="360"/>
        <w:ind w:hanging="1" w:start="-567" w:end="-426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  <w:t>4. Fomento à Competitividade: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>Com o objetivo de assegurar um processo transparente e competitivo, selecionamos empresas de diferentes regiões e com perfis diversos, promovendo uma competição justa entre elas. Isso também garante que a contratação direta, mesmo por dispensa, atenda ao princípio da isonomia.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>Neste sentido, segue indicação de potenciais fornecedores/prestadores de serviços: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rStyle w:val="Strong"/>
          <w:rFonts w:ascii="Arial;Helvetica;sans-serif" w:hAnsi="Arial;Helvetica;sans-serif"/>
          <w:b/>
          <w:bCs/>
          <w:i w:val="false"/>
          <w:caps w:val="false"/>
          <w:smallCaps w:val="false"/>
          <w:color w:val="222222"/>
          <w:spacing w:val="0"/>
          <w:sz w:val="24"/>
          <w:szCs w:val="24"/>
        </w:rPr>
        <w:t>FREEBAN LOCAÇÃO DE BANHEIROS QUÍMICOS LTDA</w:t>
      </w:r>
      <w:r>
        <w:rPr>
          <w:sz w:val="24"/>
          <w:szCs w:val="24"/>
        </w:rPr>
        <w:t xml:space="preserve">, inscrita no </w:t>
      </w:r>
      <w:r>
        <w:rPr>
          <w:b/>
          <w:bCs/>
          <w:sz w:val="24"/>
          <w:szCs w:val="24"/>
        </w:rPr>
        <w:t>CNPJ nº 12.077.472/0001-21</w:t>
        <w:tab/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>Valor: R$ 1.850,00 (um mil oitocentos e cinquenta reais)</w:t>
      </w:r>
    </w:p>
    <w:p>
      <w:pPr>
        <w:pStyle w:val="normal1"/>
        <w:spacing w:lineRule="auto" w:line="360"/>
        <w:ind w:start="-567" w:end="-426"/>
        <w:jc w:val="both"/>
        <w:rPr>
          <w:color w:val="EE0000"/>
          <w:sz w:val="24"/>
          <w:szCs w:val="24"/>
        </w:rPr>
      </w:pPr>
      <w:r>
        <w:rPr>
          <w:color w:val="EE0000"/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b/>
          <w:bCs/>
          <w:sz w:val="24"/>
          <w:szCs w:val="24"/>
        </w:rPr>
      </w:pPr>
      <w:r>
        <w:rPr>
          <w:rStyle w:val="Strong"/>
          <w:rFonts w:ascii="Arial;Helvetica;sans-serif" w:hAnsi="Arial;Helvetica;sans-serif"/>
          <w:b/>
          <w:bCs/>
          <w:i w:val="false"/>
          <w:caps w:val="false"/>
          <w:smallCaps w:val="false"/>
          <w:color w:val="222222"/>
          <w:spacing w:val="0"/>
          <w:sz w:val="24"/>
          <w:szCs w:val="24"/>
        </w:rPr>
        <w:t>TECNISAN SISTEMAS OPERACIONAIS DE SANEAMENTO LTDA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inscrita no CNPJ nº </w:t>
      </w:r>
      <w:r>
        <w:rPr>
          <w:b/>
          <w:bCs/>
        </w:rPr>
        <w:t xml:space="preserve">01.651.522/0001-16 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>Valor: R$ 1.975,00 (um mil novecentos e setenta e cinco reais)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b/>
          <w:bCs/>
          <w:sz w:val="24"/>
          <w:szCs w:val="24"/>
        </w:rPr>
      </w:pPr>
      <w:r>
        <w:rPr>
          <w:b/>
          <w:bCs/>
          <w:i w:val="false"/>
          <w:caps w:val="false"/>
          <w:smallCaps w:val="false"/>
          <w:color w:val="333333"/>
          <w:spacing w:val="0"/>
          <w:sz w:val="24"/>
          <w:szCs w:val="24"/>
        </w:rPr>
        <w:t>VIVIANE DA SILVA TRANSPORTES LTDA</w:t>
      </w:r>
      <w:r>
        <w:rPr>
          <w:b/>
          <w:bCs/>
          <w:sz w:val="24"/>
          <w:szCs w:val="24"/>
        </w:rPr>
        <w:t xml:space="preserve"> (SANELIMP)</w:t>
      </w:r>
      <w:r>
        <w:rPr>
          <w:b/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inscrita no CNPJ nº </w:t>
      </w:r>
      <w:r>
        <w:rPr>
          <w:b/>
          <w:bCs/>
          <w:i w:val="false"/>
          <w:caps w:val="false"/>
          <w:smallCaps w:val="false"/>
          <w:color w:val="333333"/>
          <w:spacing w:val="0"/>
          <w:sz w:val="24"/>
          <w:szCs w:val="24"/>
        </w:rPr>
        <w:t>60.503.076/0001-61</w:t>
      </w:r>
      <w:r>
        <w:rPr>
          <w:b/>
          <w:bCs/>
          <w:sz w:val="24"/>
          <w:szCs w:val="24"/>
        </w:rPr>
        <w:t xml:space="preserve"> 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>Valor: R$ 1.550,00 (um mil quinhentos e cinquenta reais)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5. ESTIMATIVA DO VALOR DA CONTRATAÇÃO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Estima-se o valor final total de </w:t>
      </w:r>
      <w:r>
        <w:rPr>
          <w:b/>
          <w:bCs/>
          <w:sz w:val="24"/>
          <w:szCs w:val="24"/>
          <w:u w:val="single"/>
        </w:rPr>
        <w:t>R$ 1.550,00</w:t>
      </w:r>
      <w:r>
        <w:rPr>
          <w:sz w:val="24"/>
          <w:szCs w:val="24"/>
        </w:rPr>
        <w:t xml:space="preserve">, ofertado pela empresa </w:t>
      </w:r>
      <w:r>
        <w:rPr>
          <w:b/>
          <w:bCs/>
          <w:i w:val="false"/>
          <w:caps w:val="false"/>
          <w:smallCaps w:val="false"/>
          <w:color w:val="333333"/>
          <w:spacing w:val="0"/>
          <w:sz w:val="24"/>
          <w:szCs w:val="24"/>
        </w:rPr>
        <w:t>VIVIANE DA SILVA TRANSPORTES LTDA</w:t>
      </w:r>
      <w:r>
        <w:rPr>
          <w:b/>
          <w:bCs/>
          <w:sz w:val="24"/>
          <w:szCs w:val="24"/>
        </w:rPr>
        <w:t xml:space="preserve"> (SANELIMP)</w:t>
      </w:r>
      <w:r>
        <w:rPr>
          <w:sz w:val="24"/>
          <w:szCs w:val="24"/>
        </w:rPr>
        <w:t xml:space="preserve">, inscrita no CNPJ nº </w:t>
      </w:r>
      <w:r>
        <w:rPr>
          <w:b/>
          <w:bCs/>
          <w:i w:val="false"/>
          <w:caps w:val="false"/>
          <w:smallCaps w:val="false"/>
          <w:color w:val="333333"/>
          <w:spacing w:val="0"/>
          <w:sz w:val="24"/>
          <w:szCs w:val="24"/>
        </w:rPr>
        <w:t>60.503.076/0001-61.</w:t>
      </w:r>
      <w:r>
        <w:rPr>
          <w:b/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 xml:space="preserve">. RESULTADOS PRETENDIDOS 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Pretende-se, com o presente processo, assegurar </w:t>
      </w:r>
      <w:r>
        <w:rPr>
          <w:color w:val="000000"/>
          <w:sz w:val="24"/>
          <w:szCs w:val="24"/>
        </w:rPr>
        <w:t xml:space="preserve">a seleção da proposta apta a gerar a </w:t>
      </w:r>
      <w:r>
        <w:rPr>
          <w:sz w:val="24"/>
          <w:szCs w:val="24"/>
        </w:rPr>
        <w:t xml:space="preserve">aquisição </w:t>
      </w:r>
      <w:r>
        <w:rPr>
          <w:color w:val="000000"/>
          <w:sz w:val="24"/>
          <w:szCs w:val="24"/>
        </w:rPr>
        <w:t>mais vantajosa para o Município.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Almeja-se, igualmente, assegurar tratamento isonômico entre os </w:t>
      </w:r>
      <w:r>
        <w:rPr>
          <w:sz w:val="24"/>
          <w:szCs w:val="24"/>
        </w:rPr>
        <w:t>fornecedores</w:t>
      </w:r>
      <w:r>
        <w:rPr>
          <w:color w:val="000000"/>
          <w:sz w:val="24"/>
          <w:szCs w:val="24"/>
        </w:rPr>
        <w:t>, bem como a justa competição, bem como evitar contratação com sobrepreço ou com preço manifestamente inexequível e superfaturamento na execução do contrato.</w:t>
      </w:r>
      <w:r>
        <w:rPr>
          <w:sz w:val="24"/>
          <w:szCs w:val="24"/>
        </w:rPr>
        <w:t xml:space="preserve"> 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hanging="0" w:start="0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>
        <w:rPr>
          <w:b/>
          <w:color w:val="000000"/>
          <w:sz w:val="24"/>
          <w:szCs w:val="24"/>
        </w:rPr>
        <w:t>. CONTRATAÇÕES CORRELATAS E/OU INTERDEPENDENTES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Este estudo não identificou a necessidade de realizar contratações acessórias para a perfeita execução do objeto, uma vez que todos os meios necessários para a aquisição/operacionalização dos itens podem ser supridos apenas com a </w:t>
      </w:r>
      <w:r>
        <w:rPr>
          <w:sz w:val="24"/>
          <w:szCs w:val="24"/>
        </w:rPr>
        <w:t xml:space="preserve">aquisição </w:t>
      </w:r>
      <w:r>
        <w:rPr>
          <w:color w:val="000000"/>
          <w:sz w:val="24"/>
          <w:szCs w:val="24"/>
        </w:rPr>
        <w:t>ora proposta.</w:t>
      </w:r>
    </w:p>
    <w:p>
      <w:pPr>
        <w:pStyle w:val="normal1"/>
        <w:spacing w:lineRule="auto" w:line="360"/>
        <w:ind w:start="-567" w:end="-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8</w:t>
      </w:r>
      <w:r>
        <w:rPr>
          <w:b/>
          <w:color w:val="000000"/>
          <w:sz w:val="24"/>
          <w:szCs w:val="24"/>
        </w:rPr>
        <w:t xml:space="preserve">. DECLARAÇÃO DE VIABILIDADE 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  <w:t>Lindolfo Collor, 01 de setembro de 2025.</w:t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start="-567" w:end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hanging="0" w:start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76"/>
        <w:ind w:hanging="0" w:star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                            </w:t>
      </w:r>
      <w:r>
        <w:rPr>
          <w:rFonts w:cs="Arial" w:ascii="Arial" w:hAnsi="Arial"/>
          <w:b/>
          <w:bCs/>
          <w:sz w:val="24"/>
          <w:szCs w:val="24"/>
        </w:rPr>
        <w:t>__________________________________________</w:t>
      </w:r>
    </w:p>
    <w:p>
      <w:pPr>
        <w:pStyle w:val="Normal"/>
        <w:spacing w:lineRule="auto" w:line="360"/>
        <w:ind w:hanging="0" w:star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Ana Paula de Oliveira Fuchs</w:t>
      </w:r>
    </w:p>
    <w:p>
      <w:pPr>
        <w:pStyle w:val="Normal"/>
        <w:spacing w:lineRule="auto" w:line="360"/>
        <w:ind w:hanging="0" w:star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Secretária Mun. da Administração, Planejamento e Turismo</w:t>
      </w:r>
    </w:p>
    <w:p>
      <w:pPr>
        <w:pStyle w:val="Normal"/>
        <w:spacing w:lineRule="auto" w:line="360"/>
        <w:ind w:hanging="0" w:star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Lindolfo Collor</w:t>
      </w:r>
      <w:r>
        <w:rPr>
          <w:rFonts w:cs="Arial" w:ascii="Arial" w:hAnsi="Arial"/>
          <w:color w:val="001D35"/>
          <w:sz w:val="27"/>
          <w:szCs w:val="27"/>
          <w:shd w:fill="FFFFFF" w:val="clear"/>
        </w:rPr>
        <w:t xml:space="preserve"> </w:t>
      </w:r>
      <w:r>
        <w:rPr>
          <w:rFonts w:cs="Arial" w:ascii="Arial" w:hAnsi="Arial"/>
          <w:b/>
          <w:bCs/>
          <w:sz w:val="24"/>
          <w:szCs w:val="24"/>
        </w:rPr>
        <w:t>/RS</w:t>
      </w:r>
    </w:p>
    <w:p>
      <w:pPr>
        <w:pStyle w:val="normal1"/>
        <w:spacing w:lineRule="auto" w:line="360"/>
        <w:ind w:start="-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hanging="0" w:star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0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egoe UI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ourier New">
    <w:charset w:val="00" w:characterSet="windows-1252"/>
    <w:family w:val="roman"/>
    <w:pitch w:val="variable"/>
  </w:font>
  <w:font w:name="Georgia">
    <w:charset w:val="00" w:characterSet="windows-1252"/>
    <w:family w:val="roman"/>
    <w:pitch w:val="variable"/>
  </w:font>
  <w:font w:name="Arial MT">
    <w:charset w:val="00" w:characterSet="windows-1252"/>
    <w:family w:val="swiss"/>
    <w:pitch w:val="variable"/>
  </w:font>
  <w:font w:name="Arial">
    <w:altName w:val="Helvetica"/>
    <w:charset w:val="00" w:characterSet="windows-1252"/>
    <w:family w:val="roman"/>
    <w:pitch w:val="variable"/>
  </w:font>
  <w:font w:name="Bahnschrift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lainText"/>
      <w:ind w:hanging="0" w:star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Av. Capivara, 1314, Centro, Lindolfo Collor – RS – CEP 93940-000</w:t>
    </w:r>
  </w:p>
  <w:p>
    <w:pPr>
      <w:pStyle w:val="PlainText"/>
      <w:ind w:hanging="2" w:star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Fone: (51) 3552 1444 - CNPJ: 94.707.486/0001-46</w:t>
    </w:r>
  </w:p>
  <w:p>
    <w:pPr>
      <w:pStyle w:val="PlainText"/>
      <w:ind w:hanging="2" w:star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www.lindolfocollor.rs.gov.br</w:t>
    </w:r>
  </w:p>
  <w:p>
    <w:pPr>
      <w:pStyle w:val="Footer"/>
      <w:ind w:hanging="2" w:start="0"/>
      <w:rPr>
        <w:sz w:val="24"/>
        <w:szCs w:val="24"/>
      </w:rPr>
    </w:pPr>
    <w:r>
      <w:rPr>
        <w:sz w:val="24"/>
        <w:szCs w:val="2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lainText"/>
      <w:ind w:hanging="0" w:star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Av. Capivara, 1314, Centro, Lindolfo Collor – RS – CEP 93940-000</w:t>
    </w:r>
  </w:p>
  <w:p>
    <w:pPr>
      <w:pStyle w:val="PlainText"/>
      <w:ind w:hanging="2" w:star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Fone: (51) 3552 1444 - CNPJ: 94.707.486/0001-46</w:t>
    </w:r>
  </w:p>
  <w:p>
    <w:pPr>
      <w:pStyle w:val="PlainText"/>
      <w:ind w:hanging="2" w:star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www.lindolfocollor.rs.gov.br</w:t>
    </w:r>
  </w:p>
  <w:p>
    <w:pPr>
      <w:pStyle w:val="Footer"/>
      <w:ind w:hanging="2" w:start="0"/>
      <w:rPr>
        <w:sz w:val="24"/>
        <w:szCs w:val="24"/>
      </w:rPr>
    </w:pPr>
    <w:r>
      <w:rPr>
        <w:sz w:val="24"/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numPr>
        <w:ilvl w:val="0"/>
        <w:numId w:val="1"/>
      </w:numPr>
      <w:ind w:hanging="2" w:start="0"/>
      <w:jc w:val="center"/>
      <w:rPr/>
    </w:pPr>
    <w:r>
      <w:rPr/>
    </w:r>
  </w:p>
  <w:p>
    <w:pPr>
      <w:pStyle w:val="Normal"/>
      <w:numPr>
        <w:ilvl w:val="0"/>
        <w:numId w:val="1"/>
      </w:numPr>
      <w:ind w:hanging="2" w:star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1605280</wp:posOffset>
          </wp:positionH>
          <wp:positionV relativeFrom="paragraph">
            <wp:posOffset>85725</wp:posOffset>
          </wp:positionV>
          <wp:extent cx="2505075" cy="582295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numPr>
        <w:ilvl w:val="0"/>
        <w:numId w:val="1"/>
      </w:numPr>
      <w:ind w:hanging="2" w:star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2" w:star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0" w:start="-2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bCs/>
        <w:sz w:val="24"/>
        <w:szCs w:val="24"/>
      </w:rPr>
    </w:r>
  </w:p>
  <w:p>
    <w:pPr>
      <w:pStyle w:val="Normal"/>
      <w:numPr>
        <w:ilvl w:val="0"/>
        <w:numId w:val="1"/>
      </w:numPr>
      <w:ind w:hanging="0" w:start="-2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bCs/>
        <w:sz w:val="24"/>
        <w:szCs w:val="24"/>
      </w:rPr>
      <w:t>Estado do Rio Grande do Sul</w:t>
    </w:r>
  </w:p>
  <w:p>
    <w:pPr>
      <w:pStyle w:val="Header"/>
      <w:ind w:hanging="2" w:start="0"/>
      <w:rPr/>
    </w:pPr>
    <w:r>
      <w:rPr/>
      <w:drawing>
        <wp:anchor behindDoc="0" distT="0" distB="0" distL="114300" distR="114300" simplePos="0" locked="0" layoutInCell="0" allowOverlap="1" relativeHeight="9">
          <wp:simplePos x="0" y="0"/>
          <wp:positionH relativeFrom="column">
            <wp:posOffset>5263515</wp:posOffset>
          </wp:positionH>
          <wp:positionV relativeFrom="paragraph">
            <wp:posOffset>9080500</wp:posOffset>
          </wp:positionV>
          <wp:extent cx="676275" cy="676275"/>
          <wp:effectExtent l="0" t="0" r="0" b="0"/>
          <wp:wrapTight wrapText="bothSides">
            <wp:wrapPolygon edited="0">
              <wp:start x="-288" y="0"/>
              <wp:lineTo x="-288" y="21025"/>
              <wp:lineTo x="21311" y="21025"/>
              <wp:lineTo x="21311" y="0"/>
              <wp:lineTo x="-288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numPr>
        <w:ilvl w:val="0"/>
        <w:numId w:val="1"/>
      </w:numPr>
      <w:ind w:hanging="2" w:start="0"/>
      <w:jc w:val="center"/>
      <w:rPr/>
    </w:pPr>
    <w:r>
      <w:rPr/>
    </w:r>
  </w:p>
  <w:p>
    <w:pPr>
      <w:pStyle w:val="Normal"/>
      <w:numPr>
        <w:ilvl w:val="0"/>
        <w:numId w:val="1"/>
      </w:numPr>
      <w:ind w:hanging="2" w:star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1605280</wp:posOffset>
          </wp:positionH>
          <wp:positionV relativeFrom="paragraph">
            <wp:posOffset>85725</wp:posOffset>
          </wp:positionV>
          <wp:extent cx="2505075" cy="582295"/>
          <wp:effectExtent l="0" t="0" r="0" b="0"/>
          <wp:wrapTopAndBottom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numPr>
        <w:ilvl w:val="0"/>
        <w:numId w:val="1"/>
      </w:numPr>
      <w:ind w:hanging="2" w:star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2" w:star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0" w:start="-2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bCs/>
        <w:sz w:val="24"/>
        <w:szCs w:val="24"/>
      </w:rPr>
    </w:r>
  </w:p>
  <w:p>
    <w:pPr>
      <w:pStyle w:val="Normal"/>
      <w:numPr>
        <w:ilvl w:val="0"/>
        <w:numId w:val="1"/>
      </w:numPr>
      <w:ind w:hanging="0" w:start="-2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bCs/>
        <w:sz w:val="24"/>
        <w:szCs w:val="24"/>
      </w:rPr>
      <w:t>Estado do Rio Grande do Sul</w:t>
    </w:r>
  </w:p>
  <w:p>
    <w:pPr>
      <w:pStyle w:val="Header"/>
      <w:ind w:hanging="2" w:start="0"/>
      <w:rPr/>
    </w:pPr>
    <w:r>
      <w:rPr/>
      <w:drawing>
        <wp:anchor behindDoc="0" distT="0" distB="0" distL="114300" distR="114300" simplePos="0" locked="0" layoutInCell="0" allowOverlap="1" relativeHeight="9">
          <wp:simplePos x="0" y="0"/>
          <wp:positionH relativeFrom="column">
            <wp:posOffset>5263515</wp:posOffset>
          </wp:positionH>
          <wp:positionV relativeFrom="paragraph">
            <wp:posOffset>9080500</wp:posOffset>
          </wp:positionV>
          <wp:extent cx="676275" cy="676275"/>
          <wp:effectExtent l="0" t="0" r="0" b="0"/>
          <wp:wrapTight wrapText="bothSides">
            <wp:wrapPolygon edited="0">
              <wp:start x="-288" y="0"/>
              <wp:lineTo x="-288" y="21025"/>
              <wp:lineTo x="21311" y="21025"/>
              <wp:lineTo x="21311" y="0"/>
              <wp:lineTo x="-288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0520f"/>
    <w:pPr>
      <w:widowControl/>
      <w:suppressAutoHyphens w:val="true"/>
      <w:bidi w:val="0"/>
      <w:spacing w:lineRule="atLeast" w:line="1" w:before="0" w:after="0"/>
      <w:ind w:hanging="1" w:start="-1"/>
      <w:jc w:val="star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position w:val="-1"/>
      <w:sz w:val="20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rsid w:val="00c47bab"/>
    <w:pPr>
      <w:keepNext w:val="true"/>
      <w:ind w:firstLine="2268" w:start="288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c47bab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rsid w:val="00c47bab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rsid w:val="00c47bab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rsid w:val="00c47bab"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rsid w:val="00c47bab"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c47bab"/>
    <w:rPr>
      <w:rFonts w:ascii="Segoe UI" w:hAnsi="Segoe UI" w:cs="Segoe UI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TextodenotaderodapChar" w:customStyle="1">
    <w:name w:val="Texto de nota de rodapé Char"/>
    <w:qFormat/>
    <w:rsid w:val="00c47bab"/>
    <w:rPr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Caracteresdenotaderodapuser">
    <w:name w:val="Caracteres de nota de rodapé (user)"/>
    <w:qFormat/>
    <w:rsid w:val="00c47bab"/>
    <w:rPr>
      <w:w w:val="100"/>
      <w:effect w:val="none"/>
      <w:vertAlign w:val="superscript"/>
      <w:em w:val="none"/>
    </w:rPr>
  </w:style>
  <w:style w:type="character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FootnoteReference">
    <w:name w:val="footnote reference"/>
    <w:rPr>
      <w:w w:val="100"/>
      <w:effect w:val="none"/>
      <w:vertAlign w:val="superscript"/>
      <w:em w:val="none"/>
    </w:rPr>
  </w:style>
  <w:style w:type="character" w:styleId="FootnoteTextChar1" w:customStyle="1">
    <w:name w:val="Footnote Text Char1"/>
    <w:qFormat/>
    <w:rsid w:val="00c47bab"/>
    <w:rPr>
      <w:w w:val="100"/>
      <w:position w:val="0"/>
      <w:sz w:val="20"/>
      <w:sz w:val="20"/>
      <w:effect w:val="none"/>
      <w:vertAlign w:val="baseline"/>
      <w:em w:val="none"/>
      <w:lang w:val="pt-BR" w:eastAsia="pt-BR"/>
    </w:rPr>
  </w:style>
  <w:style w:type="character" w:styleId="CabealhoCarter" w:customStyle="1">
    <w:name w:val="Cabeçalho Caráter"/>
    <w:uiPriority w:val="99"/>
    <w:qFormat/>
    <w:rsid w:val="008445e9"/>
    <w:rPr>
      <w:vertAlign w:val="subscript"/>
    </w:rPr>
  </w:style>
  <w:style w:type="character" w:styleId="RodapCarter" w:customStyle="1">
    <w:name w:val="Rodapé Caráter"/>
    <w:uiPriority w:val="99"/>
    <w:qFormat/>
    <w:rsid w:val="008445e9"/>
    <w:rPr>
      <w:vertAlign w:val="subscript"/>
    </w:rPr>
  </w:style>
  <w:style w:type="character" w:styleId="normaltextrun" w:customStyle="1">
    <w:name w:val="normaltextrun"/>
    <w:qFormat/>
    <w:rsid w:val="00843042"/>
    <w:rPr/>
  </w:style>
  <w:style w:type="character" w:styleId="eop" w:customStyle="1">
    <w:name w:val="eop"/>
    <w:qFormat/>
    <w:rsid w:val="00843042"/>
    <w:rPr/>
  </w:style>
  <w:style w:type="character" w:styleId="apple-converted-space" w:customStyle="1">
    <w:name w:val="apple-converted-space"/>
    <w:qFormat/>
    <w:rsid w:val="00843042"/>
    <w:rPr/>
  </w:style>
  <w:style w:type="character" w:styleId="Hyperlink">
    <w:name w:val="Hyperlink"/>
    <w:basedOn w:val="DefaultParagraphFont"/>
    <w:uiPriority w:val="99"/>
    <w:unhideWhenUsed/>
    <w:rsid w:val="00d55ce8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55ce8"/>
    <w:rPr>
      <w:color w:val="605E5C"/>
      <w:shd w:fill="E1DFDD" w:val="clear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47bab"/>
    <w:pPr>
      <w:jc w:val="both"/>
    </w:pPr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qFormat/>
    <w:rsid w:val="00c47bab"/>
    <w:pPr>
      <w:keepNext w:val="true"/>
      <w:keepLines/>
      <w:spacing w:before="480" w:after="120"/>
    </w:pPr>
    <w:rPr>
      <w:b/>
      <w:sz w:val="72"/>
      <w:szCs w:val="72"/>
    </w:rPr>
  </w:style>
  <w:style w:type="paragraph" w:styleId="A313172" w:customStyle="1">
    <w:name w:val="_A313172"/>
    <w:qFormat/>
    <w:rsid w:val="00c47bab"/>
    <w:pPr>
      <w:widowControl/>
      <w:suppressAutoHyphens w:val="true"/>
      <w:bidi w:val="0"/>
      <w:spacing w:lineRule="atLeast" w:line="1" w:before="0" w:after="0"/>
      <w:ind w:hangingChars="1" w:startChars="-5" w:end="576"/>
      <w:jc w:val="both"/>
      <w:textAlignment w:val="top"/>
      <w:outlineLvl w:val="0"/>
    </w:pPr>
    <w:rPr>
      <w:rFonts w:ascii="Times New Roman" w:hAnsi="Times New Roman" w:eastAsia="Times New Roman" w:cs="Times New Roman"/>
      <w:color w:val="000000"/>
      <w:kern w:val="0"/>
      <w:position w:val="-1"/>
      <w:sz w:val="24"/>
      <w:szCs w:val="24"/>
      <w:lang w:val="pt-BR" w:eastAsia="pt-BR" w:bidi="ar-SA"/>
    </w:rPr>
  </w:style>
  <w:style w:type="paragraph" w:styleId="BodyText2">
    <w:name w:val="Body Text 2"/>
    <w:basedOn w:val="Normal"/>
    <w:qFormat/>
    <w:rsid w:val="00c47bab"/>
    <w:pPr>
      <w:ind w:firstLine="2268"/>
      <w:jc w:val="both"/>
    </w:pPr>
    <w:rPr>
      <w:sz w:val="28"/>
      <w:szCs w:val="28"/>
    </w:rPr>
  </w:style>
  <w:style w:type="paragraph" w:styleId="BodyTextIndent2">
    <w:name w:val="Body Text Indent 2"/>
    <w:basedOn w:val="Normal"/>
    <w:qFormat/>
    <w:rsid w:val="00c47bab"/>
    <w:pPr>
      <w:ind w:firstLine="2268"/>
      <w:jc w:val="both"/>
    </w:pPr>
    <w:rPr>
      <w:rFonts w:ascii="Arial" w:hAnsi="Arial" w:cs="Arial"/>
      <w:sz w:val="24"/>
      <w:szCs w:val="24"/>
    </w:rPr>
  </w:style>
  <w:style w:type="paragraph" w:styleId="PlainText">
    <w:name w:val="Plain Text"/>
    <w:basedOn w:val="Normal"/>
    <w:qFormat/>
    <w:rsid w:val="00c47bab"/>
    <w:pPr/>
    <w:rPr>
      <w:rFonts w:ascii="Courier New" w:hAnsi="Courier New" w:cs="Courier New"/>
    </w:rPr>
  </w:style>
  <w:style w:type="paragraph" w:styleId="BalloonText">
    <w:name w:val="Balloon Text"/>
    <w:basedOn w:val="Normal"/>
    <w:qFormat/>
    <w:rsid w:val="00c47bab"/>
    <w:pPr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rsid w:val="00c47bab"/>
    <w:pPr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qFormat/>
    <w:rsid w:val="00c47bab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arter"/>
    <w:uiPriority w:val="99"/>
    <w:unhideWhenUsed/>
    <w:rsid w:val="008445e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"/>
    <w:link w:val="RodapCarter"/>
    <w:uiPriority w:val="99"/>
    <w:unhideWhenUsed/>
    <w:rsid w:val="008445e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Standard" w:customStyle="1">
    <w:name w:val="Standard"/>
    <w:qFormat/>
    <w:rsid w:val="008445e9"/>
    <w:pPr>
      <w:widowControl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Noto Sans SC Regular" w:cs="Droid Sans Devanagari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qFormat/>
    <w:rsid w:val="00e0520f"/>
    <w:pPr>
      <w:suppressAutoHyphens w:val="false"/>
      <w:spacing w:lineRule="auto" w:line="240" w:before="280" w:after="280"/>
      <w:ind w:hanging="0" w:start="0"/>
      <w:textAlignment w:val="auto"/>
      <w:outlineLvl w:val="9"/>
    </w:pPr>
    <w:rPr>
      <w:sz w:val="24"/>
      <w:szCs w:val="24"/>
    </w:rPr>
  </w:style>
  <w:style w:type="paragraph" w:styleId="paragraph" w:customStyle="1">
    <w:name w:val="paragraph"/>
    <w:basedOn w:val="Normal"/>
    <w:qFormat/>
    <w:rsid w:val="00843042"/>
    <w:pPr>
      <w:suppressAutoHyphens w:val="false"/>
      <w:spacing w:lineRule="auto" w:line="240" w:before="280" w:after="280"/>
      <w:ind w:hanging="0" w:start="0"/>
      <w:textAlignment w:val="auto"/>
      <w:outlineLvl w:val="9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2f1280"/>
    <w:pPr>
      <w:spacing w:before="0" w:after="0"/>
      <w:ind w:start="720"/>
      <w:contextualSpacing/>
    </w:pPr>
    <w:rPr/>
  </w:style>
  <w:style w:type="paragraph" w:styleId="TableParagraph" w:customStyle="1">
    <w:name w:val="Table Paragraph"/>
    <w:basedOn w:val="Normal"/>
    <w:uiPriority w:val="1"/>
    <w:qFormat/>
    <w:rsid w:val="00d60ae9"/>
    <w:pPr>
      <w:widowControl w:val="false"/>
      <w:suppressAutoHyphens w:val="false"/>
      <w:spacing w:lineRule="auto" w:line="240"/>
      <w:ind w:hanging="0" w:start="110"/>
      <w:textAlignment w:val="auto"/>
      <w:outlineLvl w:val="9"/>
    </w:pPr>
    <w:rPr>
      <w:rFonts w:ascii="Arial MT" w:hAnsi="Arial MT" w:eastAsia="Arial MT" w:cs="Arial MT"/>
      <w:sz w:val="22"/>
      <w:szCs w:val="22"/>
      <w:lang w:val="pt-PT" w:eastAsia="en-US"/>
    </w:rPr>
  </w:style>
  <w:style w:type="paragraph" w:styleId="normal1" w:customStyle="1">
    <w:name w:val="normal1"/>
    <w:qFormat/>
    <w:rsid w:val="009e2a14"/>
    <w:pPr>
      <w:widowControl/>
      <w:suppressAutoHyphens w:val="true"/>
      <w:bidi w:val="0"/>
      <w:spacing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60ae9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OwbZrtNRKeEVqrwDioIp+q+HR3g==">AMUW2mWRaTeCS1lGItoXVQTqul6uj+88VQd5M3OkzYevxTmjiC8GnmOitVPmCq0hQAgJFIaSuUM97SEjacXop5igF9E2q6xevH6lvDH+6AQuymNaNDktqOg=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Application>LibreOffice/25.8.0.4$Windows_X86_64 LibreOffice_project/48f00303701489684e67c38c28aff00cd5929e67</Application>
  <AppVersion>15.0000</AppVersion>
  <Pages>4</Pages>
  <Words>890</Words>
  <Characters>5477</Characters>
  <CharactersWithSpaces>6406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2025-04-03T20:40:00Z</dcterms:created>
  <dc:creator>Jair de Almeida</dc:creator>
  <dc:description/>
  <dc:language>pt-BR</dc:language>
  <cp:lastModifiedBy/>
  <cp:lastPrinted>2025-09-01T17:44:35Z</cp:lastPrinted>
  <dcterms:modified xsi:type="dcterms:W3CDTF">2025-09-01T17:44:38Z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