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png" ContentType="image/png"/>
  <Override PartName="/word/media/image2.png" ContentType="image/pn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left="-851" w:right="-426"/>
        <w:jc w:val="center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 xml:space="preserve">      </w:t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left="-851" w:right="-426"/>
        <w:jc w:val="center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 xml:space="preserve">        </w:t>
      </w:r>
      <w:r>
        <w:rPr>
          <w:b/>
          <w:sz w:val="24"/>
          <w:szCs w:val="24"/>
          <w:shd w:fill="FFFFFF" w:val="clear"/>
        </w:rPr>
        <w:t>ESTUDO TÉCNICO PRELIMINAR</w:t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left="-851" w:right="-426"/>
        <w:jc w:val="center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left="-851" w:right="-426"/>
        <w:jc w:val="center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left="-567"/>
        <w:rPr>
          <w:sz w:val="24"/>
          <w:szCs w:val="24"/>
        </w:rPr>
      </w:pPr>
      <w:r>
        <w:rPr>
          <w:b/>
          <w:sz w:val="24"/>
          <w:szCs w:val="24"/>
          <w:shd w:fill="FFFFFF" w:val="clear"/>
        </w:rPr>
        <w:t>PROCESSO ADMI</w:t>
      </w:r>
      <w:r>
        <w:rPr>
          <w:b/>
          <w:color w:val="000000"/>
          <w:sz w:val="24"/>
          <w:szCs w:val="24"/>
          <w:shd w:fill="FFFFFF" w:val="clear"/>
        </w:rPr>
        <w:t>NISTRATIVO</w:t>
      </w:r>
    </w:p>
    <w:p>
      <w:pPr>
        <w:pStyle w:val="normal1"/>
        <w:spacing w:lineRule="auto" w:line="360"/>
        <w:ind w:left="-567"/>
        <w:rPr>
          <w:sz w:val="24"/>
          <w:szCs w:val="24"/>
        </w:rPr>
      </w:pPr>
      <w:r>
        <w:rPr>
          <w:color w:val="000000"/>
          <w:sz w:val="24"/>
          <w:szCs w:val="24"/>
          <w:shd w:fill="FFFFFF" w:val="clear"/>
        </w:rPr>
        <w:t>Município de Lindolfo Collor</w:t>
      </w:r>
    </w:p>
    <w:p>
      <w:pPr>
        <w:pStyle w:val="normal1"/>
        <w:spacing w:lineRule="auto" w:line="360"/>
        <w:ind w:left="-567"/>
        <w:rPr>
          <w:sz w:val="24"/>
          <w:szCs w:val="24"/>
        </w:rPr>
      </w:pPr>
      <w:r>
        <w:rPr>
          <w:sz w:val="24"/>
          <w:szCs w:val="24"/>
        </w:rPr>
        <w:t>Secretaria Municipal de Esportes e Lazer</w:t>
      </w:r>
      <w:r>
        <w:rPr>
          <w:b/>
          <w:bCs/>
          <w:sz w:val="24"/>
          <w:szCs w:val="24"/>
        </w:rPr>
        <w:br/>
      </w:r>
    </w:p>
    <w:p>
      <w:pPr>
        <w:pStyle w:val="normal1"/>
        <w:spacing w:lineRule="auto" w:line="360"/>
        <w:ind w:left="-5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>Necessidade da Administração:</w:t>
      </w:r>
      <w:r>
        <w:rPr>
          <w:sz w:val="24"/>
          <w:szCs w:val="24"/>
          <w:shd w:fill="FFFFFF" w:val="clear"/>
        </w:rPr>
        <w:t xml:space="preserve"> </w:t>
      </w:r>
      <w:r>
        <w:rPr>
          <w:b w:val="false"/>
          <w:bCs w:val="false"/>
          <w:sz w:val="24"/>
          <w:szCs w:val="24"/>
          <w:shd w:fill="FFFFFF" w:val="clear"/>
        </w:rPr>
        <w:t xml:space="preserve">A Administração Municipal de Lindolfo Collor, por meio da Secretaria Municipal de Esportes e Lazer, identificou a necessidade de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implantação e ampliação de brinquedos nas praças públicas do Município</w:t>
      </w:r>
      <w:r>
        <w:rPr>
          <w:b w:val="false"/>
          <w:bCs w:val="false"/>
          <w:sz w:val="24"/>
          <w:szCs w:val="24"/>
          <w:shd w:fill="FFFFFF" w:val="clear"/>
        </w:rPr>
        <w:t>, com a finalidade de promover o lazer, o bem-estar e o desenvolvimento social das crianças, bem como incentivar a convivência comunitária e a ocupação adequada dos espaços públicos.</w:t>
      </w:r>
    </w:p>
    <w:p>
      <w:pPr>
        <w:pStyle w:val="normal1"/>
        <w:spacing w:lineRule="auto" w:line="360"/>
        <w:ind w:left="-567" w:right="-426"/>
        <w:jc w:val="both"/>
        <w:rPr/>
      </w:pPr>
      <w:r>
        <w:rPr>
          <w:b w:val="false"/>
          <w:bCs w:val="false"/>
          <w:sz w:val="24"/>
          <w:szCs w:val="24"/>
          <w:shd w:fill="FFFFFF" w:val="clear"/>
        </w:rPr>
        <w:t xml:space="preserve">As praças municipais constituem espaços permanentes de convivência social, prática esportiva, lazer e realização de eventos comunitários, sendo imprescindível a disponibilização de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estruturas recreativas adequadas, seguras e acessíveis</w:t>
      </w:r>
      <w:r>
        <w:rPr>
          <w:b w:val="false"/>
          <w:bCs w:val="false"/>
          <w:sz w:val="24"/>
          <w:szCs w:val="24"/>
          <w:shd w:fill="FFFFFF" w:val="clear"/>
        </w:rPr>
        <w:t>, que atendam às necessidades da população e contribuam para a valorização do ambiente urbano.</w:t>
      </w:r>
    </w:p>
    <w:p>
      <w:pPr>
        <w:pStyle w:val="normal1"/>
        <w:spacing w:lineRule="auto" w:line="360"/>
        <w:ind w:left="-567" w:right="-426"/>
        <w:jc w:val="both"/>
        <w:rPr/>
      </w:pPr>
      <w:r>
        <w:rPr>
          <w:b w:val="false"/>
          <w:bCs w:val="false"/>
          <w:sz w:val="24"/>
          <w:szCs w:val="24"/>
          <w:shd w:fill="FFFFFF" w:val="clear"/>
        </w:rPr>
        <w:t xml:space="preserve">Diante disso, mostra-se necessária a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contratação de empresa especializada para o fornecimento e instalação de brinquedos</w:t>
      </w:r>
      <w:r>
        <w:rPr>
          <w:b w:val="false"/>
          <w:bCs w:val="false"/>
          <w:sz w:val="24"/>
          <w:szCs w:val="24"/>
          <w:shd w:fill="FFFFFF" w:val="clear"/>
        </w:rPr>
        <w:t>, assegurando a qualidade dos materiais, a segurança dos usuários, a durabilidade dos equipamentos e a conformidade com as normas técnicas vigentes.</w:t>
      </w:r>
    </w:p>
    <w:p>
      <w:pPr>
        <w:pStyle w:val="normal1"/>
        <w:tabs>
          <w:tab w:val="clear" w:pos="720"/>
          <w:tab w:val="left" w:pos="288" w:leader="none"/>
          <w:tab w:val="left" w:pos="1008" w:leader="none"/>
          <w:tab w:val="left" w:pos="1728" w:leader="none"/>
          <w:tab w:val="left" w:pos="2448" w:leader="none"/>
          <w:tab w:val="left" w:pos="3168" w:leader="none"/>
          <w:tab w:val="left" w:pos="3888" w:leader="none"/>
          <w:tab w:val="left" w:pos="4608" w:leader="none"/>
          <w:tab w:val="left" w:pos="5328" w:leader="none"/>
          <w:tab w:val="left" w:pos="6048" w:leader="none"/>
          <w:tab w:val="left" w:pos="6768" w:leader="none"/>
        </w:tabs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  <w:shd w:fill="FFFFFF" w:val="clear"/>
        </w:rPr>
        <w:t>1. DESCRIÇÃO DA NECESSIDADE</w:t>
      </w:r>
    </w:p>
    <w:p>
      <w:pPr>
        <w:pStyle w:val="normal1"/>
        <w:spacing w:lineRule="auto" w:line="360"/>
        <w:ind w:left="-567" w:right="-426"/>
        <w:jc w:val="both"/>
        <w:rPr/>
      </w:pPr>
      <w:r>
        <w:rPr>
          <w:sz w:val="24"/>
          <w:szCs w:val="24"/>
          <w:shd w:fill="FFFFFF" w:val="clear"/>
        </w:rPr>
        <w:tab/>
        <w:t xml:space="preserve"> </w:t>
      </w:r>
      <w:r>
        <w:rPr>
          <w:b w:val="false"/>
          <w:bCs w:val="false"/>
          <w:sz w:val="24"/>
          <w:szCs w:val="24"/>
          <w:shd w:fill="FFFFFF" w:val="clear"/>
        </w:rPr>
        <w:t xml:space="preserve"> A contratação tem por finalidade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assegurar a implantação de brinquedos adequados, seguros e tecnicamente compatíveis</w:t>
      </w:r>
      <w:r>
        <w:rPr>
          <w:b w:val="false"/>
          <w:bCs w:val="false"/>
          <w:sz w:val="24"/>
          <w:szCs w:val="24"/>
          <w:shd w:fill="FFFFFF" w:val="clear"/>
        </w:rPr>
        <w:t xml:space="preserve"> nas praças públicas do Município, proporcionando espaços de lazer estruturados e apropriados para uso da população, especialmente do público infantil.</w:t>
      </w:r>
    </w:p>
    <w:p>
      <w:pPr>
        <w:pStyle w:val="normal1"/>
        <w:spacing w:lineRule="auto" w:line="360"/>
        <w:ind w:left="-567" w:right="-426"/>
        <w:jc w:val="both"/>
        <w:rPr>
          <w:b w:val="false"/>
          <w:bCs w:val="false"/>
          <w:sz w:val="24"/>
          <w:szCs w:val="24"/>
          <w:shd w:fill="FFFFFF" w:val="clear"/>
        </w:rPr>
      </w:pPr>
      <w:r>
        <w:rPr>
          <w:b w:val="false"/>
          <w:bCs w:val="false"/>
          <w:sz w:val="24"/>
          <w:szCs w:val="24"/>
          <w:shd w:fill="FFFFFF" w:val="clear"/>
        </w:rPr>
        <w:t>A inexistência ou insuficiência de brinquedos adequados compromete a oferta de atividades recreativas, limita o aproveitamento dos espaços públicos e reduz o potencial das praças como ambientes de convivência social e desenvolvimento infantil.</w:t>
      </w:r>
    </w:p>
    <w:p>
      <w:pPr>
        <w:pStyle w:val="normal1"/>
        <w:spacing w:lineRule="auto" w:line="360"/>
        <w:ind w:left="-567" w:right="-426"/>
        <w:jc w:val="left"/>
        <w:rPr>
          <w:b w:val="false"/>
          <w:bCs w:val="false"/>
          <w:sz w:val="24"/>
          <w:szCs w:val="24"/>
          <w:shd w:fill="FFFFFF" w:val="clear"/>
        </w:rPr>
      </w:pPr>
      <w:r>
        <w:rPr>
          <w:b w:val="false"/>
          <w:bCs w:val="false"/>
          <w:sz w:val="24"/>
          <w:szCs w:val="24"/>
          <w:shd w:fill="FFFFFF" w:val="clear"/>
        </w:rPr>
        <w:t>A solução pretendida permitirá:</w:t>
        <w:br/>
        <w:t>a) Ampliação das opções de lazer e recreação para crianças;</w:t>
        <w:br/>
        <w:t>b) Estímulo ao desenvolvimento físico, social e cognitivo do público infantil;</w:t>
        <w:br/>
        <w:t>c) Incentivo à convivência comunitária e à ocupação qualificada dos espaços públicos;</w:t>
        <w:br/>
        <w:t>d) Valorização das praças e do patrimônio público municipal;</w:t>
        <w:br/>
        <w:t>e) Melhoria da qualidade de vida e do bem-estar da população.</w:t>
      </w:r>
    </w:p>
    <w:p>
      <w:pPr>
        <w:pStyle w:val="normal1"/>
        <w:spacing w:lineRule="auto" w:line="360"/>
        <w:ind w:left="-567" w:right="-426"/>
        <w:jc w:val="both"/>
        <w:rPr>
          <w:b w:val="false"/>
          <w:bCs w:val="false"/>
          <w:sz w:val="24"/>
          <w:szCs w:val="24"/>
          <w:shd w:fill="FFFFFF" w:val="clear"/>
        </w:rPr>
      </w:pPr>
      <w:r>
        <w:rPr>
          <w:b w:val="false"/>
          <w:bCs w:val="false"/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ab/>
        <w:tab/>
        <w:t>Assim, justifica-se a contratação de empresa especializada, com fornecimento completo de equipamentos, infraestrutura e mão de obra qualificada.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  <w:shd w:fill="FFFFFF" w:val="clear"/>
        </w:rPr>
        <w:t>2. DESCRIÇÃO DOS REQUISITOS DA CONTRATAÇÃO</w:t>
      </w:r>
    </w:p>
    <w:p>
      <w:pPr>
        <w:pStyle w:val="normal1"/>
        <w:spacing w:lineRule="auto" w:line="360"/>
        <w:ind w:firstLine="567"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 xml:space="preserve">          </w:t>
      </w:r>
      <w:r>
        <w:rPr>
          <w:sz w:val="24"/>
          <w:szCs w:val="24"/>
          <w:shd w:fill="FFFFFF" w:val="clear"/>
        </w:rPr>
        <w:t>A contratação possui natureza de fornecimento com prestação de serviços comuns, cujos padrões de desempenho e qualidade podem ser objetivamente definidos por meio de especificações técnicas, nos termos do art. 6º, inciso XIII, da Lei Federal nº 14.133/2021.</w:t>
      </w:r>
    </w:p>
    <w:p>
      <w:pPr>
        <w:pStyle w:val="normal1"/>
        <w:spacing w:lineRule="auto" w:line="360"/>
        <w:ind w:firstLine="567"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 xml:space="preserve">        </w:t>
      </w:r>
      <w:r>
        <w:rPr>
          <w:sz w:val="24"/>
          <w:szCs w:val="24"/>
          <w:shd w:fill="FFFFFF" w:val="clear"/>
        </w:rPr>
        <w:t>A contratação será realizada por dispensa de licitação, considerando que o valor estimado encontra-se dentro dos limites previstos no art. 75 da Lei nº 14.133/2021.</w:t>
      </w:r>
    </w:p>
    <w:p>
      <w:pPr>
        <w:pStyle w:val="normal1"/>
        <w:spacing w:lineRule="auto" w:line="360"/>
        <w:ind w:firstLine="567"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 xml:space="preserve">          </w:t>
      </w:r>
      <w:r>
        <w:rPr>
          <w:sz w:val="24"/>
          <w:szCs w:val="24"/>
          <w:shd w:fill="FFFFFF" w:val="clear"/>
        </w:rPr>
        <w:t>O objeto compreende:</w:t>
      </w:r>
    </w:p>
    <w:p>
      <w:pPr>
        <w:pStyle w:val="normal1"/>
        <w:spacing w:lineRule="auto" w:line="360"/>
        <w:ind w:firstLine="567"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-624" w:right="0"/>
        <w:jc w:val="both"/>
        <w:textAlignment w:val="top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a)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03 (três) Vai e Vem em ferro galvanizado;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-624" w:right="0"/>
        <w:jc w:val="both"/>
        <w:textAlignment w:val="top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b) </w:t>
      </w:r>
      <w:r>
        <w:rPr>
          <w:rFonts w:cs="Arial" w:ascii="Arial" w:hAnsi="Arial"/>
          <w:b w:val="false"/>
          <w:bCs w:val="false"/>
          <w:sz w:val="24"/>
          <w:szCs w:val="24"/>
        </w:rPr>
        <w:t>01 (um) Gira Gira em ferro galvanizado;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-624" w:right="0"/>
        <w:jc w:val="both"/>
        <w:textAlignment w:val="top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c)</w:t>
      </w:r>
      <w:r>
        <w:rPr>
          <w:rFonts w:cs="Arial" w:ascii="Arial" w:hAnsi="Arial"/>
          <w:b w:val="false"/>
          <w:bCs w:val="false"/>
          <w:sz w:val="24"/>
          <w:szCs w:val="24"/>
        </w:rPr>
        <w:t xml:space="preserve"> 01 (um) Escorregador em ferro galvanizado;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hanging="0" w:left="-624" w:right="0"/>
        <w:jc w:val="both"/>
        <w:textAlignment w:val="top"/>
        <w:rPr>
          <w:rFonts w:ascii="Arial" w:hAnsi="Arial" w:cs="Arial"/>
          <w:b w:val="false"/>
          <w:bCs w:val="false"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  <w:shd w:fill="FFFFFF" w:val="clear"/>
        </w:rPr>
        <w:t>d)</w:t>
      </w:r>
      <w:r>
        <w:rPr>
          <w:rFonts w:cs="Arial" w:ascii="Arial" w:hAnsi="Arial"/>
          <w:b w:val="false"/>
          <w:bCs w:val="false"/>
          <w:sz w:val="24"/>
          <w:szCs w:val="24"/>
          <w:shd w:fill="FFFFFF" w:val="clear"/>
        </w:rPr>
        <w:t xml:space="preserve"> 03 (três) Balanço duplo em ferro galvanizado;</w:t>
      </w:r>
    </w:p>
    <w:p>
      <w:pPr>
        <w:pStyle w:val="normal1"/>
        <w:spacing w:lineRule="auto" w:line="360"/>
        <w:ind w:firstLine="567"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firstLine="567"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 xml:space="preserve">            </w:t>
      </w:r>
      <w:r>
        <w:rPr>
          <w:sz w:val="24"/>
          <w:szCs w:val="24"/>
          <w:shd w:fill="FFFFFF" w:val="clear"/>
        </w:rPr>
        <w:t>Inclui ainda:</w:t>
      </w:r>
    </w:p>
    <w:p>
      <w:pPr>
        <w:pStyle w:val="normal1"/>
        <w:spacing w:lineRule="auto" w:line="360"/>
        <w:ind w:firstLine="567"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hanging="0" w:left="-567" w:right="-426"/>
        <w:jc w:val="left"/>
        <w:rPr>
          <w:sz w:val="24"/>
          <w:szCs w:val="24"/>
          <w:shd w:fill="FFFFFF" w:val="clear"/>
        </w:rPr>
      </w:pPr>
      <w:r>
        <w:rPr>
          <w:b/>
          <w:bCs/>
          <w:sz w:val="24"/>
          <w:szCs w:val="24"/>
          <w:shd w:fill="FFFFFF" w:val="clear"/>
        </w:rPr>
        <w:t>a)</w:t>
      </w:r>
      <w:r>
        <w:rPr>
          <w:b w:val="false"/>
          <w:bCs w:val="false"/>
          <w:sz w:val="24"/>
          <w:szCs w:val="24"/>
          <w:shd w:fill="FFFFFF" w:val="clear"/>
        </w:rPr>
        <w:t xml:space="preserve">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Instalação física dos brinquedos</w:t>
      </w:r>
      <w:r>
        <w:rPr>
          <w:b w:val="false"/>
          <w:bCs w:val="false"/>
          <w:sz w:val="24"/>
          <w:szCs w:val="24"/>
          <w:shd w:fill="FFFFFF" w:val="clear"/>
        </w:rPr>
        <w:t>, conforme especificações técnicas e normas de segurança aplicáveis;</w:t>
        <w:br/>
      </w:r>
      <w:r>
        <w:rPr>
          <w:b/>
          <w:bCs/>
          <w:sz w:val="24"/>
          <w:szCs w:val="24"/>
          <w:shd w:fill="FFFFFF" w:val="clear"/>
        </w:rPr>
        <w:t xml:space="preserve">b)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Fixação e montagem adequadas</w:t>
      </w:r>
      <w:r>
        <w:rPr>
          <w:b w:val="false"/>
          <w:bCs w:val="false"/>
          <w:sz w:val="24"/>
          <w:szCs w:val="24"/>
          <w:shd w:fill="FFFFFF" w:val="clear"/>
        </w:rPr>
        <w:t xml:space="preserve"> dos equipamentos, garantindo estabilidade e segurança dos usuários;</w:t>
        <w:br/>
      </w:r>
      <w:r>
        <w:rPr>
          <w:b/>
          <w:bCs/>
          <w:sz w:val="24"/>
          <w:szCs w:val="24"/>
          <w:shd w:fill="FFFFFF" w:val="clear"/>
        </w:rPr>
        <w:t xml:space="preserve">c)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Testes de segurança e funcionamento</w:t>
      </w:r>
      <w:r>
        <w:rPr>
          <w:b w:val="false"/>
          <w:bCs w:val="false"/>
          <w:sz w:val="24"/>
          <w:szCs w:val="24"/>
          <w:shd w:fill="FFFFFF" w:val="clear"/>
        </w:rPr>
        <w:t xml:space="preserve"> após a instalação;</w:t>
        <w:br/>
      </w:r>
      <w:r>
        <w:rPr>
          <w:b/>
          <w:bCs/>
          <w:sz w:val="24"/>
          <w:szCs w:val="24"/>
          <w:shd w:fill="FFFFFF" w:val="clear"/>
        </w:rPr>
        <w:t>d)</w:t>
      </w:r>
      <w:r>
        <w:rPr>
          <w:b w:val="false"/>
          <w:bCs w:val="false"/>
          <w:sz w:val="24"/>
          <w:szCs w:val="24"/>
          <w:shd w:fill="FFFFFF" w:val="clear"/>
        </w:rPr>
        <w:t xml:space="preserve">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Entrega dos brinquedos em plenas condições de uso</w:t>
      </w:r>
      <w:r>
        <w:rPr>
          <w:b w:val="false"/>
          <w:bCs w:val="false"/>
          <w:sz w:val="24"/>
          <w:szCs w:val="24"/>
          <w:shd w:fill="FFFFFF" w:val="clear"/>
        </w:rPr>
        <w:t>;</w:t>
        <w:br/>
      </w:r>
      <w:r>
        <w:rPr>
          <w:b/>
          <w:bCs/>
          <w:sz w:val="24"/>
          <w:szCs w:val="24"/>
          <w:shd w:fill="FFFFFF" w:val="clear"/>
        </w:rPr>
        <w:t>e)</w:t>
      </w:r>
      <w:r>
        <w:rPr>
          <w:b w:val="false"/>
          <w:bCs w:val="false"/>
          <w:sz w:val="24"/>
          <w:szCs w:val="24"/>
          <w:shd w:fill="FFFFFF" w:val="clear"/>
        </w:rPr>
        <w:t xml:space="preserve">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Garantia mínima de 12 (doze) meses</w:t>
      </w:r>
      <w:r>
        <w:rPr>
          <w:b w:val="false"/>
          <w:bCs w:val="false"/>
          <w:sz w:val="24"/>
          <w:szCs w:val="24"/>
          <w:shd w:fill="FFFFFF" w:val="clear"/>
        </w:rPr>
        <w:t xml:space="preserve">, assegurando a qualidade e durabilidade dos equipamentos. </w:t>
      </w:r>
    </w:p>
    <w:p>
      <w:pPr>
        <w:pStyle w:val="normal1"/>
        <w:spacing w:lineRule="auto" w:line="360"/>
        <w:ind w:left="-567" w:right="-426"/>
        <w:jc w:val="both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b/>
          <w:sz w:val="24"/>
          <w:szCs w:val="24"/>
          <w:shd w:fill="FFFFFF" w:val="clear"/>
        </w:rPr>
      </w:pPr>
      <w:r>
        <w:rPr>
          <w:b/>
          <w:sz w:val="24"/>
          <w:szCs w:val="24"/>
          <w:shd w:fill="FFFFFF" w:val="clear"/>
        </w:rPr>
        <w:t>3. ESTIMATIVA DAS QUANTIDADES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  <w:tab/>
        <w:tab/>
        <w:t>As quantidades foram definidas com base em levantamento técnico realizado nas praças municipais, considerando: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left="-567" w:right="-426"/>
        <w:jc w:val="left"/>
        <w:rPr>
          <w:sz w:val="24"/>
          <w:szCs w:val="24"/>
          <w:shd w:fill="FFFFFF" w:val="clear"/>
        </w:rPr>
      </w:pPr>
      <w:r>
        <w:rPr>
          <w:b/>
          <w:bCs/>
          <w:sz w:val="24"/>
          <w:szCs w:val="24"/>
          <w:shd w:fill="FFFFFF" w:val="clear"/>
        </w:rPr>
        <w:t>a)</w:t>
      </w:r>
      <w:r>
        <w:rPr>
          <w:b w:val="false"/>
          <w:bCs w:val="false"/>
          <w:sz w:val="24"/>
          <w:szCs w:val="24"/>
          <w:shd w:fill="FFFFFF" w:val="clear"/>
        </w:rPr>
        <w:t xml:space="preserve">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Dimensão das áreas disponíveis</w:t>
      </w:r>
      <w:r>
        <w:rPr>
          <w:b w:val="false"/>
          <w:bCs w:val="false"/>
          <w:sz w:val="24"/>
          <w:szCs w:val="24"/>
          <w:shd w:fill="FFFFFF" w:val="clear"/>
        </w:rPr>
        <w:t xml:space="preserve"> para instalação dos brinquedos;</w:t>
        <w:br/>
      </w:r>
      <w:r>
        <w:rPr>
          <w:b/>
          <w:bCs/>
          <w:sz w:val="24"/>
          <w:szCs w:val="24"/>
          <w:shd w:fill="FFFFFF" w:val="clear"/>
        </w:rPr>
        <w:t>b)</w:t>
      </w:r>
      <w:r>
        <w:rPr>
          <w:b w:val="false"/>
          <w:bCs w:val="false"/>
          <w:sz w:val="24"/>
          <w:szCs w:val="24"/>
          <w:shd w:fill="FFFFFF" w:val="clear"/>
        </w:rPr>
        <w:t xml:space="preserve">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Distribuição e organização dos espaços de lazer</w:t>
      </w:r>
      <w:r>
        <w:rPr>
          <w:b w:val="false"/>
          <w:bCs w:val="false"/>
          <w:sz w:val="24"/>
          <w:szCs w:val="24"/>
          <w:shd w:fill="FFFFFF" w:val="clear"/>
        </w:rPr>
        <w:t xml:space="preserve"> em cada praça;</w:t>
        <w:br/>
      </w:r>
      <w:r>
        <w:rPr>
          <w:b/>
          <w:bCs/>
          <w:sz w:val="24"/>
          <w:szCs w:val="24"/>
          <w:shd w:fill="FFFFFF" w:val="clear"/>
        </w:rPr>
        <w:t>c)</w:t>
      </w:r>
      <w:r>
        <w:rPr>
          <w:b w:val="false"/>
          <w:bCs w:val="false"/>
          <w:sz w:val="24"/>
          <w:szCs w:val="24"/>
          <w:shd w:fill="FFFFFF" w:val="clear"/>
        </w:rPr>
        <w:t xml:space="preserve">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Faixa etária do público atendido</w:t>
      </w:r>
      <w:r>
        <w:rPr>
          <w:b w:val="false"/>
          <w:bCs w:val="false"/>
          <w:sz w:val="24"/>
          <w:szCs w:val="24"/>
          <w:shd w:fill="FFFFFF" w:val="clear"/>
        </w:rPr>
        <w:t xml:space="preserve"> e a diversidade de equipamentos recreativos necessários;</w:t>
        <w:br/>
      </w:r>
      <w:r>
        <w:rPr>
          <w:b/>
          <w:bCs/>
          <w:sz w:val="24"/>
          <w:szCs w:val="24"/>
          <w:shd w:fill="FFFFFF" w:val="clear"/>
        </w:rPr>
        <w:t>d)</w:t>
      </w:r>
      <w:r>
        <w:rPr>
          <w:b w:val="false"/>
          <w:bCs w:val="false"/>
          <w:sz w:val="24"/>
          <w:szCs w:val="24"/>
          <w:shd w:fill="FFFFFF" w:val="clear"/>
        </w:rPr>
        <w:t xml:space="preserve">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Condições de segurança e acessibilidade</w:t>
      </w:r>
      <w:r>
        <w:rPr>
          <w:b w:val="false"/>
          <w:bCs w:val="false"/>
          <w:sz w:val="24"/>
          <w:szCs w:val="24"/>
          <w:shd w:fill="FFFFFF" w:val="clear"/>
        </w:rPr>
        <w:t xml:space="preserve"> dos locais;</w:t>
        <w:br/>
      </w:r>
      <w:r>
        <w:rPr>
          <w:b/>
          <w:bCs/>
          <w:sz w:val="24"/>
          <w:szCs w:val="24"/>
          <w:shd w:fill="FFFFFF" w:val="clear"/>
        </w:rPr>
        <w:t>e)</w:t>
      </w:r>
      <w:r>
        <w:rPr>
          <w:b w:val="false"/>
          <w:bCs w:val="false"/>
          <w:sz w:val="24"/>
          <w:szCs w:val="24"/>
          <w:shd w:fill="FFFFFF" w:val="clear"/>
        </w:rPr>
        <w:t xml:space="preserve"> </w:t>
      </w:r>
      <w:r>
        <w:rPr>
          <w:rStyle w:val="Strong"/>
          <w:b w:val="false"/>
          <w:bCs w:val="false"/>
          <w:sz w:val="24"/>
          <w:szCs w:val="24"/>
          <w:shd w:fill="FFFFFF" w:val="clear"/>
        </w:rPr>
        <w:t>Infraestrutura existente e adequação do solo</w:t>
      </w:r>
      <w:r>
        <w:rPr>
          <w:b w:val="false"/>
          <w:bCs w:val="false"/>
          <w:sz w:val="24"/>
          <w:szCs w:val="24"/>
          <w:shd w:fill="FFFFFF" w:val="clear"/>
        </w:rPr>
        <w:t xml:space="preserve"> para instalação dos brinquedos. 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1"/>
        <w:spacing w:lineRule="auto" w:line="360"/>
        <w:ind w:hanging="0" w:left="0" w:right="-426"/>
        <w:jc w:val="both"/>
        <w:rPr/>
      </w:pPr>
      <w:r>
        <w:rPr/>
      </w:r>
    </w:p>
    <w:p>
      <w:pPr>
        <w:pStyle w:val="normal1"/>
        <w:spacing w:lineRule="auto" w:line="360"/>
        <w:ind w:left="-567" w:right="-426"/>
        <w:jc w:val="both"/>
        <w:rPr>
          <w:shd w:fill="FFFFFF" w:val="clear"/>
        </w:rPr>
      </w:pPr>
      <w:r>
        <w:rPr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shd w:fill="FFFFFF" w:val="clear"/>
        </w:rPr>
      </w:pPr>
      <w:r>
        <w:rPr>
          <w:shd w:fill="FFFFFF" w:val="clear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4. ALTERNATIVAS DISPONÍVEIS NO MERCADO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>Conforme pesquisa de mercado realizada, para solução da necessidade administrativa, objeto do presente Estudo Técnico Preliminar, vislumbra-se possível, sob o aspecto técnico e econômico, a contratação de empresas especializadas, seguindo os seguintes critérios:</w:t>
      </w:r>
    </w:p>
    <w:p>
      <w:pPr>
        <w:pStyle w:val="BodyText"/>
        <w:spacing w:lineRule="auto" w:line="360"/>
        <w:ind w:hanging="1" w:left="-567" w:right="-426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bidi="hi-IN"/>
        </w:rPr>
        <w:t>1. Capacidade Técnica e Adequação ao Objeto:</w:t>
      </w:r>
    </w:p>
    <w:p>
      <w:pPr>
        <w:pStyle w:val="BodyText"/>
        <w:spacing w:lineRule="auto" w:line="360"/>
        <w:ind w:hanging="1" w:left="-567" w:right="-426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bidi="hi-IN"/>
        </w:rPr>
        <w:tab/>
        <w:t>As empresas foram selecionadas com base em sua comprovada competência técnica para fornecer os bens ou prestar os serviços compatíveis com o objeto da contratação. Foram analisados portfólios, referências e experiência anterior com produtos/serviços semelhantes aos que serão adquiridos.</w:t>
      </w:r>
    </w:p>
    <w:p>
      <w:pPr>
        <w:pStyle w:val="BodyText"/>
        <w:spacing w:lineRule="auto" w:line="360"/>
        <w:ind w:hanging="1" w:left="-567" w:right="-426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bidi="hi-IN"/>
        </w:rPr>
        <w:t>2. Reputação e Regularidade Fiscal:</w:t>
      </w:r>
    </w:p>
    <w:p>
      <w:pPr>
        <w:pStyle w:val="BodyText"/>
        <w:spacing w:lineRule="auto" w:line="360"/>
        <w:ind w:hanging="1" w:left="-567" w:right="-426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bidi="hi-IN"/>
        </w:rPr>
        <w:tab/>
        <w:t>As empresas selecionadas possuem reputação sólida no mercado, com histórico de cumprimento de contratos semelhantes, além de estarem regulares quanto às obrigações fiscais e trabalhistas, conforme exigido pela legislação vigente, evitando riscos contratuais e garantindo maior confiabilidade.</w:t>
      </w:r>
    </w:p>
    <w:p>
      <w:pPr>
        <w:pStyle w:val="BodyText"/>
        <w:spacing w:lineRule="auto" w:line="360"/>
        <w:ind w:hanging="1" w:left="-567" w:right="-426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bidi="hi-IN"/>
        </w:rPr>
        <w:t>3. Preços Competitivos e Condições de Pagamento:</w:t>
      </w:r>
    </w:p>
    <w:p>
      <w:pPr>
        <w:pStyle w:val="BodyText"/>
        <w:spacing w:lineRule="auto" w:line="360"/>
        <w:ind w:hanging="1" w:left="-567" w:right="-426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bidi="hi-IN"/>
        </w:rPr>
        <w:tab/>
        <w:t>A escolha buscou garantir a obtenção da melhor proposta em termos de preço, prazo e qualidade, observando a economicidade e vantajosidade para a administração pública, conforme o artigo 71 da Lei nº 14.133/2021, que trata dos princípios da licitação e contratação pública.</w:t>
      </w:r>
    </w:p>
    <w:p>
      <w:pPr>
        <w:pStyle w:val="BodyText"/>
        <w:spacing w:lineRule="auto" w:line="360"/>
        <w:ind w:hanging="1" w:left="-567" w:right="-426"/>
        <w:rPr>
          <w:sz w:val="24"/>
          <w:szCs w:val="24"/>
        </w:rPr>
      </w:pPr>
      <w:r>
        <w:rPr>
          <w:rFonts w:eastAsia="Arial" w:cs="Arial" w:ascii="Arial" w:hAnsi="Arial"/>
          <w:sz w:val="24"/>
          <w:szCs w:val="24"/>
          <w:lang w:bidi="hi-IN"/>
        </w:rPr>
        <w:t>4. Fomento à Competitividade: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ab/>
        <w:t>Com o objetivo de assegurar um processo transparente e competitivo, selecionamos empresas de diferentes regiões e com perfis diversos, promovendo uma competição justa entre elas. Isso também garante que a contratação direta, mesmo por dispensa, atenda ao princípio da isonomia.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Neste sentido, segue indicação de potenciais fornecedores/prestadores de serviços: </w:t>
        <w:br/>
      </w:r>
    </w:p>
    <w:p>
      <w:pPr>
        <w:pStyle w:val="normal1"/>
        <w:spacing w:lineRule="auto" w:line="360"/>
        <w:ind w:left="-567" w:right="-426"/>
        <w:jc w:val="both"/>
        <w:rPr/>
      </w:pPr>
      <w:r>
        <w:rPr>
          <w:b/>
          <w:bCs/>
          <w:color w:val="000000"/>
          <w:sz w:val="24"/>
          <w:szCs w:val="24"/>
        </w:rPr>
        <w:t>1) JA SERRALHERIA</w:t>
      </w:r>
      <w:r>
        <w:rPr>
          <w:b w:val="false"/>
          <w:bCs w:val="false"/>
          <w:color w:val="000000"/>
          <w:sz w:val="24"/>
          <w:szCs w:val="24"/>
        </w:rPr>
        <w:t xml:space="preserve">, inscrita no </w:t>
      </w:r>
      <w:r>
        <w:rPr>
          <w:b/>
          <w:bCs/>
          <w:color w:val="000000"/>
          <w:sz w:val="24"/>
          <w:szCs w:val="24"/>
        </w:rPr>
        <w:t>CNPJ nº 64.855.</w:t>
      </w:r>
      <w:r>
        <w:rPr>
          <w:b/>
          <w:bCs/>
          <w:color w:val="000000"/>
          <w:sz w:val="24"/>
          <w:szCs w:val="24"/>
        </w:rPr>
        <w:t>949</w:t>
      </w:r>
      <w:r>
        <w:rPr>
          <w:b/>
          <w:bCs/>
          <w:color w:val="000000"/>
          <w:sz w:val="24"/>
          <w:szCs w:val="24"/>
        </w:rPr>
        <w:t>/0001-56</w:t>
      </w:r>
      <w:r>
        <w:rPr>
          <w:rFonts w:eastAsia="Arial" w:cs="Arial"/>
          <w:b/>
          <w:bCs/>
          <w:color w:val="000000"/>
          <w:kern w:val="0"/>
          <w:sz w:val="24"/>
          <w:szCs w:val="24"/>
          <w:lang w:val="pt-BR" w:eastAsia="zh-CN" w:bidi="hi-IN"/>
        </w:rPr>
        <w:t xml:space="preserve"> 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Valor: R$ 19.800,00 (dezenove mil e oitocentos reais)</w:t>
      </w:r>
    </w:p>
    <w:p>
      <w:pPr>
        <w:pStyle w:val="normal1"/>
        <w:spacing w:lineRule="auto" w:line="360"/>
        <w:ind w:left="-567" w:right="-426"/>
        <w:jc w:val="both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2) IMPROVE ACADEMIA E PLAYGROUNDS</w:t>
      </w:r>
      <w:r>
        <w:rPr>
          <w:b w:val="false"/>
          <w:bCs w:val="false"/>
          <w:color w:val="000000"/>
          <w:sz w:val="24"/>
          <w:szCs w:val="24"/>
        </w:rPr>
        <w:t xml:space="preserve">, inscrita no </w:t>
      </w:r>
      <w:r>
        <w:rPr>
          <w:b/>
          <w:bCs/>
          <w:color w:val="000000"/>
          <w:sz w:val="24"/>
          <w:szCs w:val="24"/>
        </w:rPr>
        <w:t xml:space="preserve">CNPJ nº </w:t>
      </w:r>
      <w:r>
        <w:rPr>
          <w:rStyle w:val="Strong"/>
          <w:rFonts w:cs="Arial"/>
          <w:b/>
          <w:bCs/>
          <w:color w:val="000000"/>
          <w:sz w:val="24"/>
          <w:szCs w:val="24"/>
        </w:rPr>
        <w:t>13.145.437/0001-65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Valor: </w:t>
      </w:r>
      <w:r>
        <w:rPr>
          <w:rStyle w:val="Strong"/>
          <w:rFonts w:cs="Arial"/>
          <w:b/>
          <w:bCs/>
          <w:color w:val="000000"/>
          <w:sz w:val="24"/>
          <w:szCs w:val="24"/>
        </w:rPr>
        <w:t>R$ 20.200,00 (vinte mil e duzentos reais)</w:t>
      </w:r>
    </w:p>
    <w:p>
      <w:pPr>
        <w:pStyle w:val="normal1"/>
        <w:spacing w:lineRule="auto" w:line="360"/>
        <w:ind w:left="-567" w:right="-426"/>
        <w:jc w:val="both"/>
        <w:rPr>
          <w:b w:val="false"/>
          <w:bCs w:val="false"/>
          <w:color w:val="000000"/>
          <w:sz w:val="24"/>
          <w:szCs w:val="24"/>
        </w:rPr>
      </w:pPr>
      <w:r>
        <w:rPr>
          <w:b w:val="false"/>
          <w:bCs w:val="false"/>
          <w:color w:val="000000"/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/>
      </w:pPr>
      <w:r>
        <w:rPr>
          <w:b/>
          <w:bCs/>
          <w:color w:val="000000"/>
          <w:sz w:val="24"/>
          <w:szCs w:val="24"/>
        </w:rPr>
        <w:t xml:space="preserve">3) JACKSON GOMES DE AMORIM, </w:t>
      </w:r>
      <w:r>
        <w:rPr>
          <w:b w:val="false"/>
          <w:bCs w:val="false"/>
          <w:color w:val="000000"/>
          <w:sz w:val="24"/>
          <w:szCs w:val="24"/>
        </w:rPr>
        <w:t xml:space="preserve">inscrita no </w:t>
      </w:r>
      <w:r>
        <w:rPr>
          <w:b/>
          <w:bCs/>
          <w:color w:val="000000"/>
          <w:sz w:val="24"/>
          <w:szCs w:val="24"/>
        </w:rPr>
        <w:t xml:space="preserve">CNPJ nº </w:t>
      </w:r>
      <w:r>
        <w:rPr>
          <w:rStyle w:val="Strong"/>
          <w:rFonts w:eastAsia="Arial" w:cs="Arial"/>
          <w:color w:val="000000"/>
          <w:kern w:val="0"/>
          <w:sz w:val="24"/>
          <w:szCs w:val="24"/>
          <w:lang w:val="pt-BR" w:eastAsia="zh-CN" w:bidi="hi-IN"/>
        </w:rPr>
        <w:t>34.472.747/0001-64</w:t>
      </w:r>
      <w:r>
        <w:rPr/>
        <w:t xml:space="preserve"> 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Valor: R$ 23.280,00 (vinte e três mil, duzentos e oitenta reais)</w:t>
      </w:r>
    </w:p>
    <w:p>
      <w:pPr>
        <w:pStyle w:val="normal1"/>
        <w:spacing w:lineRule="auto" w:line="360"/>
        <w:ind w:left="-567" w:right="-426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5. ESTIMATIVA DO VALOR DA CONTRATAÇÃO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Com base na análise comparativa das propostas recebidas, estima-se o valor total da contratação em </w:t>
      </w:r>
      <w:r>
        <w:rPr>
          <w:rStyle w:val="Strong"/>
          <w:rFonts w:cs="Arial"/>
          <w:b/>
          <w:bCs/>
          <w:color w:val="000000"/>
          <w:sz w:val="24"/>
          <w:szCs w:val="24"/>
        </w:rPr>
        <w:t>R$ 19.800,00 (dezenove mil e oitocentos reais)</w:t>
      </w:r>
      <w:r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correspondente à proposta apresentada pela empresa </w:t>
      </w:r>
      <w:r>
        <w:rPr>
          <w:b/>
          <w:bCs/>
          <w:color w:val="000000"/>
          <w:sz w:val="24"/>
          <w:szCs w:val="24"/>
        </w:rPr>
        <w:t>JA SERRALHERIA</w:t>
      </w:r>
      <w:r>
        <w:rPr>
          <w:b/>
          <w:bCs/>
          <w:sz w:val="24"/>
          <w:szCs w:val="24"/>
        </w:rPr>
        <w:t>,</w:t>
      </w:r>
      <w:r>
        <w:rPr>
          <w:sz w:val="24"/>
          <w:szCs w:val="24"/>
        </w:rPr>
        <w:t xml:space="preserve"> a qual se mostrou a mais vantajosa sob os aspectos econômico e técnico para a Administração Municipal.</w:t>
      </w:r>
      <w:r>
        <w:rPr>
          <w:b/>
          <w:sz w:val="24"/>
          <w:szCs w:val="24"/>
        </w:rPr>
        <w:tab/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6</w:t>
      </w:r>
      <w:r>
        <w:rPr>
          <w:b/>
          <w:color w:val="000000"/>
          <w:sz w:val="24"/>
          <w:szCs w:val="24"/>
        </w:rPr>
        <w:t xml:space="preserve">. RESULTADOS PRETENDIDOS </w:t>
      </w:r>
    </w:p>
    <w:p>
      <w:pPr>
        <w:pStyle w:val="normal1"/>
        <w:spacing w:lineRule="auto" w:line="360"/>
        <w:ind w:left="-567" w:right="-426"/>
        <w:jc w:val="left"/>
        <w:rPr/>
      </w:pPr>
      <w:r>
        <w:rPr>
          <w:b/>
          <w:bCs/>
        </w:rPr>
        <w:t xml:space="preserve">a) </w:t>
      </w:r>
      <w:r>
        <w:rPr>
          <w:rStyle w:val="Strong"/>
          <w:b w:val="false"/>
          <w:bCs w:val="false"/>
        </w:rPr>
        <w:t>Implantação de brinquedos adequados, seguros e atrativos</w:t>
      </w:r>
      <w:r>
        <w:rPr>
          <w:b w:val="false"/>
          <w:bCs w:val="false"/>
        </w:rPr>
        <w:t xml:space="preserve"> nas praças públicas do Município;</w:t>
        <w:br/>
      </w:r>
      <w:r>
        <w:rPr>
          <w:b/>
          <w:bCs/>
        </w:rPr>
        <w:t>b)</w:t>
      </w:r>
      <w:r>
        <w:rPr>
          <w:b w:val="false"/>
          <w:bCs w:val="false"/>
        </w:rPr>
        <w:t xml:space="preserve"> </w:t>
      </w:r>
      <w:r>
        <w:rPr>
          <w:rStyle w:val="Strong"/>
          <w:b w:val="false"/>
          <w:bCs w:val="false"/>
        </w:rPr>
        <w:t>Ampliação das opções de lazer e recreação</w:t>
      </w:r>
      <w:r>
        <w:rPr>
          <w:b w:val="false"/>
          <w:bCs w:val="false"/>
        </w:rPr>
        <w:t>, especialmente para o público infantil;</w:t>
        <w:br/>
      </w:r>
      <w:r>
        <w:rPr>
          <w:b/>
          <w:bCs/>
        </w:rPr>
        <w:t>c)</w:t>
      </w:r>
      <w:r>
        <w:rPr>
          <w:b w:val="false"/>
          <w:bCs w:val="false"/>
        </w:rPr>
        <w:t xml:space="preserve"> </w:t>
      </w:r>
      <w:r>
        <w:rPr>
          <w:rStyle w:val="Strong"/>
          <w:b w:val="false"/>
          <w:bCs w:val="false"/>
        </w:rPr>
        <w:t>Promoção da convivência comunitária e do uso adequado dos espaços públicos</w:t>
      </w:r>
      <w:r>
        <w:rPr>
          <w:b w:val="false"/>
          <w:bCs w:val="false"/>
        </w:rPr>
        <w:t>;</w:t>
        <w:br/>
      </w:r>
      <w:r>
        <w:rPr>
          <w:b/>
          <w:bCs/>
        </w:rPr>
        <w:t>d)</w:t>
      </w:r>
      <w:r>
        <w:rPr>
          <w:b w:val="false"/>
          <w:bCs w:val="false"/>
        </w:rPr>
        <w:t xml:space="preserve"> </w:t>
      </w:r>
      <w:r>
        <w:rPr>
          <w:rStyle w:val="Strong"/>
          <w:b w:val="false"/>
          <w:bCs w:val="false"/>
        </w:rPr>
        <w:t>Valorização e preservação das praças como patrimônio público</w:t>
      </w:r>
      <w:r>
        <w:rPr>
          <w:b w:val="false"/>
          <w:bCs w:val="false"/>
        </w:rPr>
        <w:t>;</w:t>
        <w:br/>
      </w:r>
      <w:r>
        <w:rPr>
          <w:b/>
          <w:bCs/>
        </w:rPr>
        <w:t>e)</w:t>
      </w:r>
      <w:r>
        <w:rPr>
          <w:b w:val="false"/>
          <w:bCs w:val="false"/>
        </w:rPr>
        <w:t xml:space="preserve"> </w:t>
      </w:r>
      <w:r>
        <w:rPr>
          <w:rStyle w:val="Strong"/>
          <w:b w:val="false"/>
          <w:bCs w:val="false"/>
        </w:rPr>
        <w:t>Melhoria da qualidade de vida e do bem-estar da população</w:t>
      </w:r>
      <w:r>
        <w:rPr>
          <w:b w:val="false"/>
          <w:bCs w:val="false"/>
        </w:rPr>
        <w:t>;</w:t>
        <w:br/>
      </w:r>
      <w:r>
        <w:rPr>
          <w:b/>
          <w:bCs/>
        </w:rPr>
        <w:t>f)</w:t>
      </w:r>
      <w:r>
        <w:rPr>
          <w:b w:val="false"/>
          <w:bCs w:val="false"/>
        </w:rPr>
        <w:t xml:space="preserve"> </w:t>
      </w:r>
      <w:r>
        <w:rPr>
          <w:rStyle w:val="Strong"/>
          <w:b w:val="false"/>
          <w:bCs w:val="false"/>
        </w:rPr>
        <w:t>Observância dos princípios da legalidade, economicidade, eficiência e interesse público</w:t>
      </w:r>
      <w:r>
        <w:rPr>
          <w:b w:val="false"/>
          <w:bCs w:val="false"/>
        </w:rPr>
        <w:t xml:space="preserve">. 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>
        <w:rPr>
          <w:b/>
          <w:color w:val="000000"/>
          <w:sz w:val="24"/>
          <w:szCs w:val="24"/>
        </w:rPr>
        <w:t>. CONTRATAÇÕES CORRELATAS E/OU INTERDEPENDENTES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ab/>
        <w:t xml:space="preserve">Este estudo não identificou a necessidade de realizar contratações acessórias para a perfeita execução do objeto, uma vez que todos os meios necessários para a aquisição/operacionalização dos itens podem ser supridos apenas com a </w:t>
      </w:r>
      <w:r>
        <w:rPr>
          <w:sz w:val="24"/>
          <w:szCs w:val="24"/>
        </w:rPr>
        <w:t xml:space="preserve">aquisição </w:t>
      </w:r>
      <w:r>
        <w:rPr>
          <w:color w:val="000000"/>
          <w:sz w:val="24"/>
          <w:szCs w:val="24"/>
        </w:rPr>
        <w:t>ora proposta.</w:t>
      </w:r>
    </w:p>
    <w:p>
      <w:pPr>
        <w:pStyle w:val="normal1"/>
        <w:spacing w:lineRule="auto" w:line="360"/>
        <w:ind w:left="-567" w:right="-42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b/>
          <w:sz w:val="24"/>
          <w:szCs w:val="24"/>
        </w:rPr>
        <w:t>8</w:t>
      </w:r>
      <w:r>
        <w:rPr>
          <w:b/>
          <w:color w:val="000000"/>
          <w:sz w:val="24"/>
          <w:szCs w:val="24"/>
        </w:rPr>
        <w:t xml:space="preserve">. DECLARAÇÃO DE VIABILIDADE 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ab/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  <w:t>Lindolfo Collor, 03 de fevereiro de 2026.</w:t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1"/>
        <w:spacing w:lineRule="auto" w:line="360"/>
        <w:ind w:left="-567" w:right="-426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76"/>
        <w:ind w:hanging="0" w:left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76"/>
        <w:ind w:hanging="0" w:left="0"/>
        <w:jc w:val="both"/>
        <w:rPr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 xml:space="preserve">                            </w:t>
      </w:r>
      <w:r>
        <w:rPr>
          <w:rFonts w:cs="Arial" w:ascii="Arial" w:hAnsi="Arial"/>
          <w:b/>
          <w:bCs/>
          <w:sz w:val="24"/>
          <w:szCs w:val="24"/>
        </w:rPr>
        <w:t>__________________________________________</w:t>
      </w:r>
    </w:p>
    <w:p>
      <w:pPr>
        <w:pStyle w:val="Normal"/>
        <w:spacing w:lineRule="auto" w:line="360"/>
        <w:ind w:hanging="0" w:left="0"/>
        <w:jc w:val="center"/>
        <w:rPr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Bruno da Costa Baserga</w:t>
      </w:r>
    </w:p>
    <w:p>
      <w:pPr>
        <w:pStyle w:val="Normal"/>
        <w:spacing w:lineRule="auto" w:line="360"/>
        <w:ind w:hanging="0" w:left="0"/>
        <w:jc w:val="center"/>
        <w:rPr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Secretário Mun. de Esportes e Lazer</w:t>
      </w:r>
    </w:p>
    <w:p>
      <w:pPr>
        <w:pStyle w:val="Normal"/>
        <w:spacing w:lineRule="auto" w:line="360"/>
        <w:ind w:hanging="0" w:left="0"/>
        <w:jc w:val="center"/>
        <w:rPr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  <w:t>Lindolfo Collor</w:t>
      </w:r>
      <w:r>
        <w:rPr>
          <w:rFonts w:cs="Arial" w:ascii="Arial" w:hAnsi="Arial"/>
          <w:color w:val="001D35"/>
          <w:sz w:val="24"/>
          <w:szCs w:val="24"/>
          <w:shd w:fill="FFFFFF" w:val="clear"/>
        </w:rPr>
        <w:t xml:space="preserve"> </w:t>
      </w:r>
      <w:r>
        <w:rPr>
          <w:rFonts w:cs="Arial" w:ascii="Arial" w:hAnsi="Arial"/>
          <w:b/>
          <w:bCs/>
          <w:sz w:val="24"/>
          <w:szCs w:val="24"/>
        </w:rPr>
        <w:t>/RS</w:t>
      </w:r>
    </w:p>
    <w:p>
      <w:pPr>
        <w:pStyle w:val="normal1"/>
        <w:spacing w:lineRule="auto" w:line="360"/>
        <w:ind w:left="-567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ind w:hanging="0" w:left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cs="Arial" w:ascii="Arial" w:hAnsi="Arial"/>
          <w:b/>
          <w:bCs/>
          <w:sz w:val="24"/>
          <w:szCs w:val="24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134" w:gutter="0" w:header="0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egoe UI"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0"/>
    <w:family w:val="roman"/>
    <w:pitch w:val="variable"/>
  </w:font>
  <w:font w:name="Georgia">
    <w:charset w:val="00"/>
    <w:family w:val="roman"/>
    <w:pitch w:val="variable"/>
  </w:font>
  <w:font w:name="Arial MT">
    <w:charset w:val="00"/>
    <w:family w:val="swiss"/>
    <w:pitch w:val="variable"/>
  </w:font>
  <w:font w:name="Bahnschrift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lainText"/>
      <w:ind w:hanging="0" w:lef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Av. Capivara, 1314, Centro, Lindolfo Collor – RS – CEP 93940-000</w:t>
    </w:r>
  </w:p>
  <w:p>
    <w:pPr>
      <w:pStyle w:val="PlainText"/>
      <w:ind w:hanging="2" w:lef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Fone: (51) 3552 1444 - CNPJ: 94.707.486/0001-46</w:t>
    </w:r>
  </w:p>
  <w:p>
    <w:pPr>
      <w:pStyle w:val="PlainText"/>
      <w:ind w:hanging="2" w:lef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www.lindolfocollor.rs.gov.br</w:t>
    </w:r>
  </w:p>
  <w:p>
    <w:pPr>
      <w:pStyle w:val="Footer"/>
      <w:ind w:hanging="2" w:left="0"/>
      <w:rPr>
        <w:sz w:val="24"/>
        <w:szCs w:val="24"/>
      </w:rPr>
    </w:pPr>
    <w:r>
      <w:rPr>
        <w:sz w:val="24"/>
        <w:szCs w:val="24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lainText"/>
      <w:ind w:hanging="0" w:lef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Av. Capivara, 1314, Centro, Lindolfo Collor – RS – CEP 93940-000</w:t>
    </w:r>
  </w:p>
  <w:p>
    <w:pPr>
      <w:pStyle w:val="PlainText"/>
      <w:ind w:hanging="2" w:lef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Fone: (51) 3552 1444 - CNPJ: 94.707.486/0001-46</w:t>
    </w:r>
  </w:p>
  <w:p>
    <w:pPr>
      <w:pStyle w:val="PlainText"/>
      <w:ind w:hanging="2" w:left="0"/>
      <w:jc w:val="center"/>
      <w:rPr>
        <w:rFonts w:ascii="Bahnschrift" w:hAnsi="Bahnschrift"/>
        <w:sz w:val="20"/>
        <w:szCs w:val="20"/>
      </w:rPr>
    </w:pPr>
    <w:r>
      <w:rPr>
        <w:rFonts w:cs="Arial" w:ascii="Bahnschrift" w:hAnsi="Bahnschrift"/>
        <w:b/>
        <w:sz w:val="20"/>
        <w:szCs w:val="20"/>
      </w:rPr>
      <w:t>www.lindolfocollor.rs.gov.br</w:t>
    </w:r>
  </w:p>
  <w:p>
    <w:pPr>
      <w:pStyle w:val="Footer"/>
      <w:ind w:hanging="2" w:left="0"/>
      <w:rPr>
        <w:sz w:val="24"/>
        <w:szCs w:val="24"/>
      </w:rPr>
    </w:pPr>
    <w:r>
      <w:rPr>
        <w:sz w:val="24"/>
        <w:szCs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hanging="2" w:left="0"/>
      <w:jc w:val="center"/>
      <w:rPr/>
    </w:pPr>
    <w:r>
      <w:rPr/>
    </w:r>
  </w:p>
  <w:p>
    <w:pPr>
      <w:pStyle w:val="Normal"/>
      <w:numPr>
        <w:ilvl w:val="0"/>
        <w:numId w:val="1"/>
      </w:numPr>
      <w:ind w:hanging="2" w:lef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  <w:drawing>
        <wp:anchor behindDoc="1" distT="0" distB="0" distL="114300" distR="114300" simplePos="0" locked="0" layoutInCell="0" allowOverlap="1" relativeHeight="6">
          <wp:simplePos x="0" y="0"/>
          <wp:positionH relativeFrom="column">
            <wp:posOffset>1605280</wp:posOffset>
          </wp:positionH>
          <wp:positionV relativeFrom="paragraph">
            <wp:posOffset>57150</wp:posOffset>
          </wp:positionV>
          <wp:extent cx="2505075" cy="582295"/>
          <wp:effectExtent l="0" t="0" r="0" b="0"/>
          <wp:wrapTopAndBottom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numPr>
        <w:ilvl w:val="0"/>
        <w:numId w:val="1"/>
      </w:numPr>
      <w:ind w:hanging="2" w:lef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2" w:lef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0" w:left="-2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0" w:left="-2"/>
      <w:jc w:val="center"/>
      <w:rPr>
        <w:rFonts w:ascii="Arial" w:hAnsi="Arial" w:cs="Arial"/>
        <w:b/>
        <w:sz w:val="24"/>
        <w:szCs w:val="24"/>
      </w:rPr>
    </w:pPr>
    <w:r>
      <w:drawing>
        <wp:anchor behindDoc="0" distT="0" distB="0" distL="114300" distR="114300" simplePos="0" locked="0" layoutInCell="0" allowOverlap="1" relativeHeight="11">
          <wp:simplePos x="0" y="0"/>
          <wp:positionH relativeFrom="column">
            <wp:posOffset>5520690</wp:posOffset>
          </wp:positionH>
          <wp:positionV relativeFrom="paragraph">
            <wp:posOffset>9264015</wp:posOffset>
          </wp:positionV>
          <wp:extent cx="676275" cy="676275"/>
          <wp:effectExtent l="0" t="0" r="0" b="0"/>
          <wp:wrapTight wrapText="bothSides">
            <wp:wrapPolygon edited="0">
              <wp:start x="-1083" y="0"/>
              <wp:lineTo x="-1083" y="20236"/>
              <wp:lineTo x="21311" y="20236"/>
              <wp:lineTo x="21311" y="0"/>
              <wp:lineTo x="-1083" y="0"/>
            </wp:wrapPolygon>
          </wp:wrapTight>
          <wp:docPr id="2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  <w:sz w:val="24"/>
        <w:szCs w:val="24"/>
      </w:rPr>
      <w:t>Estado do Rio Grande do Sul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hanging="2" w:left="0"/>
      <w:jc w:val="center"/>
      <w:rPr/>
    </w:pPr>
    <w:r>
      <w:rPr/>
    </w:r>
  </w:p>
  <w:p>
    <w:pPr>
      <w:pStyle w:val="Normal"/>
      <w:numPr>
        <w:ilvl w:val="0"/>
        <w:numId w:val="1"/>
      </w:numPr>
      <w:ind w:hanging="2" w:lef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  <w:drawing>
        <wp:anchor behindDoc="1" distT="0" distB="0" distL="114300" distR="114300" simplePos="0" locked="0" layoutInCell="0" allowOverlap="1" relativeHeight="6">
          <wp:simplePos x="0" y="0"/>
          <wp:positionH relativeFrom="column">
            <wp:posOffset>1605280</wp:posOffset>
          </wp:positionH>
          <wp:positionV relativeFrom="paragraph">
            <wp:posOffset>57150</wp:posOffset>
          </wp:positionV>
          <wp:extent cx="2505075" cy="582295"/>
          <wp:effectExtent l="0" t="0" r="0" b="0"/>
          <wp:wrapTopAndBottom/>
          <wp:docPr id="3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Normal"/>
      <w:numPr>
        <w:ilvl w:val="0"/>
        <w:numId w:val="1"/>
      </w:numPr>
      <w:ind w:hanging="2" w:lef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2" w:left="0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0" w:left="-2"/>
      <w:jc w:val="center"/>
      <w:rPr>
        <w:rFonts w:ascii="Arial" w:hAnsi="Arial" w:cs="Arial"/>
        <w:b/>
        <w:sz w:val="24"/>
        <w:szCs w:val="24"/>
      </w:rPr>
    </w:pPr>
    <w:r>
      <w:rPr>
        <w:rFonts w:cs="Arial" w:ascii="Arial" w:hAnsi="Arial"/>
        <w:b/>
        <w:sz w:val="24"/>
        <w:szCs w:val="24"/>
      </w:rPr>
    </w:r>
  </w:p>
  <w:p>
    <w:pPr>
      <w:pStyle w:val="Normal"/>
      <w:numPr>
        <w:ilvl w:val="0"/>
        <w:numId w:val="1"/>
      </w:numPr>
      <w:ind w:hanging="0" w:left="-2"/>
      <w:jc w:val="center"/>
      <w:rPr>
        <w:rFonts w:ascii="Arial" w:hAnsi="Arial" w:cs="Arial"/>
        <w:b/>
        <w:sz w:val="24"/>
        <w:szCs w:val="24"/>
      </w:rPr>
    </w:pPr>
    <w:r>
      <w:drawing>
        <wp:anchor behindDoc="0" distT="0" distB="0" distL="114300" distR="114300" simplePos="0" locked="0" layoutInCell="0" allowOverlap="1" relativeHeight="11">
          <wp:simplePos x="0" y="0"/>
          <wp:positionH relativeFrom="column">
            <wp:posOffset>5520690</wp:posOffset>
          </wp:positionH>
          <wp:positionV relativeFrom="paragraph">
            <wp:posOffset>9264015</wp:posOffset>
          </wp:positionV>
          <wp:extent cx="676275" cy="676275"/>
          <wp:effectExtent l="0" t="0" r="0" b="0"/>
          <wp:wrapTight wrapText="bothSides">
            <wp:wrapPolygon edited="0">
              <wp:start x="-1083" y="0"/>
              <wp:lineTo x="-1083" y="20236"/>
              <wp:lineTo x="21311" y="20236"/>
              <wp:lineTo x="21311" y="0"/>
              <wp:lineTo x="-1083" y="0"/>
            </wp:wrapPolygon>
          </wp:wrapTight>
          <wp:docPr id="4" name="Imagem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="Arial" w:ascii="Arial" w:hAnsi="Arial"/>
        <w:b/>
        <w:bCs/>
        <w:sz w:val="24"/>
        <w:szCs w:val="24"/>
      </w:rPr>
      <w:t>Estado do Rio Grande do Sul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0520f"/>
    <w:pPr>
      <w:widowControl/>
      <w:suppressAutoHyphens w:val="true"/>
      <w:bidi w:val="0"/>
      <w:spacing w:lineRule="atLeast" w:line="1" w:before="0" w:after="0"/>
      <w:ind w:hanging="1" w:left="-1"/>
      <w:jc w:val="left"/>
      <w:textAlignment w:val="top"/>
      <w:outlineLvl w:val="0"/>
    </w:pPr>
    <w:rPr>
      <w:rFonts w:ascii="Times New Roman" w:hAnsi="Times New Roman" w:eastAsia="Times New Roman" w:cs="Times New Roman"/>
      <w:color w:val="auto"/>
      <w:kern w:val="0"/>
      <w:position w:val="-1"/>
      <w:sz w:val="20"/>
      <w:szCs w:val="20"/>
      <w:lang w:val="pt-BR" w:eastAsia="zh-CN" w:bidi="ar-SA"/>
    </w:rPr>
  </w:style>
  <w:style w:type="paragraph" w:styleId="Heading1">
    <w:name w:val="heading 1"/>
    <w:basedOn w:val="Normal"/>
    <w:next w:val="Normal"/>
    <w:qFormat/>
    <w:rsid w:val="00c47bab"/>
    <w:pPr>
      <w:keepNext w:val="true"/>
      <w:ind w:firstLine="2268" w:left="288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c47bab"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qFormat/>
    <w:rsid w:val="00c47bab"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qFormat/>
    <w:rsid w:val="00c47bab"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qFormat/>
    <w:rsid w:val="00c47bab"/>
    <w:pPr>
      <w:keepNext w:val="true"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rsid w:val="00c47bab"/>
    <w:pPr>
      <w:keepNext w:val="true"/>
      <w:keepLines/>
      <w:spacing w:before="200" w:after="40"/>
      <w:outlineLvl w:val="5"/>
    </w:pPr>
    <w:rPr>
      <w:b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c47bab"/>
    <w:rPr>
      <w:rFonts w:ascii="Segoe UI" w:hAnsi="Segoe UI" w:cs="Segoe UI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TextodenotaderodapChar" w:customStyle="1">
    <w:name w:val="Texto de nota de rodapé Char"/>
    <w:qFormat/>
    <w:rsid w:val="00c47bab"/>
    <w:rPr>
      <w:w w:val="100"/>
      <w:position w:val="0"/>
      <w:sz w:val="24"/>
      <w:sz w:val="24"/>
      <w:szCs w:val="24"/>
      <w:effect w:val="none"/>
      <w:vertAlign w:val="baseline"/>
      <w:em w:val="none"/>
    </w:rPr>
  </w:style>
  <w:style w:type="character" w:styleId="Caracteresdenotaderodap">
    <w:name w:val="Caracteres de nota de rodapé"/>
    <w:qFormat/>
    <w:rsid w:val="00c47bab"/>
    <w:rPr>
      <w:w w:val="100"/>
      <w:effect w:val="none"/>
      <w:vertAlign w:val="superscript"/>
      <w:em w:val="none"/>
    </w:rPr>
  </w:style>
  <w:style w:type="character" w:styleId="Caracteresdenotaderodapuser">
    <w:name w:val="Caracteres de nota de rodapé (user)"/>
    <w:qFormat/>
    <w:rPr>
      <w:w w:val="100"/>
      <w:effect w:val="none"/>
      <w:vertAlign w:val="superscript"/>
      <w:em w:val="none"/>
    </w:rPr>
  </w:style>
  <w:style w:type="character" w:styleId="FootnoteReference">
    <w:name w:val="footnote reference"/>
    <w:rPr>
      <w:w w:val="100"/>
      <w:effect w:val="none"/>
      <w:vertAlign w:val="superscript"/>
      <w:em w:val="none"/>
    </w:rPr>
  </w:style>
  <w:style w:type="character" w:styleId="FootnoteTextChar1" w:customStyle="1">
    <w:name w:val="Footnote Text Char1"/>
    <w:qFormat/>
    <w:rsid w:val="00c47bab"/>
    <w:rPr>
      <w:w w:val="100"/>
      <w:position w:val="0"/>
      <w:sz w:val="20"/>
      <w:sz w:val="20"/>
      <w:effect w:val="none"/>
      <w:vertAlign w:val="baseline"/>
      <w:em w:val="none"/>
      <w:lang w:val="pt-BR" w:eastAsia="pt-BR"/>
    </w:rPr>
  </w:style>
  <w:style w:type="character" w:styleId="CabealhoCarter" w:customStyle="1">
    <w:name w:val="Cabeçalho Caráter"/>
    <w:uiPriority w:val="99"/>
    <w:qFormat/>
    <w:rsid w:val="008445e9"/>
    <w:rPr>
      <w:vertAlign w:val="subscript"/>
    </w:rPr>
  </w:style>
  <w:style w:type="character" w:styleId="RodapCarter" w:customStyle="1">
    <w:name w:val="Rodapé Caráter"/>
    <w:uiPriority w:val="99"/>
    <w:qFormat/>
    <w:rsid w:val="008445e9"/>
    <w:rPr>
      <w:vertAlign w:val="subscript"/>
    </w:rPr>
  </w:style>
  <w:style w:type="character" w:styleId="normaltextrun" w:customStyle="1">
    <w:name w:val="normaltextrun"/>
    <w:qFormat/>
    <w:rsid w:val="00843042"/>
    <w:rPr/>
  </w:style>
  <w:style w:type="character" w:styleId="eop" w:customStyle="1">
    <w:name w:val="eop"/>
    <w:qFormat/>
    <w:rsid w:val="00843042"/>
    <w:rPr/>
  </w:style>
  <w:style w:type="character" w:styleId="apple-converted-space" w:customStyle="1">
    <w:name w:val="apple-converted-space"/>
    <w:qFormat/>
    <w:rsid w:val="00843042"/>
    <w:rPr/>
  </w:style>
  <w:style w:type="character" w:styleId="Hyperlink">
    <w:name w:val="Hyperlink"/>
    <w:basedOn w:val="DefaultParagraphFont"/>
    <w:uiPriority w:val="99"/>
    <w:unhideWhenUsed/>
    <w:rsid w:val="00d55ce8"/>
    <w:rPr>
      <w:color w:themeColor="hyperlink"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55ce8"/>
    <w:rPr>
      <w:color w:val="605E5C"/>
      <w:shd w:fill="E1DFDD" w:val="clear"/>
    </w:rPr>
  </w:style>
  <w:style w:type="character" w:styleId="Marcadores">
    <w:name w:val="Marcadores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47bab"/>
    <w:pPr>
      <w:jc w:val="both"/>
    </w:pPr>
    <w:rPr>
      <w:sz w:val="24"/>
      <w:szCs w:val="24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Normal"/>
    <w:qFormat/>
    <w:rsid w:val="00c47bab"/>
    <w:pPr>
      <w:keepNext w:val="true"/>
      <w:keepLines/>
      <w:spacing w:before="480" w:after="120"/>
    </w:pPr>
    <w:rPr>
      <w:b/>
      <w:sz w:val="72"/>
      <w:szCs w:val="72"/>
    </w:rPr>
  </w:style>
  <w:style w:type="paragraph" w:styleId="A313172" w:customStyle="1">
    <w:name w:val="_A313172"/>
    <w:qFormat/>
    <w:rsid w:val="00c47bab"/>
    <w:pPr>
      <w:widowControl/>
      <w:suppressAutoHyphens w:val="true"/>
      <w:bidi w:val="0"/>
      <w:spacing w:lineRule="atLeast" w:line="1" w:before="0" w:after="0"/>
      <w:ind w:right="576"/>
      <w:jc w:val="both"/>
      <w:textAlignment w:val="top"/>
      <w:outlineLvl w:val="0"/>
    </w:pPr>
    <w:rPr>
      <w:rFonts w:ascii="Times New Roman" w:hAnsi="Times New Roman" w:eastAsia="Times New Roman" w:cs="Times New Roman"/>
      <w:color w:val="000000"/>
      <w:kern w:val="0"/>
      <w:position w:val="-1"/>
      <w:sz w:val="24"/>
      <w:szCs w:val="24"/>
      <w:lang w:val="pt-BR" w:eastAsia="pt-BR" w:bidi="ar-SA"/>
    </w:rPr>
  </w:style>
  <w:style w:type="paragraph" w:styleId="BodyText2">
    <w:name w:val="Body Text 2"/>
    <w:basedOn w:val="Normal"/>
    <w:qFormat/>
    <w:rsid w:val="00c47bab"/>
    <w:pPr>
      <w:ind w:firstLine="2268"/>
      <w:jc w:val="both"/>
    </w:pPr>
    <w:rPr>
      <w:sz w:val="28"/>
      <w:szCs w:val="28"/>
    </w:rPr>
  </w:style>
  <w:style w:type="paragraph" w:styleId="BodyTextIndent2">
    <w:name w:val="Body Text Indent 2"/>
    <w:basedOn w:val="Normal"/>
    <w:qFormat/>
    <w:rsid w:val="00c47bab"/>
    <w:pPr>
      <w:ind w:firstLine="2268"/>
      <w:jc w:val="both"/>
    </w:pPr>
    <w:rPr>
      <w:rFonts w:ascii="Arial" w:hAnsi="Arial" w:cs="Arial"/>
      <w:sz w:val="24"/>
      <w:szCs w:val="24"/>
    </w:rPr>
  </w:style>
  <w:style w:type="paragraph" w:styleId="PlainText">
    <w:name w:val="Plain Text"/>
    <w:basedOn w:val="Normal"/>
    <w:qFormat/>
    <w:rsid w:val="00c47bab"/>
    <w:pPr/>
    <w:rPr>
      <w:rFonts w:ascii="Courier New" w:hAnsi="Courier New" w:cs="Courier New"/>
    </w:rPr>
  </w:style>
  <w:style w:type="paragraph" w:styleId="BalloonText">
    <w:name w:val="Balloon Text"/>
    <w:basedOn w:val="Normal"/>
    <w:qFormat/>
    <w:rsid w:val="00c47bab"/>
    <w:pPr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rsid w:val="00c47bab"/>
    <w:pPr/>
    <w:rPr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qFormat/>
    <w:rsid w:val="00c47bab"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Cabealhoerodap">
    <w:name w:val="Cabeçalho e rodapé"/>
    <w:basedOn w:val="Normal"/>
    <w:qFormat/>
    <w:pPr/>
    <w:rPr/>
  </w:style>
  <w:style w:type="paragraph" w:styleId="Cabealhoerodapuser">
    <w:name w:val="Cabeçalho e rodapé (user)"/>
    <w:basedOn w:val="Normal"/>
    <w:qFormat/>
    <w:pPr/>
    <w:rPr/>
  </w:style>
  <w:style w:type="paragraph" w:styleId="Header">
    <w:name w:val="header"/>
    <w:basedOn w:val="Normal"/>
    <w:link w:val="CabealhoCarter"/>
    <w:uiPriority w:val="99"/>
    <w:unhideWhenUsed/>
    <w:rsid w:val="008445e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Footer">
    <w:name w:val="footer"/>
    <w:basedOn w:val="Normal"/>
    <w:link w:val="RodapCarter"/>
    <w:uiPriority w:val="99"/>
    <w:unhideWhenUsed/>
    <w:rsid w:val="008445e9"/>
    <w:pPr>
      <w:tabs>
        <w:tab w:val="clear" w:pos="720"/>
        <w:tab w:val="center" w:pos="4252" w:leader="none"/>
        <w:tab w:val="right" w:pos="8504" w:leader="none"/>
      </w:tabs>
      <w:spacing w:lineRule="auto" w:line="240"/>
    </w:pPr>
    <w:rPr/>
  </w:style>
  <w:style w:type="paragraph" w:styleId="Standard" w:customStyle="1">
    <w:name w:val="Standard"/>
    <w:qFormat/>
    <w:rsid w:val="008445e9"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Noto Sans SC Regular" w:cs="Droid Sans Devanagari"/>
      <w:color w:val="auto"/>
      <w:kern w:val="2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qFormat/>
    <w:rsid w:val="00e0520f"/>
    <w:pPr>
      <w:suppressAutoHyphens w:val="false"/>
      <w:spacing w:lineRule="auto" w:line="240" w:before="280" w:after="280"/>
      <w:ind w:hanging="0" w:left="0"/>
      <w:textAlignment w:val="auto"/>
      <w:outlineLvl w:val="9"/>
    </w:pPr>
    <w:rPr>
      <w:sz w:val="24"/>
      <w:szCs w:val="24"/>
    </w:rPr>
  </w:style>
  <w:style w:type="paragraph" w:styleId="paragraph" w:customStyle="1">
    <w:name w:val="paragraph"/>
    <w:basedOn w:val="Normal"/>
    <w:qFormat/>
    <w:rsid w:val="00843042"/>
    <w:pPr>
      <w:suppressAutoHyphens w:val="false"/>
      <w:spacing w:lineRule="auto" w:line="240" w:before="280" w:after="280"/>
      <w:ind w:hanging="0" w:left="0"/>
      <w:textAlignment w:val="auto"/>
      <w:outlineLvl w:val="9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2f1280"/>
    <w:pPr>
      <w:spacing w:before="0" w:after="0"/>
      <w:ind w:left="720"/>
      <w:contextualSpacing/>
    </w:pPr>
    <w:rPr/>
  </w:style>
  <w:style w:type="paragraph" w:styleId="TableParagraph" w:customStyle="1">
    <w:name w:val="Table Paragraph"/>
    <w:basedOn w:val="Normal"/>
    <w:uiPriority w:val="1"/>
    <w:qFormat/>
    <w:rsid w:val="00d60ae9"/>
    <w:pPr>
      <w:widowControl w:val="false"/>
      <w:suppressAutoHyphens w:val="false"/>
      <w:spacing w:lineRule="auto" w:line="240"/>
      <w:ind w:hanging="0" w:left="110"/>
      <w:textAlignment w:val="auto"/>
      <w:outlineLvl w:val="9"/>
    </w:pPr>
    <w:rPr>
      <w:rFonts w:ascii="Arial MT" w:hAnsi="Arial MT" w:eastAsia="Arial MT" w:cs="Arial MT"/>
      <w:sz w:val="22"/>
      <w:szCs w:val="22"/>
      <w:lang w:val="pt-PT" w:eastAsia="en-US"/>
    </w:rPr>
  </w:style>
  <w:style w:type="paragraph" w:styleId="normal1" w:customStyle="1">
    <w:name w:val="normal1"/>
    <w:qFormat/>
    <w:rsid w:val="009e2a14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zh-CN" w:bidi="hi-IN"/>
    </w:rPr>
  </w:style>
  <w:style w:type="numbering" w:styleId="Semlista" w:default="1">
    <w:name w:val="Sem lista"/>
    <w:uiPriority w:val="99"/>
    <w:semiHidden/>
    <w:unhideWhenUsed/>
    <w:qFormat/>
  </w:style>
  <w:style w:type="numbering" w:styleId="Semlistauser">
    <w:name w:val="Sem lista (user)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"/>
    <w:rsid w:val="00c47bab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d60ae9"/>
    <w:rPr>
      <w:lang w:val="en-US" w:eastAsia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OwbZrtNRKeEVqrwDioIp+q+HR3g==">AMUW2mWRaTeCS1lGItoXVQTqul6uj+88VQd5M3OkzYevxTmjiC8GnmOitVPmCq0hQAgJFIaSuUM97SEjacXop5igF9E2q6xevH6lvDH+6AQuymNaNDktqOg=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Application>LibreOffice/25.2.7.2$Windows_X86_64 LibreOffice_project/5cbfd1ab6520636bb5f7b99185aa69bd7456825d</Application>
  <AppVersion>15.0000</AppVersion>
  <Pages>5</Pages>
  <Words>1095</Words>
  <Characters>6706</Characters>
  <CharactersWithSpaces>7860</CharactersWithSpaces>
  <Paragraphs>64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2025-04-03T20:40:00Z</dcterms:created>
  <dc:creator>Jair de Almeida</dc:creator>
  <dc:description/>
  <dc:language>pt-BR</dc:language>
  <cp:lastModifiedBy/>
  <cp:lastPrinted>2022-10-05T19:07:00Z</cp:lastPrinted>
  <dcterms:modified xsi:type="dcterms:W3CDTF">2026-02-06T10:46:40Z</dcterms:modified>
  <cp:revision>98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