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7B26B" w14:textId="2C1B14DB" w:rsidR="00887810" w:rsidRDefault="00C06B90">
      <w:r>
        <w:t>Portal da Transparência:</w:t>
      </w:r>
    </w:p>
    <w:p w14:paraId="4CDCB092" w14:textId="444DFECF" w:rsidR="00C06B90" w:rsidRDefault="00BE2C87">
      <w:r w:rsidRPr="00BE2C87">
        <w:drawing>
          <wp:inline distT="0" distB="0" distL="0" distR="0" wp14:anchorId="7F3511B4" wp14:editId="44C584A9">
            <wp:extent cx="8892540" cy="5012690"/>
            <wp:effectExtent l="0" t="0" r="3810" b="0"/>
            <wp:docPr id="10971949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19494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1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2056" w14:textId="44EEC7F1" w:rsidR="00C06B90" w:rsidRDefault="00C06B90">
      <w:r>
        <w:lastRenderedPageBreak/>
        <w:t>Portal de Compras Públicas:</w:t>
      </w:r>
    </w:p>
    <w:p w14:paraId="1F0B32F5" w14:textId="2140BF1B" w:rsidR="004049E7" w:rsidRDefault="00BE2C87">
      <w:r w:rsidRPr="00BE2C87">
        <w:drawing>
          <wp:inline distT="0" distB="0" distL="0" distR="0" wp14:anchorId="4BF01FF6" wp14:editId="355196DC">
            <wp:extent cx="8892540" cy="5001895"/>
            <wp:effectExtent l="0" t="0" r="3810" b="8255"/>
            <wp:docPr id="66717310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17310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9E7" w:rsidSect="001E6FF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103FB0"/>
    <w:rsid w:val="001E6FFE"/>
    <w:rsid w:val="003C5C61"/>
    <w:rsid w:val="004049E7"/>
    <w:rsid w:val="005F6342"/>
    <w:rsid w:val="0060728E"/>
    <w:rsid w:val="00887810"/>
    <w:rsid w:val="00887B1F"/>
    <w:rsid w:val="00A67F64"/>
    <w:rsid w:val="00B06F2E"/>
    <w:rsid w:val="00B151AC"/>
    <w:rsid w:val="00BE2C87"/>
    <w:rsid w:val="00C06B90"/>
    <w:rsid w:val="00DF1C55"/>
    <w:rsid w:val="00FC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9</cp:revision>
  <cp:lastPrinted>2024-02-09T10:32:00Z</cp:lastPrinted>
  <dcterms:created xsi:type="dcterms:W3CDTF">2024-01-03T17:25:00Z</dcterms:created>
  <dcterms:modified xsi:type="dcterms:W3CDTF">2024-02-13T13:23:00Z</dcterms:modified>
</cp:coreProperties>
</file>