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spacing w:lineRule="auto" w:line="276"/>
      </w:pPr>
      <w:r>
        <w:rPr>
          <w:rFonts w:ascii="Bookman Old Style" w:hAnsi="Bookman Old Style" w:cs="Bookman Old Style" w:eastAsia="Bookman Old Style"/>
        </w:rPr>
        <w:t xml:space="preserve">DISPENSA DE LICITAÇÃO Nº 0011/2024 </w:t>
      </w:r>
    </w:p>
    <w:p>
      <w:pPr>
        <w:jc w:val="center"/>
        <w:spacing w:lineRule="auto" w:line="276"/>
      </w:pPr>
      <w:r>
        <w:rPr>
          <w:rFonts w:ascii="Bookman Old Style" w:hAnsi="Bookman Old Style" w:cs="Bookman Old Style" w:eastAsia="Bookman Old Style"/>
        </w:rPr>
        <w:t>PROCESSO Nº 32/2024</w:t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>OBJETO:  Aquisição de 02 (duas) inscrições para o curso “Poderes da Administração Pública e as Principais Cautelas dos Poderes Executivo e Legislativo no Período Eleitoral”, a ser realizado nos dias 03, 04 e 05 de julho de 2024, no Município de Curitiba-PR.</w:t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 xml:space="preserve">CONTRATADA: </w:t>
      </w:r>
      <w:r>
        <w:rPr>
          <w:sz w:val="16"/>
        </w:rPr>
        <w:t>PÚBLICA TREINAMENTOS LTDA</w:t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1230"/>
        <w:gridCol w:w="1230"/>
        <w:gridCol w:w="1230"/>
        <w:gridCol w:w="1230"/>
        <w:gridCol w:w="1230"/>
        <w:gridCol w:w="1245"/>
        <w:gridCol w:w="1245"/>
      </w:tblGrid>
      <w:tr>
        <w:tc>
          <w:tcPr>
            <w:gridSpan w:val="7"/>
            <w:shd w:val="clear" w:color="auto" w:fill="FFFFFF"/>
          </w:tcPr>
          <w:p>
            <w:r>
              <w:rPr>
                <w:sz w:val="16"/>
              </w:rPr>
              <w:t>Participantes</w:t>
            </w:r>
          </w:p>
        </w:tc>
      </w:tr>
      <w:tr>
        <w:tc>
          <w:tcPr>
            <w:shd w:val="clear" w:color="auto" w:fill="C0C0C0"/>
          </w:tcPr>
          <w:p>
            <w:r>
              <w:rPr>
                <w:sz w:val="16"/>
              </w:rPr>
              <w:t>Nome do proponente</w:t>
            </w:r>
          </w:p>
        </w:tc>
        <w:tc>
          <w:tcPr>
            <w:shd w:val="clear" w:color="auto" w:fill="C0C0C0"/>
          </w:tcPr>
          <w:p>
            <w:r>
              <w:rPr>
                <w:sz w:val="16"/>
              </w:rPr>
              <w:t>CNPJ do proponente</w:t>
            </w:r>
          </w:p>
        </w:tc>
        <w:tc>
          <w:tcPr>
            <w:shd w:val="clear" w:color="auto" w:fill="C0C0C0"/>
          </w:tcPr>
          <w:p>
            <w:r>
              <w:rPr>
                <w:sz w:val="16"/>
              </w:rPr>
              <w:t>Nome do responsável pelo proponente</w:t>
            </w:r>
          </w:p>
        </w:tc>
        <w:tc>
          <w:tcPr>
            <w:shd w:val="clear" w:color="auto" w:fill="C0C0C0"/>
          </w:tcPr>
          <w:p>
            <w:r>
              <w:rPr>
                <w:sz w:val="16"/>
              </w:rPr>
              <w:t>Cargo do responsável pelo proponente</w:t>
            </w:r>
          </w:p>
        </w:tc>
        <w:tc>
          <w:tcPr>
            <w:shd w:val="clear" w:color="auto" w:fill="C0C0C0"/>
          </w:tcPr>
          <w:p>
            <w:r>
              <w:rPr>
                <w:sz w:val="16"/>
              </w:rPr>
              <w:t>CPF do responsável pelo proponente</w:t>
            </w:r>
          </w:p>
        </w:tc>
        <w:tc>
          <w:tcPr>
            <w:shd w:val="clear" w:color="auto" w:fill="C0C0C0"/>
          </w:tcPr>
          <w:p>
            <w:r>
              <w:rPr>
                <w:sz w:val="16"/>
              </w:rPr>
              <w:t>Validade da proposta (dias)</w:t>
            </w:r>
          </w:p>
        </w:tc>
        <w:tc>
          <w:tcPr>
            <w:shd w:val="clear" w:color="auto" w:fill="C0C0C0"/>
          </w:tcPr>
          <w:p>
            <w:r>
              <w:rPr>
                <w:sz w:val="16"/>
              </w:rPr>
              <w:t>Prazo de entrega/execução</w:t>
            </w:r>
          </w:p>
        </w:tc>
      </w:tr>
      <w:tr>
        <w:tc>
          <w:tcPr>
            <w:shd w:val="clear" w:color="auto" w:fill="FFFFFF"/>
          </w:tcPr>
          <w:p>
            <w:r>
              <w:rPr>
                <w:sz w:val="16"/>
              </w:rPr>
              <w:t>PÚBLICA TREINAMENTOS LTDA</w:t>
            </w:r>
          </w:p>
        </w:tc>
        <w:tc>
          <w:tcPr>
            <w:shd w:val="clear" w:color="auto" w:fill="FFFFFF"/>
          </w:tcPr>
          <w:p>
            <w:r>
              <w:rPr>
                <w:sz w:val="16"/>
              </w:rPr>
              <w:t>12.069.749/0001-74</w:t>
            </w:r>
          </w:p>
        </w:tc>
        <w:tc>
          <w:tcPr>
            <w:shd w:val="clear" w:color="auto" w:fill="FFFFFF"/>
          </w:tcPr>
          <w:p>
            <w:r>
              <w:rPr>
                <w:sz w:val="16"/>
              </w:rPr>
              <w:t>CARLA VANESSA RIEGER</w:t>
            </w:r>
          </w:p>
        </w:tc>
        <w:tc>
          <w:tcPr>
            <w:shd w:val="clear" w:color="auto" w:fill="FFFFFF"/>
          </w:tcPr>
          <w:p>
            <w:r>
              <w:rPr>
                <w:sz w:val="16"/>
              </w:rPr>
              <w:t/>
            </w:r>
          </w:p>
        </w:tc>
        <w:tc>
          <w:tcPr>
            <w:shd w:val="clear" w:color="auto" w:fill="FFFFFF"/>
          </w:tcPr>
          <w:p>
            <w:r>
              <w:rPr>
                <w:sz w:val="16"/>
              </w:rPr>
              <w:t>051.052.849-09</w:t>
            </w:r>
          </w:p>
        </w:tc>
        <w:tc>
          <w:tcPr>
            <w:shd w:val="clear" w:color="auto" w:fill="FFFFFF"/>
          </w:tcPr>
          <w:p>
            <w:r>
              <w:rPr>
                <w:sz w:val="16"/>
              </w:rPr>
              <w:t>60</w:t>
            </w:r>
          </w:p>
        </w:tc>
        <w:tc>
          <w:tcPr>
            <w:shd w:val="clear" w:color="auto" w:fill="FFFFFF"/>
          </w:tcPr>
          <w:p>
            <w:r>
              <w:rPr>
                <w:sz w:val="16"/>
              </w:rPr>
              <w:t>1 Dia(s)</w:t>
            </w:r>
          </w:p>
        </w:tc>
      </w:tr>
    </w:tbl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>JUSTIFICATIVA: Enquadramento do art. 74, nos termos da Lei nº 14.133, de 1º de abril de 2021.</w:t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8640"/>
      </w:tblGrid>
      <w:tr>
        <w:tc>
          <w:tcPr>
            <w:shd w:val="clear" w:color="auto" w:fill="FFFFFF"/>
          </w:tcPr>
          <w:p>
            <w:r>
              <w:rPr>
                <w:sz w:val="16"/>
              </w:rPr>
              <w:t>Justificativa solicitação de material/serviço</w:t>
            </w:r>
          </w:p>
        </w:tc>
      </w:tr>
      <w:tr>
        <w:tc>
          <w:tcPr>
            <w:shd w:val="clear" w:color="auto" w:fill="C0C0C0"/>
          </w:tcPr>
          <w:p>
            <w:r>
              <w:rPr>
                <w:sz w:val="16"/>
              </w:rPr>
              <w:t>Justificativa</w:t>
            </w:r>
          </w:p>
        </w:tc>
      </w:tr>
      <w:tr>
        <w:tc>
          <w:tcPr>
            <w:shd w:val="clear" w:color="auto" w:fill="FFFFFF"/>
          </w:tcPr>
          <w:p>
            <w:r>
              <w:rPr>
                <w:sz w:val="16"/>
              </w:rPr>
              <w:t>Aprimorar o conhecimento técnico de servidor público do Poder Legislativo Municipal, no desempenho das funções profissionais, haja vista que os temas a serem abordados no curso estão relacionados às funções administrativas do agente público requerente. Sendo assim, todo conhecimento adquirido será utilizado no desempenho de suas funções, o que fará com que o serviço público seja prestado com maior responsabilidade e eficiência, privilegiando, dessa forma, o interesse público, bem como fortalecer o Poder Legislativo Municipal, mediante a qualificação e melhor conhecimento de Vereador, a fim de aprimorar o processo legislativo municipal, balizar as condutas, ações e possibilitar a melhor fiscalização dos atos administrativos no período eleitoral vindouro.</w:t>
            </w:r>
          </w:p>
        </w:tc>
      </w:tr>
    </w:tbl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>Recursos próprios do município, previsto na conta:</w:t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765"/>
        <w:gridCol w:w="1500"/>
        <w:gridCol w:w="2535"/>
        <w:gridCol w:w="765"/>
        <w:gridCol w:w="1725"/>
        <w:gridCol w:w="1350"/>
      </w:tblGrid>
      <w:tr>
        <w:tc>
          <w:tcPr>
            <w:gridSpan w:val="6"/>
            <w:shd w:val="clear" w:color="auto" w:fill="FFFFFF"/>
          </w:tcPr>
          <w:p>
            <w:r>
              <w:rPr>
                <w:sz w:val="16"/>
              </w:rPr>
              <w:t>Dotações</w:t>
            </w:r>
          </w:p>
        </w:tc>
      </w:tr>
      <w:tr>
        <w:tc>
          <w:tcPr>
            <w:tcW w:w="500" w:type="pct"/>
            <w:shd w:val="clear" w:color="auto" w:fill="C0C0C0"/>
          </w:tcPr>
          <w:p>
            <w:r>
              <w:rPr>
                <w:sz w:val="16"/>
              </w:rPr>
              <w:t>Exercício da despesa</w:t>
            </w:r>
          </w:p>
        </w:tc>
        <w:tc>
          <w:tcPr>
            <w:tcW w:w="1000" w:type="pct"/>
            <w:shd w:val="clear" w:color="auto" w:fill="C0C0C0"/>
          </w:tcPr>
          <w:p>
            <w:r>
              <w:rPr>
                <w:sz w:val="16"/>
              </w:rPr>
              <w:t>Conta da despesa</w:t>
            </w:r>
          </w:p>
        </w:tc>
        <w:tc>
          <w:tcPr>
            <w:tcW w:w="1700" w:type="pct"/>
            <w:shd w:val="clear" w:color="auto" w:fill="C0C0C0"/>
          </w:tcPr>
          <w:p>
            <w:r>
              <w:rPr>
                <w:sz w:val="16"/>
              </w:rP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>
            <w:r>
              <w:rPr>
                <w:sz w:val="16"/>
              </w:rPr>
              <w:t>Fonte de recurso</w:t>
            </w:r>
          </w:p>
        </w:tc>
        <w:tc>
          <w:tcPr>
            <w:tcW w:w="1150" w:type="pct"/>
            <w:shd w:val="clear" w:color="auto" w:fill="C0C0C0"/>
          </w:tcPr>
          <w:p>
            <w:r>
              <w:rPr>
                <w:sz w:val="16"/>
              </w:rPr>
              <w:t>Natureza da despesa</w:t>
            </w:r>
          </w:p>
        </w:tc>
        <w:tc>
          <w:tcPr>
            <w:tcW w:w="900" w:type="pct"/>
            <w:shd w:val="clear" w:color="auto" w:fill="C0C0C0"/>
          </w:tcPr>
          <w:p>
            <w:r>
              <w:rPr>
                <w:sz w:val="16"/>
              </w:rPr>
              <w:t>Grupo da fonte</w:t>
            </w:r>
          </w:p>
        </w:tc>
      </w:tr>
      <w:tr>
        <w:tc>
          <w:tcPr>
            <w:shd w:val="clear" w:color="auto" w:fill="FFFFFF"/>
          </w:tcPr>
          <w:p>
            <w:r>
              <w:rPr>
                <w:sz w:val="16"/>
              </w:rPr>
              <w:t>2024</w:t>
            </w:r>
          </w:p>
        </w:tc>
        <w:tc>
          <w:tcPr>
            <w:tcW w:w="1000" w:type="pct"/>
            <w:shd w:val="clear" w:color="auto" w:fill="FFFFFF"/>
          </w:tcPr>
          <w:p>
            <w:r>
              <w:rPr>
                <w:sz w:val="16"/>
              </w:rPr>
              <w:t>6</w:t>
            </w:r>
          </w:p>
        </w:tc>
        <w:tc>
          <w:tcPr>
            <w:shd w:val="clear" w:color="auto" w:fill="FFFFFF"/>
          </w:tcPr>
          <w:p>
            <w:r>
              <w:rPr>
                <w:sz w:val="16"/>
              </w:rPr>
              <w:t>01.001.01.031.0101.1002</w:t>
            </w:r>
          </w:p>
        </w:tc>
        <w:tc>
          <w:tcPr>
            <w:shd w:val="clear" w:color="auto" w:fill="FFFFFF"/>
          </w:tcPr>
          <w:p>
            <w:r>
              <w:rPr>
                <w:sz w:val="16"/>
              </w:rPr>
              <w:t>1</w:t>
            </w:r>
          </w:p>
        </w:tc>
        <w:tc>
          <w:tcPr>
            <w:tcW w:w="1150" w:type="pct"/>
            <w:shd w:val="clear" w:color="auto" w:fill="FFFFFF"/>
          </w:tcPr>
          <w:p>
            <w:r>
              <w:rPr>
                <w:sz w:val="16"/>
              </w:rPr>
              <w:t>3.3.90.39.00.00</w:t>
            </w:r>
          </w:p>
        </w:tc>
        <w:tc>
          <w:tcPr>
            <w:shd w:val="clear" w:color="auto" w:fill="FFFFFF"/>
          </w:tcPr>
          <w:p>
            <w:r>
              <w:rPr>
                <w:sz w:val="16"/>
              </w:rPr>
              <w:t>Do Exercício</w:t>
            </w:r>
          </w:p>
        </w:tc>
      </w:tr>
    </w:tbl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>A Comissão Permanente de Licitações nomeada pela Portaria nº 2/2024 é de parecer favorável a aquisição do objeto desta dispensa de licitação, da empresa: PÚBLICA TREINAMENTOS LTDA, inscrita no CNPJ sob nº 12.069.749/0001-74, estabelecida na RUA BENTO GONÇALVES, 65  - CEP: 85840000 - BAIRRO: CENTRO CIDADE/UF: Céu Azul/PR, considerando o que consta no art. 74, nos termos da Lei nº 14.133, de 1º de abril de 2021, e que cujo valores obtidos na pesquisa de preços realizada com fornecedores, que integra o presente processo.</w:t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ab/>
      </w:r>
      <w:r>
        <w:rPr>
          <w:rFonts w:ascii="Bookman Old Style" w:hAnsi="Bookman Old Style" w:cs="Bookman Old Style" w:eastAsia="Bookman Old Style"/>
        </w:rPr>
        <w:t>A Comissão Permanente de Licitações submete este processo a apreciação e parecer da Procuradoria Juridica do Município.</w:t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ab/>
      </w:r>
      <w:r>
        <w:rPr>
          <w:rFonts w:ascii="Bookman Old Style" w:hAnsi="Bookman Old Style" w:cs="Bookman Old Style" w:eastAsia="Bookman Old Style"/>
        </w:rPr>
        <w:t>Santo Antônio do Sudoeste, em 27/06/2024.</w:t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>CESAR MARCELO DOS SANTOS</w:t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>Agente de Contratação</w:t>
      </w:r>
    </w:p>
    <w:p>
      <w:pPr>
        <w:jc w:val="both"/>
        <w:spacing w:lineRule="auto" w:line="276"/>
      </w:pPr>
      <w:r>
        <w:rPr>
          <w:rFonts w:ascii="Bookman Old Style" w:hAnsi="Bookman Old Style" w:cs="Bookman Old Style" w:eastAsia="Bookman Old Style"/>
        </w:rPr>
        <w:t/>
      </w:r>
    </w:p>
    <w:sectPr>
      <w:headerReference w:type="default" r:id="rIdHF0"/>
      <w:footerReference w:type="default" r:id="rIdHF1"/>
      <w:pgSz w:w="11906" w:h="16838"/>
      <w:pgMar w:top="1134" w:right="1134" w:bottom="1134" w:left="113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Bookman Old Style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