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 Target="docProps/custom.xml" Type="http://schemas.openxmlformats.org/officeDocument/2006/relationships/custom-properties" Id="rId4"/>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2D573E31" w14:textId="77777777" w:rsidR="007F2485" w:rsidRDefault="007F2485">
      <w:pPr>
        <w:jc w:val="center"/>
        <w:rPr>
          <w:rFonts w:ascii="Times New Roman" w:cs="Rockwell" w:hAnsi="Times New Roman"/>
          <w:sz w:val="22"/>
          <w:szCs w:val="22"/>
        </w:rPr>
      </w:pPr>
    </w:p>
    <w:p w14:paraId="06F9B446" w14:textId="77777777" w:rsidR="007F2485" w:rsidRDefault="000874DF">
      <w:pPr>
        <w:pStyle w:val="Normal0"/>
        <w:jc w:val="center"/>
      </w:pPr>
      <w:r>
        <w:rPr>
          <w:rFonts w:ascii="Times New Roman" w:cs="Rockwell" w:hAnsi="Times New Roman"/>
          <w:b/>
          <w:bCs/>
          <w:sz w:val="22"/>
          <w:szCs w:val="22"/>
        </w:rPr>
        <w:t>PARECER CONTÁBIL</w:t>
      </w:r>
    </w:p>
    <w:p w14:paraId="34858612" w14:textId="77777777" w:rsidR="007F2485" w:rsidRDefault="007F2485">
      <w:pPr>
        <w:pStyle w:val="Normal0"/>
        <w:jc w:val="both"/>
        <w:rPr>
          <w:rFonts w:ascii="Times New Roman" w:cs="Rockwell" w:hAnsi="Times New Roman"/>
          <w:color w:val="000000"/>
          <w:sz w:val="22"/>
          <w:szCs w:val="22"/>
        </w:rPr>
      </w:pPr>
    </w:p>
    <w:p w14:paraId="01753390" w14:textId="12AFA1AF" w:rsidR="007F2485" w:rsidRDefault="000874DF">
      <w:pPr>
        <w:pStyle w:val="Normal0"/>
        <w:jc w:val="both"/>
        <w:rPr>
          <w:rFonts w:ascii="Times New Roman" w:cs="Rockwell" w:hAnsi="Times New Roman"/>
          <w:color w:val="000000"/>
          <w:sz w:val="22"/>
          <w:szCs w:val="22"/>
        </w:rPr>
      </w:pPr>
      <w:r>
        <w:rPr>
          <w:rFonts w:ascii="Times New Roman" w:cs="Rockwell" w:hAnsi="Times New Roman"/>
          <w:color w:val="000000"/>
          <w:sz w:val="22"/>
          <w:szCs w:val="22"/>
        </w:rPr>
        <w:t xml:space="preserve">Em atenção à solicitação do Sr. </w:t>
      </w:r>
      <w:r>
        <w:rPr>
          <w:rFonts w:ascii="Times New Roman" w:cs="Rockwell" w:hAnsi="Times New Roman"/>
          <w:color w:val="000000"/>
          <w:sz w:val="22"/>
          <w:szCs w:val="22"/>
        </w:rPr>
        <w:t xml:space="preserve">DARCI TIRELLI</w:t>
      </w:r>
      <w:r>
        <w:rPr>
          <w:rFonts w:ascii="Times New Roman" w:cs="Rockwell" w:hAnsi="Times New Roman"/>
          <w:color w:val="000000"/>
          <w:sz w:val="22"/>
          <w:szCs w:val="22"/>
        </w:rPr>
        <w:t xml:space="preserve">, Prefeito do Município </w:t>
      </w:r>
      <w:r>
        <w:rPr>
          <w:rFonts w:ascii="Times New Roman" w:cs="Rockwell" w:hAnsi="Times New Roman"/>
          <w:color w:val="000000"/>
          <w:sz w:val="22"/>
          <w:szCs w:val="22"/>
        </w:rPr>
        <w:t xml:space="preserve">de  </w:t>
      </w:r>
      <w:r>
        <w:rPr>
          <w:rFonts w:ascii="Times New Roman" w:cs="Times New Roman" w:hAnsi="Times New Roman"/>
          <w:color w:val="000000"/>
          <w:sz w:val="22"/>
          <w:szCs w:val="22"/>
        </w:rPr>
        <w:t xml:space="preserve">Diamante do Sul</w:t>
      </w:r>
      <w:r>
        <w:rPr>
          <w:rFonts w:ascii="Times New Roman" w:cs="Rockwell" w:hAnsi="Times New Roman"/>
          <w:color w:val="000000"/>
          <w:sz w:val="22"/>
          <w:szCs w:val="22"/>
        </w:rPr>
        <w:t xml:space="preserve">, para verificar a existência de recursos orçamentários para assegurar o pagamento das obrigações decorrentes do objeto especificado abaixo, certifico que</w:t>
      </w:r>
      <w:r w:rsidR="00727D8F">
        <w:rPr>
          <w:rFonts w:ascii="Times New Roman" w:cs="Rockwell" w:hAnsi="Times New Roman"/>
          <w:color w:val="000000"/>
          <w:sz w:val="22"/>
          <w:szCs w:val="22"/>
        </w:rPr>
        <w:t xml:space="preserve">:</w:t>
      </w:r>
    </w:p>
    <w:p w14:paraId="0A745747" w14:textId="77777777" w:rsidR="00727D8F" w:rsidRDefault="00727D8F">
      <w:pPr>
        <w:pStyle w:val="Normal0"/>
        <w:jc w:val="both"/>
        <w:rPr>
          <w:rFonts w:ascii="Times New Roman" w:cs="Rockwell" w:hAnsi="Times New Roman"/>
          <w:color w:val="000000"/>
          <w:sz w:val="22"/>
          <w:szCs w:val="22"/>
        </w:rPr>
      </w:pPr>
    </w:p>
    <w:p w14:paraId="7B6E1EE8" w14:textId="2FB2F613" w:rsidP="00727D8F" w:rsidR="00727D8F" w:rsidRDefault="00727D8F">
      <w:pPr>
        <w:pStyle w:val="Normal0"/>
        <w:jc w:val="both"/>
        <w:rPr>
          <w:rFonts w:ascii="Times New Roman" w:cs="Rockwell" w:hAnsi="Times New Roman"/>
          <w:color w:val="000000"/>
          <w:sz w:val="22"/>
          <w:szCs w:val="22"/>
        </w:rPr>
      </w:pPr>
      <w:proofErr w:type="gramStart"/>
      <w:r>
        <w:rPr>
          <w:rFonts w:ascii="Times New Roman" w:cs="Rockwell" w:hAnsi="Times New Roman"/>
          <w:color w:val="000000"/>
          <w:sz w:val="22"/>
          <w:szCs w:val="22"/>
        </w:rPr>
        <w:t xml:space="preserve">[  </w:t>
      </w:r>
      <w:proofErr w:type="gramEnd"/>
      <w:r>
        <w:rPr>
          <w:rFonts w:ascii="Times New Roman" w:cs="Rockwell" w:hAnsi="Times New Roman"/>
          <w:color w:val="000000"/>
          <w:sz w:val="22"/>
          <w:szCs w:val="22"/>
        </w:rPr>
        <w:t xml:space="preserve"> ] - Há recursos orçamentários para pagamento das obrigações conforme dotações especificadas</w:t>
      </w:r>
    </w:p>
    <w:p w14:paraId="7E3E7BCE" w14:textId="1E6A8453" w:rsidP="00727D8F" w:rsidR="00727D8F" w:rsidRDefault="00727D8F">
      <w:pPr>
        <w:pStyle w:val="Normal0"/>
        <w:jc w:val="both"/>
        <w:rPr>
          <w:rFonts w:ascii="Times New Roman" w:cs="Rockwell" w:hAnsi="Times New Roman"/>
          <w:color w:val="000000"/>
          <w:sz w:val="22"/>
          <w:szCs w:val="22"/>
        </w:rPr>
      </w:pPr>
      <w:proofErr w:type="gramStart"/>
      <w:r>
        <w:rPr>
          <w:rFonts w:ascii="Times New Roman" w:cs="Rockwell" w:hAnsi="Times New Roman"/>
          <w:color w:val="000000"/>
          <w:sz w:val="22"/>
          <w:szCs w:val="22"/>
        </w:rPr>
        <w:t xml:space="preserve">[  </w:t>
      </w:r>
      <w:proofErr w:type="gramEnd"/>
      <w:r>
        <w:rPr>
          <w:rFonts w:ascii="Times New Roman" w:cs="Rockwell" w:hAnsi="Times New Roman"/>
          <w:color w:val="000000"/>
          <w:sz w:val="22"/>
          <w:szCs w:val="22"/>
        </w:rPr>
        <w:t xml:space="preserve"> ] - Não há recursos orçamentários para pagamento das obrigações</w:t>
      </w:r>
    </w:p>
    <w:p w14:paraId="68B89646" w14:textId="33DB3BA1" w:rsidP="00727D8F" w:rsidR="00727D8F" w:rsidRDefault="00727D8F">
      <w:pPr>
        <w:pStyle w:val="Normal0"/>
        <w:jc w:val="both"/>
      </w:pPr>
      <w:proofErr w:type="gramStart"/>
      <w:r>
        <w:rPr>
          <w:rFonts w:ascii="Times New Roman" w:cs="Rockwell" w:hAnsi="Times New Roman"/>
          <w:color w:val="000000"/>
          <w:sz w:val="22"/>
          <w:szCs w:val="22"/>
        </w:rPr>
        <w:t xml:space="preserve">[  </w:t>
      </w:r>
      <w:proofErr w:type="gramEnd"/>
      <w:r>
        <w:rPr>
          <w:rFonts w:ascii="Times New Roman" w:cs="Rockwell" w:hAnsi="Times New Roman"/>
          <w:color w:val="000000"/>
          <w:sz w:val="22"/>
          <w:szCs w:val="22"/>
        </w:rPr>
        <w:t xml:space="preserve"> ] - Existe DOTAÇÃO, porém a mesma NÃO POSSUI SALDO SUFICIENTE.</w:t>
      </w:r>
    </w:p>
    <w:p w14:paraId="354E38F2" w14:textId="4AA492BB" w:rsidR="00727D8F" w:rsidRDefault="00727D8F">
      <w:pPr>
        <w:pStyle w:val="Normal0"/>
        <w:jc w:val="both"/>
      </w:pPr>
    </w:p>
    <w:p w14:paraId="47505BFC" w14:textId="77777777" w:rsidR="007F2485" w:rsidRDefault="000874DF">
      <w:pPr>
        <w:pStyle w:val="Normal0"/>
        <w:jc w:val="both"/>
      </w:pPr>
      <w:r>
        <w:rPr>
          <w:rFonts w:ascii="Times New Roman" w:cs="Rockwell" w:hAnsi="Times New Roman"/>
          <w:b/>
          <w:bCs/>
          <w:color w:val="000000"/>
          <w:sz w:val="22"/>
          <w:szCs w:val="22"/>
        </w:rPr>
        <w:t>RECURSOS ORÇAMENTÁRIOS:</w:t>
      </w:r>
    </w:p>
    <w:p w14:paraId="70E5B08B" w14:textId="77777777" w:rsidR="007F2485" w:rsidRDefault="007F2485">
      <w:pPr>
        <w:pStyle w:val="Normal0"/>
        <w:jc w:val="both"/>
        <w:rPr>
          <w:rFonts w:ascii="Times New Roman" w:cs="Rockwell" w:hAnsi="Times New Roman"/>
          <w:b/>
          <w:bCs/>
          <w:color w:val="000000"/>
          <w:sz w:val="22"/>
          <w:szCs w:val="22"/>
        </w:rPr>
      </w:pPr>
    </w:p>
    <w:tbl>
      <w:tblPr>
        <w:tblStyle w:val="TableGrid"/>
        <w:tblW w:type="auto" w:w="0"/>
        <w:tblLook w:val="04A0"/>
      </w:tblPr>
      <w:tblGrid>
        <w:gridCol w:w="5801"/>
        <w:gridCol w:w="1882"/>
        <w:gridCol w:w="1953"/>
      </w:tblGrid>
      <w:tr>
        <w:trPr/>
        <w:tc>
          <w:tcPr>
            <w:tcW w:type="dxa" w:w="5801"/>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b/>
                <w:sz w:val="22"/>
              </w:rPr>
              <w:t xml:space="preserve">Despesa</w:t>
            </w:r>
          </w:p>
        </w:tc>
        <w:tc>
          <w:tcPr>
            <w:tcW w:type="dxa" w:w="1882"/>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b/>
                <w:sz w:val="22"/>
              </w:rPr>
              <w:t xml:space="preserve">Valor indicado</w:t>
            </w:r>
          </w:p>
        </w:tc>
        <w:tc>
          <w:tcPr>
            <w:tcW w:type="dxa" w:w="1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b/>
                <w:sz w:val="22"/>
              </w:rPr>
              <w:t xml:space="preserve">Saldo</w:t>
            </w:r>
          </w:p>
        </w:tc>
      </w:tr>
      <w:tr>
        <w:trPr/>
        <w:tc>
          <w:tcPr>
            <w:tcW w:type="dxa" w:w="5801"/>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sz w:val="22"/>
              </w:rPr>
              <w:t xml:space="preserve">287 - 0 . 11002 . 27 . 812 . 2701 . 2.68 . 0 . 339039 Outros Serviços de Terceiros - Pessoa Jurídica</w:t>
            </w:r>
          </w:p>
        </w:tc>
        <w:tc>
          <w:tcPr>
            <w:tcW w:type="dxa" w:w="1882"/>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w:t>
            </w:r>
          </w:p>
        </w:tc>
        <w:tc>
          <w:tcPr>
            <w:tcW w:type="dxa" w:w="1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R$ 30.489,09</w:t>
            </w:r>
          </w:p>
        </w:tc>
      </w:tr>
      <w:tr>
        <w:trPr/>
        <w:tc>
          <w:tcPr>
            <w:tcW w:type="dxa" w:w="5801"/>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sz w:val="22"/>
              </w:rPr>
              <w:t xml:space="preserve">283 - 0 . 11001 . 27 . 812 . 2701 . 2.67 . 0 . 339039 Outros Serviços de Terceiros - Pessoa Jurídica</w:t>
            </w:r>
          </w:p>
        </w:tc>
        <w:tc>
          <w:tcPr>
            <w:tcW w:type="dxa" w:w="1882"/>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w:t>
            </w:r>
          </w:p>
        </w:tc>
        <w:tc>
          <w:tcPr>
            <w:tcW w:type="dxa" w:w="1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R$ 3.000,00</w:t>
            </w:r>
          </w:p>
        </w:tc>
      </w:tr>
      <w:tr>
        <w:trPr/>
        <w:tc>
          <w:tcPr>
            <w:tcW w:type="dxa" w:w="5801"/>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sz w:val="22"/>
              </w:rPr>
              <w:t xml:space="preserve">275 - 0 . 9003 . 8 . 244 . 801 . 2.65 . 0 . 339039 Outros Serviços de Terceiros - Pessoa Jurídica</w:t>
            </w:r>
          </w:p>
        </w:tc>
        <w:tc>
          <w:tcPr>
            <w:tcW w:type="dxa" w:w="1882"/>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w:t>
            </w:r>
          </w:p>
        </w:tc>
        <w:tc>
          <w:tcPr>
            <w:tcW w:type="dxa" w:w="1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R$ 5.000,00</w:t>
            </w:r>
          </w:p>
        </w:tc>
      </w:tr>
      <w:tr>
        <w:trPr/>
        <w:tc>
          <w:tcPr>
            <w:tcW w:type="dxa" w:w="5801"/>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sz w:val="22"/>
              </w:rPr>
              <w:t xml:space="preserve">312 - 0 . 9003 . 8 . 243 . 802 . 6.64 . 0 . 339039 Outros Serviços de Terceiros - Pessoa Jurídica</w:t>
            </w:r>
          </w:p>
        </w:tc>
        <w:tc>
          <w:tcPr>
            <w:tcW w:type="dxa" w:w="1882"/>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w:t>
            </w:r>
          </w:p>
        </w:tc>
        <w:tc>
          <w:tcPr>
            <w:tcW w:type="dxa" w:w="1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R$ 62.500,03</w:t>
            </w:r>
          </w:p>
        </w:tc>
      </w:tr>
      <w:tr>
        <w:trPr/>
        <w:tc>
          <w:tcPr>
            <w:tcW w:type="dxa" w:w="5801"/>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sz w:val="22"/>
              </w:rPr>
              <w:t xml:space="preserve">27 - 0 . 3001 . 4 . 122 . 402 . 2.4 . 0 . 339030 Material de Consumo</w:t>
            </w:r>
          </w:p>
        </w:tc>
        <w:tc>
          <w:tcPr>
            <w:tcW w:type="dxa" w:w="1882"/>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w:t>
            </w:r>
          </w:p>
        </w:tc>
        <w:tc>
          <w:tcPr>
            <w:tcW w:type="dxa" w:w="1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R$ 12.472,96</w:t>
            </w:r>
          </w:p>
        </w:tc>
      </w:tr>
      <w:tr>
        <w:trPr/>
        <w:tc>
          <w:tcPr>
            <w:tcW w:type="dxa" w:w="5801"/>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sz w:val="22"/>
              </w:rPr>
              <w:t xml:space="preserve">265 - 0 . 9002 . 8 . 244 . 801 . 2.63 . 0 . 339039 Outros Serviços de Terceiros - Pessoa Jurídica</w:t>
            </w:r>
          </w:p>
        </w:tc>
        <w:tc>
          <w:tcPr>
            <w:tcW w:type="dxa" w:w="1882"/>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w:t>
            </w:r>
          </w:p>
        </w:tc>
        <w:tc>
          <w:tcPr>
            <w:tcW w:type="dxa" w:w="1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R$ 3.471,52</w:t>
            </w:r>
          </w:p>
        </w:tc>
      </w:tr>
      <w:tr>
        <w:trPr/>
        <w:tc>
          <w:tcPr>
            <w:tcW w:type="dxa" w:w="5801"/>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sz w:val="22"/>
              </w:rPr>
              <w:t xml:space="preserve">257 - 0 . 9002 . 8 . 244 . 801 . 2.61 . 0 . 339039 Outros Serviços de Terceiros - Pessoa Jurídica</w:t>
            </w:r>
          </w:p>
        </w:tc>
        <w:tc>
          <w:tcPr>
            <w:tcW w:type="dxa" w:w="1882"/>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w:t>
            </w:r>
          </w:p>
        </w:tc>
        <w:tc>
          <w:tcPr>
            <w:tcW w:type="dxa" w:w="1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R$ 73.219,51</w:t>
            </w:r>
          </w:p>
        </w:tc>
      </w:tr>
      <w:tr>
        <w:trPr/>
        <w:tc>
          <w:tcPr>
            <w:tcW w:type="dxa" w:w="5801"/>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sz w:val="22"/>
              </w:rPr>
              <w:t xml:space="preserve">249 - 0 . 9002 . 8 . 244 . 801 . 2.60 . 0 . 339039 Outros Serviços de Terceiros - Pessoa Jurídica</w:t>
            </w:r>
          </w:p>
        </w:tc>
        <w:tc>
          <w:tcPr>
            <w:tcW w:type="dxa" w:w="1882"/>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w:t>
            </w:r>
          </w:p>
        </w:tc>
        <w:tc>
          <w:tcPr>
            <w:tcW w:type="dxa" w:w="1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R$ 14.613,41</w:t>
            </w:r>
          </w:p>
        </w:tc>
      </w:tr>
      <w:tr>
        <w:trPr/>
        <w:tc>
          <w:tcPr>
            <w:tcW w:type="dxa" w:w="5801"/>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sz w:val="22"/>
              </w:rPr>
              <w:t xml:space="preserve">246 - 0 . 9002 . 8 . 244 . 801 . 2.59 . 0 . 339039 Outros Serviços de Terceiros - Pessoa Jurídica</w:t>
            </w:r>
          </w:p>
        </w:tc>
        <w:tc>
          <w:tcPr>
            <w:tcW w:type="dxa" w:w="1882"/>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w:t>
            </w:r>
          </w:p>
        </w:tc>
        <w:tc>
          <w:tcPr>
            <w:tcW w:type="dxa" w:w="1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R$ 2.000,00</w:t>
            </w:r>
          </w:p>
        </w:tc>
      </w:tr>
      <w:tr>
        <w:trPr/>
        <w:tc>
          <w:tcPr>
            <w:tcW w:type="dxa" w:w="5801"/>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sz w:val="22"/>
              </w:rPr>
              <w:t xml:space="preserve">225 - 0 . 8003 . 26 . 782 . 2601 . 2.52 . 0 . 339039 Outros Serviços de Terceiros - Pessoa Jurídica</w:t>
            </w:r>
          </w:p>
        </w:tc>
        <w:tc>
          <w:tcPr>
            <w:tcW w:type="dxa" w:w="1882"/>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w:t>
            </w:r>
          </w:p>
        </w:tc>
        <w:tc>
          <w:tcPr>
            <w:tcW w:type="dxa" w:w="1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R$ 220.000,00</w:t>
            </w:r>
          </w:p>
        </w:tc>
      </w:tr>
      <w:tr>
        <w:trPr/>
        <w:tc>
          <w:tcPr>
            <w:tcW w:type="dxa" w:w="5801"/>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sz w:val="22"/>
              </w:rPr>
              <w:t xml:space="preserve">222 - 0 . 8003 . 26 . 782 . 2601 . 2.51 . 0 . 339039 Outros Serviços de Terceiros - Pessoa Jurídica</w:t>
            </w:r>
          </w:p>
        </w:tc>
        <w:tc>
          <w:tcPr>
            <w:tcW w:type="dxa" w:w="1882"/>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w:t>
            </w:r>
          </w:p>
        </w:tc>
        <w:tc>
          <w:tcPr>
            <w:tcW w:type="dxa" w:w="1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R$ 275.337,40</w:t>
            </w:r>
          </w:p>
        </w:tc>
      </w:tr>
      <w:tr>
        <w:trPr/>
        <w:tc>
          <w:tcPr>
            <w:tcW w:type="dxa" w:w="5801"/>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sz w:val="22"/>
              </w:rPr>
              <w:t xml:space="preserve">215 - 0 . 8002 . 15 . 451 . 1501 . 2.50 . 0 . 339039 Outros Serviços de Terceiros - Pessoa Jurídica</w:t>
            </w:r>
          </w:p>
        </w:tc>
        <w:tc>
          <w:tcPr>
            <w:tcW w:type="dxa" w:w="1882"/>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w:t>
            </w:r>
          </w:p>
        </w:tc>
        <w:tc>
          <w:tcPr>
            <w:tcW w:type="dxa" w:w="1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R$ 447.146,66</w:t>
            </w:r>
          </w:p>
        </w:tc>
      </w:tr>
      <w:tr>
        <w:trPr/>
        <w:tc>
          <w:tcPr>
            <w:tcW w:type="dxa" w:w="5801"/>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sz w:val="22"/>
              </w:rPr>
              <w:t xml:space="preserve">201 - 0 . 8002 . 15 . 451 . 1501 . 2.47 . 0 . 339039 Outros Serviços de Terceiros - Pessoa Jurídica</w:t>
            </w:r>
          </w:p>
        </w:tc>
        <w:tc>
          <w:tcPr>
            <w:tcW w:type="dxa" w:w="1882"/>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w:t>
            </w:r>
          </w:p>
        </w:tc>
        <w:tc>
          <w:tcPr>
            <w:tcW w:type="dxa" w:w="1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R$ 9.000,00</w:t>
            </w:r>
          </w:p>
        </w:tc>
      </w:tr>
      <w:tr>
        <w:trPr/>
        <w:tc>
          <w:tcPr>
            <w:tcW w:type="dxa" w:w="5801"/>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sz w:val="22"/>
              </w:rPr>
              <w:t xml:space="preserve">193 - 0 . 7002 . 10 . 301 . 1001 . 2.45 . 0 . 339039 Outros Serviços de Terceiros - Pessoa Jurídica</w:t>
            </w:r>
          </w:p>
        </w:tc>
        <w:tc>
          <w:tcPr>
            <w:tcW w:type="dxa" w:w="1882"/>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w:t>
            </w:r>
          </w:p>
        </w:tc>
        <w:tc>
          <w:tcPr>
            <w:tcW w:type="dxa" w:w="1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R$ 264.425,92</w:t>
            </w:r>
          </w:p>
        </w:tc>
      </w:tr>
      <w:tr>
        <w:trPr/>
        <w:tc>
          <w:tcPr>
            <w:tcW w:type="dxa" w:w="5801"/>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sz w:val="22"/>
              </w:rPr>
              <w:t xml:space="preserve">184 - 0 . 7002 . 10 . 301 . 1001 . 2.44 . 0 . 339039 Outros Serviços de Terceiros - Pessoa Jurídica</w:t>
            </w:r>
          </w:p>
        </w:tc>
        <w:tc>
          <w:tcPr>
            <w:tcW w:type="dxa" w:w="1882"/>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w:t>
            </w:r>
          </w:p>
        </w:tc>
        <w:tc>
          <w:tcPr>
            <w:tcW w:type="dxa" w:w="1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R$ 69.361,40</w:t>
            </w:r>
          </w:p>
        </w:tc>
      </w:tr>
      <w:tr>
        <w:trPr/>
        <w:tc>
          <w:tcPr>
            <w:tcW w:type="dxa" w:w="5801"/>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sz w:val="22"/>
              </w:rPr>
              <w:t xml:space="preserve">178 - 0 . 7002 . 10 . 301 . 1001 . 2.43 . 0 . 339039 Outros Serviços de Terceiros - Pessoa Jurídica</w:t>
            </w:r>
          </w:p>
        </w:tc>
        <w:tc>
          <w:tcPr>
            <w:tcW w:type="dxa" w:w="1882"/>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w:t>
            </w:r>
          </w:p>
        </w:tc>
        <w:tc>
          <w:tcPr>
            <w:tcW w:type="dxa" w:w="1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R$ 1.232,00</w:t>
            </w:r>
          </w:p>
        </w:tc>
      </w:tr>
      <w:tr>
        <w:trPr/>
        <w:tc>
          <w:tcPr>
            <w:tcW w:type="dxa" w:w="5801"/>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sz w:val="22"/>
              </w:rPr>
              <w:t xml:space="preserve">174 - 0 . 7002 . 10 . 301 . 1001 . 2.41 . 0 . 339039 Outros Serviços de Terceiros - Pessoa Jurídica</w:t>
            </w:r>
          </w:p>
        </w:tc>
        <w:tc>
          <w:tcPr>
            <w:tcW w:type="dxa" w:w="1882"/>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w:t>
            </w:r>
          </w:p>
        </w:tc>
        <w:tc>
          <w:tcPr>
            <w:tcW w:type="dxa" w:w="1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R$ 17.351,00</w:t>
            </w:r>
          </w:p>
        </w:tc>
      </w:tr>
      <w:tr>
        <w:trPr/>
        <w:tc>
          <w:tcPr>
            <w:tcW w:type="dxa" w:w="5801"/>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sz w:val="22"/>
              </w:rPr>
              <w:t xml:space="preserve">169 - 0 . 7002 . 10 . 301 . 1001 . 2.40 . 0 . 339039 Outros Serviços de Terceiros - Pessoa Jurídica</w:t>
            </w:r>
          </w:p>
        </w:tc>
        <w:tc>
          <w:tcPr>
            <w:tcW w:type="dxa" w:w="1882"/>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w:t>
            </w:r>
          </w:p>
        </w:tc>
        <w:tc>
          <w:tcPr>
            <w:tcW w:type="dxa" w:w="1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R$ 2.212,00</w:t>
            </w:r>
          </w:p>
        </w:tc>
      </w:tr>
      <w:tr>
        <w:trPr/>
        <w:tc>
          <w:tcPr>
            <w:tcW w:type="dxa" w:w="5801"/>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sz w:val="22"/>
              </w:rPr>
              <w:t xml:space="preserve">159 - 0 . 7002 . 10 . 301 . 1001 . 2.36 . 0 . 339039 Outros Serviços de Terceiros - Pessoa Jurídica</w:t>
            </w:r>
          </w:p>
        </w:tc>
        <w:tc>
          <w:tcPr>
            <w:tcW w:type="dxa" w:w="1882"/>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w:t>
            </w:r>
          </w:p>
        </w:tc>
        <w:tc>
          <w:tcPr>
            <w:tcW w:type="dxa" w:w="1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R$ 24.485,30</w:t>
            </w:r>
          </w:p>
        </w:tc>
      </w:tr>
      <w:tr>
        <w:trPr/>
        <w:tc>
          <w:tcPr>
            <w:tcW w:type="dxa" w:w="5801"/>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sz w:val="22"/>
              </w:rPr>
              <w:t xml:space="preserve">147 - 0 . 6003 . 13 . 392 . 1301 . 2.32 . 0 . 339039 Outros Serviços de Terceiros - Pessoa Jurídica</w:t>
            </w:r>
          </w:p>
        </w:tc>
        <w:tc>
          <w:tcPr>
            <w:tcW w:type="dxa" w:w="1882"/>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w:t>
            </w:r>
          </w:p>
        </w:tc>
        <w:tc>
          <w:tcPr>
            <w:tcW w:type="dxa" w:w="1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R$ 10.000,00</w:t>
            </w:r>
          </w:p>
        </w:tc>
      </w:tr>
      <w:tr>
        <w:trPr/>
        <w:tc>
          <w:tcPr>
            <w:tcW w:type="dxa" w:w="5801"/>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sz w:val="22"/>
              </w:rPr>
              <w:t xml:space="preserve">133 - 0 . 6001 . 12 . 361 . 1201 . 2.25 . 0 . 339039 Outros Serviços de Terceiros - Pessoa Jurídica</w:t>
            </w:r>
          </w:p>
        </w:tc>
        <w:tc>
          <w:tcPr>
            <w:tcW w:type="dxa" w:w="1882"/>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w:t>
            </w:r>
          </w:p>
        </w:tc>
        <w:tc>
          <w:tcPr>
            <w:tcW w:type="dxa" w:w="1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R$ 74.696,00</w:t>
            </w:r>
          </w:p>
        </w:tc>
      </w:tr>
      <w:tr>
        <w:trPr/>
        <w:tc>
          <w:tcPr>
            <w:tcW w:type="dxa" w:w="5801"/>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sz w:val="22"/>
              </w:rPr>
              <w:t xml:space="preserve">116 - 0 . 6001 . 12 . 361 . 1201 . 2.22 . 0 . 339039 Outros Serviços de Terceiros - Pessoa Jurídica</w:t>
            </w:r>
          </w:p>
        </w:tc>
        <w:tc>
          <w:tcPr>
            <w:tcW w:type="dxa" w:w="1882"/>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w:t>
            </w:r>
          </w:p>
        </w:tc>
        <w:tc>
          <w:tcPr>
            <w:tcW w:type="dxa" w:w="1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R$ 22.268,51</w:t>
            </w:r>
          </w:p>
        </w:tc>
      </w:tr>
      <w:tr>
        <w:trPr/>
        <w:tc>
          <w:tcPr>
            <w:tcW w:type="dxa" w:w="5801"/>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sz w:val="22"/>
              </w:rPr>
              <w:t xml:space="preserve">108 - 0 . 6001 . 12 . 361 . 1201 . 2.21 . 0 . 339039 Outros Serviços de Terceiros - Pessoa Jurídica</w:t>
            </w:r>
          </w:p>
        </w:tc>
        <w:tc>
          <w:tcPr>
            <w:tcW w:type="dxa" w:w="1882"/>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w:t>
            </w:r>
          </w:p>
        </w:tc>
        <w:tc>
          <w:tcPr>
            <w:tcW w:type="dxa" w:w="1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R$ 219.254,91</w:t>
            </w:r>
          </w:p>
        </w:tc>
      </w:tr>
      <w:tr>
        <w:trPr/>
        <w:tc>
          <w:tcPr>
            <w:tcW w:type="dxa" w:w="5801"/>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sz w:val="22"/>
              </w:rPr>
              <w:t xml:space="preserve">90 - 0 . 6001 . 12 . 361 . 1201 . 2.14 . 0 . 339039 Outros Serviços de Terceiros - Pessoa Jurídica</w:t>
            </w:r>
          </w:p>
        </w:tc>
        <w:tc>
          <w:tcPr>
            <w:tcW w:type="dxa" w:w="1882"/>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w:t>
            </w:r>
          </w:p>
        </w:tc>
        <w:tc>
          <w:tcPr>
            <w:tcW w:type="dxa" w:w="1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R$ 10.000,00</w:t>
            </w:r>
          </w:p>
        </w:tc>
      </w:tr>
      <w:tr>
        <w:trPr/>
        <w:tc>
          <w:tcPr>
            <w:tcW w:type="dxa" w:w="5801"/>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sz w:val="22"/>
              </w:rPr>
              <w:t xml:space="preserve">82 - 0 . 5002 . 20 . 606 . 2001 . 2.12 . 0 . 339039 Outros Serviços de Terceiros - Pessoa Jurídica</w:t>
            </w:r>
          </w:p>
        </w:tc>
        <w:tc>
          <w:tcPr>
            <w:tcW w:type="dxa" w:w="1882"/>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w:t>
            </w:r>
          </w:p>
        </w:tc>
        <w:tc>
          <w:tcPr>
            <w:tcW w:type="dxa" w:w="1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R$ 695.348,08</w:t>
            </w:r>
          </w:p>
        </w:tc>
      </w:tr>
      <w:tr>
        <w:trPr/>
        <w:tc>
          <w:tcPr>
            <w:tcW w:type="dxa" w:w="5801"/>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sz w:val="22"/>
              </w:rPr>
              <w:t xml:space="preserve">68 - 0 . 5001 . 20 . 606 . 2001 . 2.10 . 0 . 319011 Vencimentos e Vantagens Fixas - Pessoal Civil</w:t>
            </w:r>
          </w:p>
        </w:tc>
        <w:tc>
          <w:tcPr>
            <w:tcW w:type="dxa" w:w="1882"/>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w:t>
            </w:r>
          </w:p>
        </w:tc>
        <w:tc>
          <w:tcPr>
            <w:tcW w:type="dxa" w:w="1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R$ 72.000,00</w:t>
            </w:r>
          </w:p>
        </w:tc>
      </w:tr>
      <w:tr>
        <w:trPr/>
        <w:tc>
          <w:tcPr>
            <w:tcW w:type="dxa" w:w="5801"/>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sz w:val="22"/>
              </w:rPr>
              <w:t xml:space="preserve">62 - 0 . 4003 . 4 . 122 . 403 . 2.9 . 0 . 319011 Vencimentos e Vantagens Fixas - Pessoal Civil</w:t>
            </w:r>
          </w:p>
        </w:tc>
        <w:tc>
          <w:tcPr>
            <w:tcW w:type="dxa" w:w="1882"/>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w:t>
            </w:r>
          </w:p>
        </w:tc>
        <w:tc>
          <w:tcPr>
            <w:tcW w:type="dxa" w:w="1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R$ 49.029,35</w:t>
            </w:r>
          </w:p>
        </w:tc>
      </w:tr>
      <w:tr>
        <w:trPr/>
        <w:tc>
          <w:tcPr>
            <w:tcW w:type="dxa" w:w="5801"/>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sz w:val="22"/>
              </w:rPr>
              <w:t xml:space="preserve">31 - 0 . 3002 . 4 . 122 . 402 . 2.5 . 0 . 319011 Vencimentos e Vantagens Fixas - Pessoal Civil</w:t>
            </w:r>
          </w:p>
        </w:tc>
        <w:tc>
          <w:tcPr>
            <w:tcW w:type="dxa" w:w="1882"/>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w:t>
            </w:r>
          </w:p>
        </w:tc>
        <w:tc>
          <w:tcPr>
            <w:tcW w:type="dxa" w:w="1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R$ 409.580,99</w:t>
            </w:r>
          </w:p>
        </w:tc>
      </w:tr>
      <w:tr>
        <w:trPr/>
        <w:tc>
          <w:tcPr>
            <w:tcW w:type="dxa" w:w="5801"/>
            <w:tcBorders>
              <w:top w:color="auto" w:space="0" w:sz="4" w:val="single"/>
              <w:left w:color="auto" w:space="0" w:sz="4" w:val="single"/>
              <w:bottom w:color="auto" w:space="0" w:sz="4" w:val="single"/>
              <w:right w:color="auto" w:space="0" w:sz="4" w:val="single"/>
            </w:tcBorders>
          </w:tcPr>
          <w:p>
            <w:pPr>
              <w:spacing w:after="0"/>
            </w:pPr>
            <w:r>
              <w:rPr>
                <w:rFonts w:ascii="Times New Roman" w:cs="Rockwell" w:hAnsi="Times New Roman" w:hint="eastAsia"/>
                <w:sz w:val="22"/>
              </w:rPr>
              <w:t xml:space="preserve">2 - 0 . 2001 . 4 . 122 . 401 . 2.2 . 0 . 339030 Material de Consumo</w:t>
            </w:r>
          </w:p>
        </w:tc>
        <w:tc>
          <w:tcPr>
            <w:tcW w:type="dxa" w:w="1882"/>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R$ 1,00</w:t>
            </w:r>
          </w:p>
        </w:tc>
        <w:tc>
          <w:tcPr>
            <w:tcW w:type="dxa" w:w="1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sz w:val="22"/>
              </w:rPr>
              <w:t xml:space="preserve">R$ 8.761,26</w:t>
            </w:r>
          </w:p>
        </w:tc>
      </w:tr>
      <w:tr>
        <w:trPr/>
        <w:tc>
          <w:tcPr>
            <w:tcW w:type="dxa" w:w="5801"/>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b/>
                <w:sz w:val="22"/>
              </w:rPr>
              <w:t xml:space="preserve">Total indicado:</w:t>
            </w:r>
          </w:p>
        </w:tc>
        <w:tc>
          <w:tcPr>
            <w:tcW w:type="dxa" w:w="1882"/>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b/>
                <w:sz w:val="22"/>
              </w:rPr>
              <w:t xml:space="preserve">R$ 29,00</w:t>
            </w:r>
          </w:p>
        </w:tc>
        <w:tc>
          <w:tcPr>
            <w:tcW w:type="dxa" w:w="1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Rockwell" w:hAnsi="Times New Roman" w:hint="eastAsia"/>
                <w:b/>
                <w:sz w:val="22"/>
              </w:rPr>
              <w:t xml:space="preserve">R$ 3.108.257,30</w:t>
            </w:r>
          </w:p>
        </w:tc>
      </w:tr>
    </w:tbl>
    <w:p w14:paraId="66C5B14A" w14:textId="77777777" w:rsidR="00664280" w:rsidRDefault="00664280">
      <w:pPr>
        <w:pStyle w:val="Normal0"/>
        <w:jc w:val="both"/>
        <w:rPr>
          <w:rFonts w:ascii="Times New Roman" w:cs="Rockwell" w:hAnsi="Times New Roman"/>
          <w:color w:val="000000"/>
          <w:sz w:val="22"/>
          <w:szCs w:val="22"/>
        </w:rPr>
      </w:pPr>
    </w:p>
    <w:p w14:paraId="5C7DF73E" w14:textId="7BB70ED0" w:rsidR="00EB4686"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b/>
          <w:bCs/>
          <w:color w:val="000000"/>
          <w:sz w:val="22"/>
          <w:szCs w:val="22"/>
        </w:rPr>
      </w:pPr>
      <w:r>
        <w:rPr>
          <w:rFonts w:ascii="Times New Roman" w:cs="Times New Roman" w:hAnsi="Times New Roman"/>
          <w:color w:val="000000"/>
          <w:sz w:val="22"/>
          <w:szCs w:val="22"/>
        </w:rPr>
        <w:t xml:space="preserve">Pregão</w:t>
      </w:r>
      <w:r>
        <w:rPr>
          <w:rFonts w:ascii="Times New Roman" w:cs="Times New Roman" w:hAnsi="Times New Roman"/>
          <w:color w:val="000000"/>
          <w:sz w:val="22"/>
          <w:szCs w:val="22"/>
        </w:rPr>
        <w:t xml:space="preserve">: </w:t>
      </w:r>
      <w:r>
        <w:rPr>
          <w:rFonts w:ascii="Times New Roman" w:cs="Times New Roman" w:hAnsi="Times New Roman"/>
          <w:b/>
          <w:bCs/>
          <w:color w:val="000000"/>
          <w:sz w:val="22"/>
          <w:szCs w:val="22"/>
        </w:rPr>
        <w:t xml:space="preserve">PR13/2026</w:t>
      </w:r>
    </w:p>
    <w:p w14:paraId="611E89BB" w14:textId="19D60DB5" w:rsidR="007F2485" w:rsidRDefault="00EB4686">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color w:val="000000"/>
          <w:sz w:val="22"/>
          <w:szCs w:val="22"/>
        </w:rPr>
        <w:t xml:space="preserve">Processo Administrativo N°:  </w:t>
      </w:r>
      <w:r w:rsidRPr="00EB4686">
        <w:rPr>
          <w:rFonts w:ascii="Times New Roman" w:cs="Times New Roman" w:hAnsi="Times New Roman" w:hint="eastAsia"/>
          <w:b/>
          <w:bCs/>
          <w:color w:val="000000"/>
          <w:sz w:val="22"/>
          <w:szCs w:val="22"/>
        </w:rPr>
        <w:t xml:space="preserve">269</w:t>
      </w:r>
    </w:p>
    <w:p w14:paraId="6B96B9C0" w14:textId="77777777" w:rsidR="007F2485" w:rsidRDefault="007F2485">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cs="Arial Narrow"/>
        </w:rPr>
      </w:pPr>
    </w:p>
    <w:p w14:paraId="1060ED65" w14:textId="77777777" w:rsidR="007F2485" w:rsidRDefault="000874DF">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pPr>
      <w:r>
        <w:rPr>
          <w:rFonts w:ascii="Times New Roman" w:cs="Arial Narrow" w:hAnsi="Times New Roman"/>
          <w:sz w:val="22"/>
          <w:szCs w:val="22"/>
        </w:rPr>
        <w:t xml:space="preserve">Forma de julgamento: </w:t>
      </w:r>
      <w:r>
        <w:rPr>
          <w:rFonts w:ascii="Times New Roman" w:cs="Arial Narrow" w:hAnsi="Times New Roman"/>
          <w:b/>
          <w:bCs/>
          <w:sz w:val="22"/>
          <w:szCs w:val="22"/>
        </w:rPr>
        <w:t xml:space="preserve">Por item</w:t>
      </w:r>
    </w:p>
    <w:p w14:paraId="717FEBDE" w14:textId="77777777" w:rsidR="007F2485" w:rsidRDefault="007F2485">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rPr>
          <w:rFonts w:ascii="Times New Roman" w:cs="Times New Roman" w:hAnsi="Times New Roman"/>
          <w:sz w:val="22"/>
          <w:szCs w:val="22"/>
        </w:rPr>
      </w:pPr>
    </w:p>
    <w:p w14:paraId="53889BFB" w14:textId="77777777" w:rsidR="007F2485"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rPr>
          <w:rFonts w:hint="eastAsia"/>
        </w:rPr>
      </w:pPr>
      <w:r>
        <w:rPr>
          <w:rFonts w:ascii="Times New Roman" w:cs="Times New Roman" w:hAnsi="Times New Roman"/>
          <w:sz w:val="22"/>
          <w:szCs w:val="22"/>
        </w:rPr>
        <w:t xml:space="preserve">Tipo da licitação: </w:t>
      </w:r>
      <w:r>
        <w:rPr>
          <w:rFonts w:ascii="Times New Roman" w:cs="Times New Roman" w:hAnsi="Times New Roman"/>
          <w:b/>
          <w:bCs/>
          <w:sz w:val="22"/>
          <w:szCs w:val="22"/>
        </w:rPr>
        <w:t xml:space="preserve">Menor preço</w:t>
      </w:r>
    </w:p>
    <w:p w14:paraId="3AD4E199" w14:textId="77777777" w:rsidR="007F2485" w:rsidRDefault="007F2485">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b/>
          <w:bCs/>
          <w:sz w:val="22"/>
          <w:szCs w:val="22"/>
        </w:rPr>
      </w:pPr>
    </w:p>
    <w:p w14:paraId="7EC8AD58" w14:textId="41326129" w:rsidP="00CB38F0" w:rsidR="007F2485"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b/>
          <w:sz w:val="22"/>
          <w:szCs w:val="22"/>
        </w:rPr>
      </w:pPr>
      <w:r>
        <w:rPr>
          <w:rFonts w:ascii="Times New Roman" w:cs="Times New Roman" w:hAnsi="Times New Roman"/>
          <w:sz w:val="22"/>
          <w:szCs w:val="22"/>
        </w:rPr>
        <w:t xml:space="preserve">Objeto da licitação: </w:t>
      </w:r>
      <w:r>
        <w:rPr>
          <w:rFonts w:ascii="Times New Roman" w:cs="Times New Roman" w:hAnsi="Times New Roman"/>
          <w:b/>
          <w:sz w:val="22"/>
          <w:szCs w:val="22"/>
        </w:rPr>
        <w:t xml:space="preserve">REGISTRO DE PREÇOS PARA FUTURA E EVENTUAL CONTRATAÇÃO DE EMPRESA ESPECIALIZADA NO FORNECIMENTO DE REFEIÇÕES PRONTAS TIPO ALMOÇO (SELF-SERVICE), COM BUFFET LIVRE, INCLUINDO 01 (UMA) BEBIDA POR REFEIÇÃO, SENDO REFRIGERANTE LATA, SUCO DE 300 ML OU ÁGUA DE 500 ML, EM ESTABELECIMENTO LOCALIZADO NA SEDE DO MUNICÍPIO DE DIAMANTE DO SUL/PR, PARA ATENDIMENTO DAS SECRETARIAS MUNICIPAIS PARTICIPANTES, CONFORME NECESSIDADE DA ADMINISTRAÇÃO.</w:t>
      </w:r>
    </w:p>
    <w:p w14:paraId="44C64360" w14:textId="78EB7B8F" w:rsidP="00CB38F0" w:rsidR="00CB38F0" w:rsidRDefault="00CB38F0">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Times New Roman" w:hAnsi="Times New Roman"/>
          <w:sz w:val="22"/>
          <w:szCs w:val="22"/>
        </w:rPr>
      </w:pPr>
      <w:r w:rsidRPr="00CB38F0">
        <w:rPr>
          <w:rFonts w:ascii="Times New Roman" w:cs="Times New Roman" w:hAnsi="Times New Roman" w:hint="eastAsia"/>
          <w:sz w:val="22"/>
          <w:szCs w:val="22"/>
        </w:rPr>
        <w:t xml:space="preserve">R$ 118.697,00</w:t>
      </w:r>
      <w:r w:rsidR="00EB4686">
        <w:rPr>
          <w:rFonts w:ascii="Times New Roman" w:cs="Times New Roman" w:hAnsi="Times New Roman"/>
          <w:sz w:val="22"/>
          <w:szCs w:val="22"/>
        </w:rPr>
        <w:t xml:space="preserve"> </w:t>
      </w:r>
      <w:r w:rsidR="00EB4686" w:rsidRPr="00EB4686">
        <w:rPr>
          <w:rFonts w:ascii="Times New Roman" w:cs="Times New Roman" w:hAnsi="Times New Roman" w:hint="eastAsia"/>
          <w:sz w:val="22"/>
          <w:szCs w:val="22"/>
        </w:rPr>
        <w:t xml:space="preserve">cento e dezoito mil e seiscentos e noventa e sete reais</w:t>
      </w:r>
    </w:p>
    <w:p w14:paraId="1EABFB64" w14:textId="77777777" w:rsidR="007F2485" w:rsidRDefault="007F2485">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cs="Rockwell" w:hint="eastAsia"/>
          <w:color w:val="000000"/>
        </w:rPr>
      </w:pPr>
    </w:p>
    <w:p w14:paraId="6274578A" w14:textId="03C720B1" w:rsidR="007F2485" w:rsidRDefault="007F2485">
      <w:pPr>
        <w:pStyle w:val="Normal0"/>
        <w:jc w:val="both"/>
      </w:pPr>
    </w:p>
    <w:p w14:paraId="0FDD0401" w14:textId="77777777" w:rsidR="007F2485" w:rsidRDefault="007F2485">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sz w:val="22"/>
          <w:szCs w:val="22"/>
        </w:rPr>
      </w:pPr>
    </w:p>
    <w:p w14:paraId="53E99EFE" w14:textId="77777777" w:rsidR="007F2485" w:rsidRDefault="007F2485">
      <w:pPr>
        <w:pStyle w:val="Normal0"/>
        <w:jc w:val="both"/>
        <w:rPr>
          <w:rFonts w:ascii="Times New Roman" w:cs="Rockwell" w:hAnsi="Times New Roman"/>
          <w:color w:val="000000"/>
          <w:sz w:val="22"/>
          <w:szCs w:val="22"/>
        </w:rPr>
      </w:pPr>
    </w:p>
    <w:p w14:paraId="44856578" w14:textId="77777777" w:rsidP="008E4747" w:rsidR="007F2485"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sz w:val="22"/>
          <w:szCs w:val="22"/>
        </w:rPr>
        <w:t xml:space="preserve">Diamante do Sul</w:t>
      </w:r>
      <w:r>
        <w:rPr>
          <w:rFonts w:ascii="Times New Roman" w:cs="Times New Roman" w:hAnsi="Times New Roman"/>
          <w:sz w:val="22"/>
          <w:szCs w:val="22"/>
        </w:rPr>
        <w:t xml:space="preserve">-</w:t>
      </w:r>
      <w:r>
        <w:rPr>
          <w:rFonts w:ascii="Times New Roman" w:cs="Times New Roman" w:hAnsi="Times New Roman"/>
          <w:sz w:val="22"/>
          <w:szCs w:val="22"/>
        </w:rPr>
        <w:t xml:space="preserve">PR</w:t>
      </w:r>
      <w:r>
        <w:rPr>
          <w:rFonts w:ascii="Times New Roman" w:cs="Times New Roman" w:hAnsi="Times New Roman"/>
          <w:sz w:val="22"/>
          <w:szCs w:val="22"/>
        </w:rPr>
        <w:t xml:space="preserve">, </w:t>
      </w:r>
      <w:r>
        <w:rPr>
          <w:rFonts w:ascii="Times New Roman" w:cs="Times New Roman" w:hAnsi="Times New Roman"/>
          <w:sz w:val="22"/>
          <w:szCs w:val="22"/>
        </w:rPr>
        <w:t xml:space="preserve">23 de abril de 2026</w:t>
      </w:r>
    </w:p>
    <w:p w14:paraId="4C927559" w14:textId="77777777" w:rsidR="007F2485" w:rsidRDefault="007F2485">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right"/>
        <w:rPr>
          <w:rFonts w:ascii="Times New Roman" w:cs="Rockwell" w:hAnsi="Times New Roman"/>
          <w:color w:val="000000"/>
          <w:sz w:val="22"/>
          <w:szCs w:val="22"/>
        </w:rPr>
      </w:pPr>
    </w:p>
    <w:p w14:paraId="2400A17C" w14:textId="77777777" w:rsidR="00034596" w:rsidRDefault="00034596">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Rockwell" w:hAnsi="Times New Roman"/>
          <w:color w:val="000000"/>
          <w:sz w:val="22"/>
          <w:szCs w:val="22"/>
        </w:rPr>
      </w:pPr>
      <w:bookmarkStart w:id="0" w:name="__DdeLink__417_133988040"/>
    </w:p>
    <w:p w14:paraId="75D1289B" w14:textId="77777777" w:rsidR="00034596" w:rsidRDefault="00034596">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Rockwell" w:hAnsi="Times New Roman"/>
          <w:color w:val="000000"/>
          <w:sz w:val="22"/>
          <w:szCs w:val="22"/>
        </w:rPr>
      </w:pPr>
    </w:p>
    <w:p w14:paraId="1A2A7E69" w14:textId="77777777" w:rsidR="00034596" w:rsidRDefault="00034596">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Rockwell" w:hAnsi="Times New Roman"/>
          <w:color w:val="000000"/>
          <w:sz w:val="22"/>
          <w:szCs w:val="22"/>
        </w:rPr>
      </w:pPr>
    </w:p>
    <w:p w14:paraId="4672EA42" w14:textId="740FB89E" w:rsidR="003C6A74" w:rsidRDefault="003C6A74">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Rockwell" w:hAnsi="Times New Roman"/>
          <w:color w:val="000000"/>
          <w:sz w:val="22"/>
          <w:szCs w:val="22"/>
        </w:rPr>
      </w:pPr>
      <w:r w:rsidRPr="003C6A74">
        <w:rPr>
          <w:rFonts w:ascii="Times New Roman" w:cs="Rockwell" w:hAnsi="Times New Roman" w:hint="eastAsia"/>
          <w:color w:val="000000"/>
          <w:sz w:val="22"/>
          <w:szCs w:val="22"/>
        </w:rPr>
        <w:t xml:space="preserve">ROZELI APARECIDA CAMPANHOLI</w:t>
      </w:r>
    </w:p>
    <w:p w14:paraId="1E2AE831" w14:textId="4191B447" w:rsidR="007F2485" w:rsidRDefault="000874DF">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pPr>
      <w:r>
        <w:rPr>
          <w:rFonts w:ascii="Times New Roman" w:cs="Rockwell" w:hAnsi="Times New Roman"/>
          <w:color w:val="000000"/>
          <w:sz w:val="22"/>
          <w:szCs w:val="22"/>
        </w:rPr>
        <w:t>Contador</w:t>
      </w:r>
      <w:bookmarkEnd w:id="0"/>
    </w:p>
    <w:p w14:paraId="6F1A5718" w14:textId="61C6CDC8" w:rsidR="007F2485" w:rsidRDefault="00CC1D76">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pPr>
      <w:r>
        <w:rPr>
          <w:rFonts w:ascii="Times New Roman" w:cs="Arial Narrow" w:hAnsi="Times New Roman"/>
          <w:color w:val="000000"/>
          <w:sz w:val="22"/>
          <w:szCs w:val="22"/>
        </w:rPr>
        <w:t xml:space="preserve">05775405 </w:t>
      </w:r>
      <w:r w:rsidR="000874DF">
        <w:rPr>
          <w:rFonts w:ascii="Times New Roman" w:cs="Arial Narrow" w:hAnsi="Times New Roman"/>
          <w:color w:val="000000"/>
          <w:sz w:val="22"/>
          <w:szCs w:val="22"/>
        </w:rPr>
        <w:t>CRC/PR</w:t>
      </w:r>
    </w:p>
    <w:sectPr w:rsidR="007F2485">
      <w:headerReference r:id="rId6" w:type="even"/>
      <w:headerReference r:id="rId7" w:type="default"/>
      <w:footerReference r:id="rId8" w:type="even"/>
      <w:footerReference r:id="rId9" w:type="default"/>
      <w:headerReference r:id="rId10" w:type="first"/>
      <w:footerReference r:id="rId11" w:type="first"/>
      <w:pgSz w:h="16838" w:w="11906"/>
      <w:pgMar w:bottom="1134" w:footer="0" w:gutter="0" w:header="283" w:left="1134" w:right="1134" w:top="1757"/>
      <w:cols w:space="720"/>
      <w:formProt w:val="false"/>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54859" w14:textId="77777777" w:rsidR="00EF67DE" w:rsidRDefault="00EF67DE">
      <w:pPr>
        <w:rPr>
          <w:rFonts w:hint="eastAsia"/>
        </w:rPr>
      </w:pPr>
      <w:r>
        <w:separator/>
      </w:r>
    </w:p>
  </w:endnote>
  <w:endnote w:type="continuationSeparator" w:id="0">
    <w:p w14:paraId="4C2F3319" w14:textId="77777777" w:rsidR="00EF67DE" w:rsidRDefault="00EF67DE">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Rockwell">
    <w:panose1 w:val="020606030202050204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50E03" w:rsidRDefault="00050E03" w14:paraId="02F1E309" w14:textId="77777777">
    <w:pPr>
      <w:pStyle w:val="Rodap"/>
      <w:rPr>
        <w:rFonts w:hint="eastAsia"/>
      </w:rPr>
    </w:pPr>
  </w:p>
</w:ftr>
</file>

<file path=word/footer2.xml><?xml version="1.0" encoding="utf-8"?>
<w:ft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50E03" w:rsidRDefault="00050E03" w14:paraId="44A83DEB" w14:textId="77777777">
    <w:pPr>
      <w:pStyle w:val="Rodap"/>
      <w:rPr>
        <w:rFonts w:hint="eastAsia"/>
      </w:rPr>
    </w:pPr>
  </w:p>
</w:ftr>
</file>

<file path=word/footer3.xml><?xml version="1.0" encoding="utf-8"?>
<w:ft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50E03" w:rsidRDefault="00050E03" w14:paraId="4D9D33E4" w14:textId="77777777">
    <w:pPr>
      <w:pStyle w:val="Rodap"/>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356B3" w14:textId="77777777" w:rsidR="00EF67DE" w:rsidRDefault="00EF67DE">
      <w:pPr>
        <w:rPr>
          <w:rFonts w:hint="eastAsia"/>
        </w:rPr>
      </w:pPr>
      <w:r>
        <w:separator/>
      </w:r>
    </w:p>
  </w:footnote>
  <w:footnote w:type="continuationSeparator" w:id="0">
    <w:p w14:paraId="4C8BBD0C" w14:textId="77777777" w:rsidR="00EF67DE" w:rsidRDefault="00EF67DE">
      <w:pPr>
        <w:rPr>
          <w:rFonts w:hint="eastAsia"/>
        </w:rPr>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50E03" w:rsidRDefault="00050E03" w14:paraId="60E8DC70" w14:textId="77777777">
    <w:pPr>
      <w:pStyle w:val="Cabealho"/>
      <w:rPr>
        <w:rFonts w:hint="eastAsia"/>
      </w:rPr>
    </w:pPr>
  </w:p>
</w:hdr>
</file>

<file path=word/header2.xml><?xml version="1.0" encoding="utf-8"?>
<w:hd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tbl>
    <w:tblPr>
      <w:tblW w:w="11339" w:type="dxa"/>
      <w:tblInd w:w="-811" w:type="dxa"/>
      <w:tblBorders>
        <w:top w:val="single" w:color="000001" w:sz="2" w:space="0"/>
        <w:left w:val="single" w:color="000001" w:sz="2" w:space="0"/>
        <w:bottom w:val="single" w:color="000001" w:sz="2" w:space="0"/>
        <w:insideH w:val="single" w:color="000001" w:sz="2" w:space="0"/>
      </w:tblBorders>
      <w:tblCellMar>
        <w:top w:w="55" w:type="dxa"/>
        <w:left w:w="24" w:type="dxa"/>
        <w:bottom w:w="55" w:type="dxa"/>
        <w:right w:w="55" w:type="dxa"/>
      </w:tblCellMar>
      <w:tblLook w:firstRow="0" w:lastRow="0" w:firstColumn="0" w:lastColumn="0" w:noHBand="0" w:noVBand="0" w:val="0000"/>
    </w:tblPr>
    <w:tblGrid>
      <w:gridCol w:w="1699"/>
      <w:gridCol w:w="7940"/>
      <w:gridCol w:w="1700"/>
    </w:tblGrid>
    <w:tr w:rsidR="00731B7C" w:rsidTr="00B16547" w14:paraId="2FAFAA27" w14:textId="77777777">
      <w:tc>
        <w:tcPr>
          <w:tcW w:w="1696" w:type="dxa"/>
          <w:tcBorders>
            <w:top w:val="single" w:color="000001" w:sz="2" w:space="0"/>
            <w:left w:val="single" w:color="000001" w:sz="2" w:space="0"/>
            <w:bottom w:val="single" w:color="000001" w:sz="2" w:space="0"/>
          </w:tcBorders>
        </w:tcPr>
        <w:p w:rsidR="00731B7C" w:rsidP="00731B7C" w:rsidRDefault="00050E03" w14:paraId="78B9BC14" w14:textId="02588BAD">
          <w:pPr>
            <w:pStyle w:val="Contedodatabela"/>
            <w:rPr>
              <w:rFonts w:hint="eastAsia"/>
            </w:rPr>
          </w:pPr>
          <w:r>
            <w:rPr>
              <w:rFonts w:hint="eastAsia"/>
              <w:noProof/>
            </w:rPr>
            <w:drawing>
              <wp:inline distT="0" distB="0" distL="0" distR="0">
                <wp:extent cx="1028700" cy="1028700"/>
                <wp:effectExtent l="0" t="0" r="0" b="0"/>
                <wp:docPr id="1139669391" name="Imagem 1"/>
                <wp:cNvGraphicFramePr>
                  <a:graphicFrameLocks noChangeAspect="true"/>
                </wp:cNvGraphicFramePr>
                <a:graphic>
                  <a:graphicData uri="http://schemas.openxmlformats.org/drawingml/2006/picture">
                    <pic:pic>
                      <pic:nvPicPr>
                        <pic:cNvPr id="1139669391" name="Imagem 1139669391"/>
                        <pic:cNvPicPr/>
                      </pic:nvPicPr>
                      <pic:blipFill>
                        <a:blip r:embed="rId1">
                          <a:extLst>
                            <a:ext uri="{28A0092B-C50C-407E-A947-70E740481C1C}">
                              <a14:useLocalDpi val="false"/>
                            </a:ext>
                          </a:extLst>
                        </a:blip>
                        <a:stretch>
                          <a:fillRect/>
                        </a:stretch>
                      </pic:blipFill>
                      <pic:spPr>
                        <a:xfrm>
                          <a:off x="0" y="0"/>
                          <a:ext cx="1028700" cy="1028700"/>
                        </a:xfrm>
                        <a:prstGeom prst="rect">
                          <a:avLst/>
                        </a:prstGeom>
                      </pic:spPr>
                    </pic:pic>
                  </a:graphicData>
                </a:graphic>
              </wp:inline>
            </w:drawing>
          </w:r>
        </w:p>
      </w:tc>
      <w:tc>
        <w:tcPr>
          <w:tcW w:w="7942" w:type="dxa"/>
          <w:tcBorders>
            <w:top w:val="single" w:color="000001" w:sz="2" w:space="0"/>
            <w:left w:val="single" w:color="000001" w:sz="2" w:space="0"/>
            <w:bottom w:val="single" w:color="000001" w:sz="2" w:space="0"/>
          </w:tcBorders>
        </w:tcPr>
        <w:p w:rsidR="00731B7C" w:rsidP="00731B7C" w:rsidRDefault="00731B7C" w14:paraId="08713BE3" w14:textId="77777777">
          <w:pPr>
            <w:rPr>
              <w:rFonts w:hint="eastAsia"/>
              <w:b/>
              <w:bCs/>
              <w:sz w:val="30"/>
              <w:szCs w:val="30"/>
            </w:rPr>
          </w:pPr>
          <w:r>
            <w:rPr>
              <w:b/>
              <w:bCs/>
              <w:sz w:val="30"/>
              <w:szCs w:val="30"/>
            </w:rPr>
            <w:t xml:space="preserve">Prefeitura Municipal de Diamante do Sul</w:t>
          </w:r>
        </w:p>
        <w:p w:rsidR="00731B7C" w:rsidP="00731B7C" w:rsidRDefault="00731B7C" w14:paraId="7B13273D" w14:textId="77777777">
          <w:pPr>
            <w:tabs>
              <w:tab w:val="left" w:pos="3969"/>
            </w:tabs>
            <w:rPr>
              <w:rFonts w:hint="eastAsia"/>
            </w:rPr>
          </w:pPr>
          <w:r>
            <w:t xml:space="preserve">AVENIDA GETÚLIO VARGAS</w:t>
          </w:r>
          <w:r>
            <w:t xml:space="preserve">, </w:t>
          </w:r>
          <w:r>
            <w:t xml:space="preserve">S/N</w:t>
          </w:r>
          <w:r>
            <w:t xml:space="preserve"> - </w:t>
          </w:r>
          <w:r>
            <w:t xml:space="preserve">Centro</w:t>
          </w:r>
        </w:p>
        <w:p w:rsidR="00731B7C" w:rsidP="00731B7C" w:rsidRDefault="00731B7C" w14:paraId="28D53CB5" w14:textId="77777777">
          <w:pPr>
            <w:tabs>
              <w:tab w:val="left" w:pos="3969"/>
            </w:tabs>
            <w:rPr>
              <w:rFonts w:hint="eastAsia"/>
            </w:rPr>
          </w:pPr>
          <w:r>
            <w:t xml:space="preserve">85.408-000</w:t>
          </w:r>
          <w:r>
            <w:t xml:space="preserve"> - </w:t>
          </w:r>
          <w:r>
            <w:t xml:space="preserve">Diamante do Sul</w:t>
          </w:r>
          <w:r>
            <w:t xml:space="preserve"> - </w:t>
          </w:r>
          <w:r>
            <w:t xml:space="preserve">Paraná</w:t>
          </w:r>
        </w:p>
        <w:p w:rsidR="00731B7C" w:rsidP="00731B7C" w:rsidRDefault="00731B7C" w14:paraId="1786B4D0" w14:textId="77777777">
          <w:pPr>
            <w:tabs>
              <w:tab w:val="left" w:pos="3969"/>
            </w:tabs>
            <w:rPr>
              <w:rFonts w:hint="eastAsia"/>
            </w:rPr>
          </w:pPr>
          <w:r>
            <w:t xml:space="preserve">95.595.120/0001-95</w:t>
          </w:r>
          <w:r>
            <w:t xml:space="preserve">          </w:t>
          </w:r>
          <w:r>
            <w:t xml:space="preserve">(45)3230-1297</w:t>
          </w:r>
        </w:p>
        <w:p w:rsidR="00731B7C" w:rsidP="00731B7C" w:rsidRDefault="00731B7C" w14:paraId="25D346DD" w14:textId="77777777">
          <w:pPr>
            <w:tabs>
              <w:tab w:val="left" w:pos="3969"/>
            </w:tabs>
            <w:rPr>
              <w:rFonts w:hint="eastAsia"/>
            </w:rPr>
          </w:pPr>
          <w:r>
            <w:t xml:space="preserve"/>
          </w:r>
          <w:r>
            <w:t xml:space="preserve">          </w:t>
          </w:r>
          <w:r>
            <w:t xml:space="preserve">https://diamantedosul.pr.gov.br/</w:t>
          </w:r>
        </w:p>
      </w:tc>
      <w:tc>
        <w:tcPr>
          <w:tcW w:w="1701" w:type="dxa"/>
          <w:tcBorders>
            <w:top w:val="single" w:color="000001" w:sz="2" w:space="0"/>
            <w:left w:val="single" w:color="000001" w:sz="2" w:space="0"/>
            <w:bottom w:val="single" w:color="000001" w:sz="2" w:space="0"/>
            <w:right w:val="single" w:color="000001" w:sz="2" w:space="0"/>
          </w:tcBorders>
        </w:tcPr>
        <w:p w:rsidR="00731B7C" w:rsidP="00731B7C" w:rsidRDefault="00731B7C" w14:paraId="355241B6" w14:textId="580F43DD">
          <w:pPr>
            <w:pStyle w:val="Contedodatabela"/>
            <w:rPr>
              <w:rFonts w:hint="eastAsia"/>
            </w:rPr>
          </w:pPr>
        </w:p>
      </w:tc>
    </w:tr>
  </w:tbl>
  <w:p w:rsidR="007F2485" w:rsidRDefault="007F2485" w14:paraId="642065C9" w14:textId="77777777">
    <w:pPr>
      <w:rPr>
        <w:rFonts w:hint="eastAsia"/>
      </w:rPr>
    </w:pPr>
  </w:p>
</w:hdr>
</file>

<file path=word/header3.xml><?xml version="1.0" encoding="utf-8"?>
<w:hd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050E03" w:rsidRDefault="00050E03" w14:paraId="3CB68C5C" w14:textId="77777777">
    <w:pPr>
      <w:pStyle w:val="Cabealho"/>
      <w:rPr>
        <w:rFonts w:hint="eastAsia"/>
      </w:rPr>
    </w:pPr>
  </w:p>
</w:hdr>
</file>

<file path=word/settings.xml><?xml version="1.0" encoding="utf-8"?>
<w:setting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30"/>
  <w:proofState w:spelling="clean" w:grammar="clean"/>
  <w:defaultTabStop w:val="709"/>
  <w:hyphenationZone w:val="425"/>
  <w:characterSpacingControl w:val="doNotCompress"/>
  <w:hdrShapeDefaults>
    <o:shapedefaults spidmax="2050" v:ext="edi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2485"/>
    <w:rsid w:val="00025D77"/>
    <w:rsid w:val="00034596"/>
    <w:rsid w:val="00050E03"/>
    <w:rsid w:val="0007334C"/>
    <w:rsid w:val="000736BA"/>
    <w:rsid w:val="000874DF"/>
    <w:rsid w:val="000D16FD"/>
    <w:rsid w:val="00115CE9"/>
    <w:rsid w:val="00384455"/>
    <w:rsid w:val="003C6A74"/>
    <w:rsid w:val="0040208B"/>
    <w:rsid w:val="0058445F"/>
    <w:rsid w:val="005A3598"/>
    <w:rsid w:val="005E30F2"/>
    <w:rsid w:val="006019A1"/>
    <w:rsid w:val="00664280"/>
    <w:rsid w:val="00682ADF"/>
    <w:rsid w:val="006C73DE"/>
    <w:rsid w:val="00727D8F"/>
    <w:rsid w:val="00731B7C"/>
    <w:rsid w:val="007F2485"/>
    <w:rsid w:val="008E4747"/>
    <w:rsid w:val="008F7811"/>
    <w:rsid w:val="00AB4D28"/>
    <w:rsid w:val="00B02801"/>
    <w:rsid w:val="00B10A59"/>
    <w:rsid w:val="00B9634C"/>
    <w:rsid w:val="00BB738A"/>
    <w:rsid w:val="00CB38F0"/>
    <w:rsid w:val="00CC1D76"/>
    <w:rsid w:val="00CF2A96"/>
    <w:rsid w:val="00CF4DD6"/>
    <w:rsid w:val="00EB4686"/>
    <w:rsid w:val="00EF67DE"/>
    <w:rsid w:val="00F70E56"/>
    <w:rsid w:val="00FB2E2C"/>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B637273"/>
  <w15:docId w15:val="{CE5693FC-9D53-4579-B986-276EA3797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Arial"/>
        <w:kern w:val="2"/>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AF4"/>
    <w:pPr>
      <w:widowControl w:val="0"/>
      <w:suppressAutoHyphens/>
      <w:overflowPunct w:val="0"/>
    </w:pPr>
    <w:rPr>
      <w:rFonts w:cs="Mangal"/>
      <w:color w:val="00000A"/>
      <w:kern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sid w:val="00074AF4"/>
    <w:rPr>
      <w:color w:val="000080"/>
      <w:u w:val="single"/>
    </w:rPr>
  </w:style>
  <w:style w:type="character" w:customStyle="1" w:styleId="RodapChar">
    <w:name w:val="Rodapé Char"/>
    <w:basedOn w:val="Fontepargpadro"/>
    <w:link w:val="Rodap"/>
    <w:uiPriority w:val="99"/>
    <w:qFormat/>
    <w:rsid w:val="003021EB"/>
    <w:rPr>
      <w:color w:val="00000A"/>
      <w:sz w:val="24"/>
      <w:szCs w:val="21"/>
    </w:rPr>
  </w:style>
  <w:style w:type="character" w:customStyle="1" w:styleId="TextodebaloChar">
    <w:name w:val="Texto de balão Char"/>
    <w:basedOn w:val="Fontepargpadro"/>
    <w:link w:val="Textodebalo"/>
    <w:uiPriority w:val="99"/>
    <w:semiHidden/>
    <w:qFormat/>
    <w:rsid w:val="008B46FC"/>
    <w:rPr>
      <w:rFonts w:ascii="Tahoma" w:hAnsi="Tahoma"/>
      <w:color w:val="00000A"/>
      <w:sz w:val="16"/>
      <w:szCs w:val="14"/>
    </w:rPr>
  </w:style>
  <w:style w:type="paragraph" w:styleId="Ttulo">
    <w:name w:val="Title"/>
    <w:basedOn w:val="Normal"/>
    <w:next w:val="Corpodetexto"/>
    <w:qFormat/>
    <w:rsid w:val="00074AF4"/>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Normal"/>
    <w:rsid w:val="00074AF4"/>
  </w:style>
  <w:style w:type="paragraph" w:styleId="Legenda">
    <w:name w:val="caption"/>
    <w:basedOn w:val="Normal"/>
    <w:qFormat/>
    <w:rsid w:val="00074AF4"/>
    <w:pPr>
      <w:suppressLineNumbers/>
      <w:spacing w:before="120" w:after="120"/>
    </w:pPr>
    <w:rPr>
      <w:i/>
      <w:iCs/>
    </w:rPr>
  </w:style>
  <w:style w:type="paragraph" w:customStyle="1" w:styleId="ndice">
    <w:name w:val="Índice"/>
    <w:basedOn w:val="Normal"/>
    <w:qFormat/>
    <w:rsid w:val="00074AF4"/>
    <w:pPr>
      <w:suppressLineNumbers/>
    </w:pPr>
  </w:style>
  <w:style w:type="paragraph" w:customStyle="1" w:styleId="Corpodotexto">
    <w:name w:val="Corpo do texto"/>
    <w:basedOn w:val="Normal"/>
    <w:qFormat/>
    <w:rsid w:val="00074AF4"/>
    <w:pPr>
      <w:spacing w:after="140" w:line="288" w:lineRule="auto"/>
    </w:pPr>
  </w:style>
  <w:style w:type="paragraph" w:styleId="Cabealho">
    <w:name w:val="header"/>
    <w:basedOn w:val="Normal"/>
    <w:link w:val="CabealhoChar"/>
    <w:uiPriority w:val="99"/>
    <w:rsid w:val="00074AF4"/>
    <w:pPr>
      <w:suppressLineNumbers/>
      <w:tabs>
        <w:tab w:val="center" w:pos="4819"/>
        <w:tab w:val="right" w:pos="9638"/>
      </w:tabs>
    </w:pPr>
  </w:style>
  <w:style w:type="paragraph" w:customStyle="1" w:styleId="Contedodatabela">
    <w:name w:val="Conteúdo da tabela"/>
    <w:basedOn w:val="Normal"/>
    <w:qFormat/>
    <w:rsid w:val="00074AF4"/>
    <w:pPr>
      <w:suppressLineNumbers/>
    </w:pPr>
  </w:style>
  <w:style w:type="paragraph" w:customStyle="1" w:styleId="Ttulodetabela">
    <w:name w:val="Título de tabela"/>
    <w:basedOn w:val="Contedodatabela"/>
    <w:qFormat/>
    <w:rsid w:val="00074AF4"/>
    <w:pPr>
      <w:jc w:val="center"/>
    </w:pPr>
    <w:rPr>
      <w:b/>
      <w:bCs/>
    </w:rPr>
  </w:style>
  <w:style w:type="paragraph" w:customStyle="1" w:styleId="Normal0">
    <w:name w:val="[Normal]"/>
    <w:qFormat/>
    <w:rsid w:val="00074AF4"/>
    <w:pPr>
      <w:widowControl w:val="0"/>
      <w:suppressAutoHyphens/>
      <w:overflowPunct w:val="0"/>
    </w:pPr>
    <w:rPr>
      <w:rFonts w:ascii="Arial" w:eastAsiaTheme="minorHAnsi" w:hAnsi="Arial"/>
      <w:color w:val="00000A"/>
      <w:kern w:val="0"/>
      <w:sz w:val="24"/>
      <w:lang w:eastAsia="en-US" w:bidi="ar-SA"/>
    </w:rPr>
  </w:style>
  <w:style w:type="paragraph" w:styleId="Rodap">
    <w:name w:val="footer"/>
    <w:basedOn w:val="Normal"/>
    <w:link w:val="RodapChar"/>
    <w:uiPriority w:val="99"/>
    <w:unhideWhenUsed/>
    <w:rsid w:val="003021EB"/>
    <w:pPr>
      <w:tabs>
        <w:tab w:val="center" w:pos="4252"/>
        <w:tab w:val="right" w:pos="8504"/>
      </w:tabs>
    </w:pPr>
    <w:rPr>
      <w:szCs w:val="21"/>
    </w:rPr>
  </w:style>
  <w:style w:type="paragraph" w:styleId="Textodebalo">
    <w:name w:val="Balloon Text"/>
    <w:basedOn w:val="Normal"/>
    <w:link w:val="TextodebaloChar"/>
    <w:uiPriority w:val="99"/>
    <w:semiHidden/>
    <w:unhideWhenUsed/>
    <w:qFormat/>
    <w:rsid w:val="008B46FC"/>
    <w:rPr>
      <w:rFonts w:ascii="Tahoma" w:hAnsi="Tahoma"/>
      <w:sz w:val="16"/>
      <w:szCs w:val="14"/>
    </w:rPr>
  </w:style>
  <w:style w:type="character" w:customStyle="1" w:styleId="CabealhoChar">
    <w:name w:val="Cabeçalho Char"/>
    <w:basedOn w:val="Fontepargpadro"/>
    <w:link w:val="Cabealho"/>
    <w:uiPriority w:val="99"/>
    <w:rsid w:val="00B9634C"/>
    <w:rPr>
      <w:rFonts w:cs="Mangal"/>
      <w:color w:val="00000A"/>
      <w:kern w:val="0"/>
      <w:sz w:val="24"/>
    </w:rPr>
  </w:style>
  <w:style w:type="character" w:styleId="Hyperlink">
    <w:name w:val="Hyperlink"/>
    <w:uiPriority w:val="99"/>
    <w:semiHidden/>
    <w:unhideWhenUsed/>
    <w:rsid w:val="00B9634C"/>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0465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theme/theme1.xml" Type="http://schemas.openxmlformats.org/officeDocument/2006/relationships/theme" Id="rId13"/>
    <Relationship Target="webSettings.xml" Type="http://schemas.openxmlformats.org/officeDocument/2006/relationships/webSettings" Id="rId3"/>
    <Relationship Target="header2.xml" Type="http://schemas.openxmlformats.org/officeDocument/2006/relationships/header" Id="rId7"/>
    <Relationship Target="fontTable.xml" Type="http://schemas.openxmlformats.org/officeDocument/2006/relationships/fontTable" Id="rId12"/>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footer3.xml" Type="http://schemas.openxmlformats.org/officeDocument/2006/relationships/footer" Id="rId11"/>
    <Relationship Target="endnotes.xml" Type="http://schemas.openxmlformats.org/officeDocument/2006/relationships/endnotes" Id="rId5"/>
    <Relationship Target="header3.xml" Type="http://schemas.openxmlformats.org/officeDocument/2006/relationships/header" Id="rId10"/>
    <Relationship Target="footnotes.xml" Type="http://schemas.openxmlformats.org/officeDocument/2006/relationships/footnotes" Id="rId4"/>
    <Relationship Target="footer2.xml" Type="http://schemas.openxmlformats.org/officeDocument/2006/relationships/footer" Id="rId9"/>
</Relationships>

</file>

<file path=word/_rels/header2.xml.rels><?xml version="1.0" encoding="UTF-8" standalone="yes"?>
<Relationships xmlns="http://schemas.openxmlformats.org/package/2006/relationships">
    <Relationship Target="media/image1.jpg" Type="http://schemas.openxmlformats.org/officeDocument/2006/relationships/image" Id="rId1"/>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172</Words>
  <Characters>934</Characters>
  <Application>Microsoft Office Word</Application>
  <DocSecurity>0</DocSecurity>
  <Lines>7</Lines>
  <Paragraphs>2</Paragraphs>
  <ScaleCrop>false</ScaleCrop>
  <Company/>
  <LinksUpToDate>false</LinksUpToDate>
  <CharactersWithSpaces>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Fernando</dc:creator>
  <dc:description/>
  <cp:lastModifiedBy>Maykel Douglas Engerroff</cp:lastModifiedBy>
  <cp:revision>11</cp:revision>
  <dcterms:created xsi:type="dcterms:W3CDTF">2024-01-11T17:50:00Z</dcterms:created>
  <dcterms:modified xsi:type="dcterms:W3CDTF">2026-01-13T14:19:00Z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