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191 - 0 . 7002 . 10 . 301 . 1001 . 2.45 . 0 . 339034 Outras Despesas de Pessoal decorrentes de Contratos de Terceirização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R$ 2.000,00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IL6/2026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005/2026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Não se aplica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Credenciamento de profissionais Cirurgiões-Dentistas, clínico geral, para prestação de serviços junto à rede municipal de saúde do Município de Diamante do Sul/PR, com remuneração por hora efetivamente trabalhada, conforme necessidade da Secretaria Municipal de Saúde.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R$ 206.515,20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duzentos e seis mil e quinhentos e quinze reais e vinte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