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EC64" w14:textId="77777777" w:rsidR="007958D2" w:rsidRPr="00DC4BEE" w:rsidRDefault="007958D2" w:rsidP="007958D2">
      <w:pPr>
        <w:jc w:val="center"/>
        <w:rPr>
          <w:rFonts w:ascii="Tahoma" w:hAnsi="Tahoma" w:cs="Tahoma"/>
          <w:b/>
          <w:bCs/>
          <w:u w:val="single"/>
        </w:rPr>
      </w:pPr>
    </w:p>
    <w:p w14:paraId="1471C5E9" w14:textId="715108F1" w:rsidR="00DF7016" w:rsidRPr="00DC4BEE" w:rsidRDefault="000E62FF" w:rsidP="00DF7016">
      <w:pPr>
        <w:spacing w:line="360" w:lineRule="auto"/>
        <w:jc w:val="center"/>
        <w:rPr>
          <w:rFonts w:ascii="Tahoma" w:hAnsi="Tahoma" w:cs="Tahoma"/>
          <w:b/>
          <w:bCs/>
          <w:u w:val="single"/>
        </w:rPr>
      </w:pPr>
      <w:r w:rsidRPr="00DC4BEE">
        <w:rPr>
          <w:rFonts w:ascii="Tahoma" w:hAnsi="Tahoma" w:cs="Tahoma"/>
          <w:b/>
          <w:bCs/>
          <w:u w:val="single"/>
        </w:rPr>
        <w:t xml:space="preserve">ATO DE </w:t>
      </w:r>
      <w:r w:rsidR="00981465" w:rsidRPr="00DC4BEE">
        <w:rPr>
          <w:rFonts w:ascii="Tahoma" w:hAnsi="Tahoma" w:cs="Tahoma"/>
          <w:b/>
          <w:bCs/>
          <w:u w:val="single"/>
        </w:rPr>
        <w:t xml:space="preserve">AUTORIZAÇÃO </w:t>
      </w:r>
      <w:r w:rsidR="0030255B" w:rsidRPr="00DC4BEE">
        <w:rPr>
          <w:rFonts w:ascii="Tahoma" w:hAnsi="Tahoma" w:cs="Tahoma"/>
          <w:b/>
          <w:bCs/>
          <w:u w:val="single"/>
        </w:rPr>
        <w:t>DE</w:t>
      </w:r>
      <w:r w:rsidRPr="00DC4BEE">
        <w:rPr>
          <w:rFonts w:ascii="Tahoma" w:hAnsi="Tahoma" w:cs="Tahoma"/>
          <w:b/>
          <w:bCs/>
          <w:u w:val="single"/>
        </w:rPr>
        <w:t xml:space="preserve"> </w:t>
      </w:r>
      <w:r w:rsidR="009C07DF" w:rsidRPr="00DC4BEE">
        <w:rPr>
          <w:rFonts w:ascii="Tahoma" w:hAnsi="Tahoma" w:cs="Tahoma"/>
          <w:b/>
          <w:bCs/>
          <w:u w:val="single"/>
        </w:rPr>
        <w:t>DISPENSA DE LICITAÇÃO</w:t>
      </w:r>
    </w:p>
    <w:p w14:paraId="73959279" w14:textId="77777777" w:rsidR="000E62FF" w:rsidRPr="00DC4BEE" w:rsidRDefault="000E62FF" w:rsidP="00DF7016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3A430484" w14:textId="7A3F78BB" w:rsidR="00DF7016" w:rsidRPr="00DC4BEE" w:rsidRDefault="000E62FF" w:rsidP="00DF7016">
      <w:pPr>
        <w:spacing w:line="360" w:lineRule="auto"/>
        <w:jc w:val="center"/>
        <w:rPr>
          <w:rFonts w:ascii="Tahoma" w:hAnsi="Tahoma" w:cs="Tahoma"/>
          <w:b/>
          <w:bCs/>
        </w:rPr>
      </w:pPr>
      <w:r w:rsidRPr="00DC4BEE">
        <w:rPr>
          <w:rFonts w:ascii="Tahoma" w:hAnsi="Tahoma" w:cs="Tahoma"/>
          <w:b/>
          <w:bCs/>
        </w:rPr>
        <w:t>Dispensa de Licitação</w:t>
      </w:r>
    </w:p>
    <w:p w14:paraId="52656983" w14:textId="61FFE36D" w:rsidR="00DF7016" w:rsidRPr="00DC4BEE" w:rsidRDefault="00934B3E" w:rsidP="00DF7016">
      <w:pPr>
        <w:spacing w:line="360" w:lineRule="auto"/>
        <w:jc w:val="center"/>
        <w:rPr>
          <w:rFonts w:ascii="Tahoma" w:hAnsi="Tahoma" w:cs="Tahoma"/>
          <w:b/>
          <w:bCs/>
        </w:rPr>
      </w:pPr>
      <w:r w:rsidRPr="00DC4BEE">
        <w:rPr>
          <w:rFonts w:ascii="Tahoma" w:hAnsi="Tahoma" w:cs="Tahoma"/>
          <w:b/>
          <w:bCs/>
        </w:rPr>
        <w:t>Processo</w:t>
      </w:r>
      <w:r w:rsidR="00DF7016" w:rsidRPr="00DC4BEE">
        <w:rPr>
          <w:rFonts w:ascii="Tahoma" w:hAnsi="Tahoma" w:cs="Tahoma"/>
          <w:b/>
          <w:bCs/>
        </w:rPr>
        <w:t xml:space="preserve"> nº </w:t>
      </w:r>
      <w:r w:rsidR="00895211">
        <w:rPr>
          <w:rFonts w:ascii="Tahoma" w:hAnsi="Tahoma" w:cs="Tahoma"/>
          <w:b/>
          <w:bCs/>
        </w:rPr>
        <w:t>693</w:t>
      </w:r>
      <w:r w:rsidR="00DF7016" w:rsidRPr="00DC4BEE">
        <w:rPr>
          <w:rFonts w:ascii="Tahoma" w:hAnsi="Tahoma" w:cs="Tahoma"/>
          <w:b/>
          <w:bCs/>
        </w:rPr>
        <w:t>/202</w:t>
      </w:r>
      <w:r w:rsidR="00BA61FB" w:rsidRPr="00DC4BEE">
        <w:rPr>
          <w:rFonts w:ascii="Tahoma" w:hAnsi="Tahoma" w:cs="Tahoma"/>
          <w:b/>
          <w:bCs/>
        </w:rPr>
        <w:t>4</w:t>
      </w:r>
    </w:p>
    <w:p w14:paraId="77BB48AE" w14:textId="5FEF2EC7" w:rsidR="00DF7016" w:rsidRPr="00DC4BEE" w:rsidRDefault="00DF7016" w:rsidP="00DF7016">
      <w:pPr>
        <w:rPr>
          <w:rFonts w:ascii="Tahoma" w:eastAsiaTheme="majorEastAsia" w:hAnsi="Tahoma" w:cs="Tahoma"/>
          <w:b/>
          <w:bCs/>
          <w:u w:val="single"/>
        </w:rPr>
      </w:pPr>
    </w:p>
    <w:p w14:paraId="75E27310" w14:textId="77777777" w:rsidR="00DC4BEE" w:rsidRPr="00DC4BEE" w:rsidRDefault="00DC4BEE" w:rsidP="00DF7016">
      <w:pPr>
        <w:rPr>
          <w:rFonts w:ascii="Tahoma" w:eastAsiaTheme="majorEastAsia" w:hAnsi="Tahoma" w:cs="Tahoma"/>
          <w:b/>
          <w:bCs/>
          <w:u w:val="single"/>
        </w:rPr>
      </w:pPr>
    </w:p>
    <w:p w14:paraId="42FEDCD3" w14:textId="77777777" w:rsidR="00DF7016" w:rsidRPr="00DC4BEE" w:rsidRDefault="00DF7016" w:rsidP="00DF7016">
      <w:pPr>
        <w:rPr>
          <w:rFonts w:ascii="Tahoma" w:eastAsiaTheme="majorEastAsia" w:hAnsi="Tahoma" w:cs="Tahoma"/>
          <w:b/>
          <w:bCs/>
          <w:u w:val="single"/>
        </w:rPr>
      </w:pPr>
    </w:p>
    <w:p w14:paraId="5A843B81" w14:textId="77777777" w:rsidR="00DF7016" w:rsidRPr="00DC4BEE" w:rsidRDefault="00DF7016" w:rsidP="00DF7016">
      <w:pPr>
        <w:rPr>
          <w:rFonts w:ascii="Tahoma" w:hAnsi="Tahoma" w:cs="Tahoma"/>
          <w:b/>
          <w:bCs/>
        </w:rPr>
      </w:pPr>
    </w:p>
    <w:p w14:paraId="1119ACDA" w14:textId="77777777" w:rsidR="00895211" w:rsidRPr="00895211" w:rsidRDefault="00CD104E" w:rsidP="00895211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hAnsi="Tahoma" w:cs="Tahoma"/>
        </w:rPr>
        <w:t xml:space="preserve"> </w:t>
      </w:r>
      <w:r w:rsidRPr="00DC4BEE">
        <w:rPr>
          <w:rFonts w:ascii="Tahoma" w:hAnsi="Tahoma" w:cs="Tahoma"/>
        </w:rPr>
        <w:tab/>
      </w:r>
      <w:r w:rsidRPr="00DC4BEE">
        <w:rPr>
          <w:rFonts w:ascii="Tahoma" w:hAnsi="Tahoma" w:cs="Tahoma"/>
        </w:rPr>
        <w:tab/>
      </w:r>
      <w:r w:rsidR="00895211" w:rsidRPr="00895211">
        <w:rPr>
          <w:rFonts w:ascii="Tahoma" w:eastAsiaTheme="minorHAnsi" w:hAnsi="Tahoma" w:cs="Tahoma"/>
          <w:color w:val="000000"/>
          <w:lang w:eastAsia="en-US"/>
        </w:rPr>
        <w:t>Trata-se o presente expediente, da permuta de um imóvel urbano desafetado do Município de Candói (PR), cuja matricula é nº 37.073, por um terreno, propriedade da do Sr. Fabio Sguissardi de Oliveira (CPF nº 006.644.159-54) cuja matrícula é de nº 38.212.</w:t>
      </w:r>
    </w:p>
    <w:p w14:paraId="2108E324" w14:textId="77777777" w:rsidR="00895211" w:rsidRPr="00895211" w:rsidRDefault="00895211" w:rsidP="00895211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6CFE9B8A" w14:textId="77777777" w:rsidR="00895211" w:rsidRPr="00895211" w:rsidRDefault="00895211" w:rsidP="00895211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895211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895211">
        <w:rPr>
          <w:rFonts w:ascii="Tahoma" w:eastAsiaTheme="minorHAnsi" w:hAnsi="Tahoma" w:cs="Tahoma"/>
          <w:color w:val="000000"/>
          <w:lang w:eastAsia="en-US"/>
        </w:rPr>
        <w:tab/>
      </w:r>
      <w:r w:rsidRPr="00895211">
        <w:rPr>
          <w:rFonts w:ascii="Tahoma" w:eastAsiaTheme="minorHAnsi" w:hAnsi="Tahoma" w:cs="Tahoma"/>
          <w:color w:val="000000"/>
          <w:lang w:eastAsia="en-US"/>
        </w:rPr>
        <w:tab/>
        <w:t>Os dois imóveis estão registrados no livro nº 2 do 2º Ofício de Registro de Imóveis de Guarapuava (PR). A área do Município possui 846,83 metros quadrados e a do particular possui 878,28 metros quadrados.</w:t>
      </w:r>
    </w:p>
    <w:p w14:paraId="198444F1" w14:textId="7EA1F790" w:rsidR="009C07DF" w:rsidRPr="00DC4BEE" w:rsidRDefault="009C07DF" w:rsidP="00895211">
      <w:pPr>
        <w:spacing w:line="276" w:lineRule="auto"/>
        <w:jc w:val="both"/>
        <w:rPr>
          <w:rFonts w:ascii="Tahoma" w:hAnsi="Tahoma" w:cs="Tahoma"/>
        </w:rPr>
      </w:pPr>
    </w:p>
    <w:p w14:paraId="031AAB55" w14:textId="094AFA82" w:rsidR="00655C3B" w:rsidRPr="00DC4BEE" w:rsidRDefault="009C07DF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hAnsi="Tahoma" w:cs="Tahoma"/>
        </w:rPr>
        <w:t xml:space="preserve"> </w:t>
      </w:r>
      <w:r w:rsidRPr="00DC4BEE">
        <w:rPr>
          <w:rFonts w:ascii="Tahoma" w:hAnsi="Tahoma" w:cs="Tahoma"/>
        </w:rPr>
        <w:tab/>
      </w:r>
      <w:r w:rsidRPr="00DC4BEE">
        <w:rPr>
          <w:rFonts w:ascii="Tahoma" w:hAnsi="Tahoma" w:cs="Tahoma"/>
        </w:rPr>
        <w:tab/>
        <w:t xml:space="preserve">A Câmara aprovou e </w:t>
      </w:r>
      <w:r w:rsidR="00DC4BEE" w:rsidRPr="00DC4BEE">
        <w:rPr>
          <w:rFonts w:ascii="Tahoma" w:hAnsi="Tahoma" w:cs="Tahoma"/>
        </w:rPr>
        <w:t xml:space="preserve">eu </w:t>
      </w:r>
      <w:r w:rsidRPr="00DC4BEE">
        <w:rPr>
          <w:rFonts w:ascii="Tahoma" w:hAnsi="Tahoma" w:cs="Tahoma"/>
        </w:rPr>
        <w:t xml:space="preserve">sancionei a Lei </w:t>
      </w:r>
      <w:r w:rsidRPr="00DC4BEE">
        <w:rPr>
          <w:rFonts w:ascii="Tahoma" w:eastAsiaTheme="minorHAnsi" w:hAnsi="Tahoma" w:cs="Tahoma"/>
          <w:color w:val="000000"/>
          <w:lang w:eastAsia="en-US"/>
        </w:rPr>
        <w:t>nº 1.</w:t>
      </w:r>
      <w:r w:rsidR="00895211">
        <w:rPr>
          <w:rFonts w:ascii="Tahoma" w:eastAsiaTheme="minorHAnsi" w:hAnsi="Tahoma" w:cs="Tahoma"/>
          <w:color w:val="000000"/>
          <w:lang w:eastAsia="en-US"/>
        </w:rPr>
        <w:t>783</w:t>
      </w:r>
      <w:r w:rsidRPr="00DC4BEE">
        <w:rPr>
          <w:rFonts w:ascii="Tahoma" w:eastAsiaTheme="minorHAnsi" w:hAnsi="Tahoma" w:cs="Tahoma"/>
          <w:color w:val="000000"/>
          <w:lang w:eastAsia="en-US"/>
        </w:rPr>
        <w:t>/202</w:t>
      </w:r>
      <w:r w:rsidR="00895211">
        <w:rPr>
          <w:rFonts w:ascii="Tahoma" w:eastAsiaTheme="minorHAnsi" w:hAnsi="Tahoma" w:cs="Tahoma"/>
          <w:color w:val="000000"/>
          <w:lang w:eastAsia="en-US"/>
        </w:rPr>
        <w:t>5</w:t>
      </w:r>
      <w:r w:rsidRPr="00DC4BEE">
        <w:rPr>
          <w:rFonts w:ascii="Tahoma" w:eastAsiaTheme="minorHAnsi" w:hAnsi="Tahoma" w:cs="Tahoma"/>
          <w:color w:val="000000"/>
          <w:lang w:eastAsia="en-US"/>
        </w:rPr>
        <w:t xml:space="preserve"> que autoriza o município realizar </w:t>
      </w:r>
      <w:r w:rsidR="00B7052A" w:rsidRPr="00DC4BEE">
        <w:rPr>
          <w:rFonts w:ascii="Tahoma" w:eastAsiaTheme="minorHAnsi" w:hAnsi="Tahoma" w:cs="Tahoma"/>
          <w:color w:val="000000"/>
          <w:lang w:eastAsia="en-US"/>
        </w:rPr>
        <w:t xml:space="preserve">esta </w:t>
      </w:r>
      <w:r w:rsidRPr="00DC4BEE">
        <w:rPr>
          <w:rFonts w:ascii="Tahoma" w:eastAsiaTheme="minorHAnsi" w:hAnsi="Tahoma" w:cs="Tahoma"/>
          <w:color w:val="000000"/>
          <w:lang w:eastAsia="en-US"/>
        </w:rPr>
        <w:t>transação imobiliária</w:t>
      </w:r>
      <w:r w:rsidR="00655C3B" w:rsidRPr="00DC4BEE">
        <w:rPr>
          <w:rFonts w:ascii="Tahoma" w:eastAsiaTheme="minorHAnsi" w:hAnsi="Tahoma" w:cs="Tahoma"/>
          <w:color w:val="000000"/>
          <w:lang w:eastAsia="en-US"/>
        </w:rPr>
        <w:t>.</w:t>
      </w:r>
    </w:p>
    <w:p w14:paraId="6EA8ED6C" w14:textId="77777777" w:rsidR="00655C3B" w:rsidRPr="00DC4BEE" w:rsidRDefault="00655C3B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3C0E8D62" w14:textId="5E4D2BFD" w:rsidR="009C07DF" w:rsidRPr="00DC4BEE" w:rsidRDefault="00655C3B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  <w:t xml:space="preserve">Este negócio vai de encontro com o </w:t>
      </w:r>
      <w:r w:rsidR="009C07DF" w:rsidRPr="00DC4BEE">
        <w:rPr>
          <w:rFonts w:ascii="Tahoma" w:eastAsiaTheme="minorHAnsi" w:hAnsi="Tahoma" w:cs="Tahoma"/>
          <w:color w:val="000000"/>
          <w:lang w:eastAsia="en-US"/>
        </w:rPr>
        <w:t xml:space="preserve">interesse público </w:t>
      </w:r>
      <w:r w:rsidR="00B7052A" w:rsidRPr="00DC4BEE">
        <w:rPr>
          <w:rFonts w:ascii="Tahoma" w:eastAsiaTheme="minorHAnsi" w:hAnsi="Tahoma" w:cs="Tahoma"/>
          <w:color w:val="000000"/>
          <w:lang w:eastAsia="en-US"/>
        </w:rPr>
        <w:t xml:space="preserve">pela </w:t>
      </w:r>
      <w:r w:rsidRPr="00DC4BEE">
        <w:rPr>
          <w:rFonts w:ascii="Tahoma" w:eastAsiaTheme="minorHAnsi" w:hAnsi="Tahoma" w:cs="Tahoma"/>
          <w:color w:val="000000"/>
          <w:lang w:eastAsia="en-US"/>
        </w:rPr>
        <w:t xml:space="preserve">sua </w:t>
      </w:r>
      <w:r w:rsidR="00B7052A" w:rsidRPr="00DC4BEE">
        <w:rPr>
          <w:rFonts w:ascii="Tahoma" w:eastAsiaTheme="minorHAnsi" w:hAnsi="Tahoma" w:cs="Tahoma"/>
          <w:color w:val="000000"/>
          <w:lang w:eastAsia="en-US"/>
        </w:rPr>
        <w:t xml:space="preserve">capacidade de </w:t>
      </w:r>
      <w:r w:rsidRPr="00DC4BEE">
        <w:rPr>
          <w:rFonts w:ascii="Tahoma" w:eastAsiaTheme="minorHAnsi" w:hAnsi="Tahoma" w:cs="Tahoma"/>
          <w:color w:val="000000"/>
          <w:lang w:eastAsia="en-US"/>
        </w:rPr>
        <w:t xml:space="preserve">promover </w:t>
      </w:r>
      <w:r w:rsidR="009C07DF" w:rsidRPr="00DC4BEE">
        <w:rPr>
          <w:rFonts w:ascii="Tahoma" w:eastAsiaTheme="minorHAnsi" w:hAnsi="Tahoma" w:cs="Tahoma"/>
          <w:color w:val="000000"/>
          <w:lang w:eastAsia="en-US"/>
        </w:rPr>
        <w:t xml:space="preserve">política </w:t>
      </w:r>
      <w:r w:rsidR="00B7052A" w:rsidRPr="00DC4BEE">
        <w:rPr>
          <w:rFonts w:ascii="Tahoma" w:eastAsiaTheme="minorHAnsi" w:hAnsi="Tahoma" w:cs="Tahoma"/>
          <w:color w:val="000000"/>
          <w:lang w:eastAsia="en-US"/>
        </w:rPr>
        <w:t>pública de</w:t>
      </w:r>
      <w:r w:rsidR="00705874" w:rsidRPr="00DC4BEE">
        <w:rPr>
          <w:rFonts w:ascii="Tahoma" w:eastAsiaTheme="minorHAnsi" w:hAnsi="Tahoma" w:cs="Tahoma"/>
          <w:color w:val="000000"/>
          <w:lang w:eastAsia="en-US"/>
        </w:rPr>
        <w:t xml:space="preserve"> impulsionamento da geração de emprego e renda</w:t>
      </w:r>
      <w:r w:rsidR="00895211">
        <w:rPr>
          <w:rFonts w:ascii="Tahoma" w:eastAsiaTheme="minorHAnsi" w:hAnsi="Tahoma" w:cs="Tahoma"/>
          <w:color w:val="000000"/>
          <w:lang w:eastAsia="en-US"/>
        </w:rPr>
        <w:t>, com a implantação de um mercado municipal</w:t>
      </w:r>
      <w:r w:rsidR="00705874" w:rsidRPr="00DC4BEE">
        <w:rPr>
          <w:rFonts w:ascii="Tahoma" w:eastAsiaTheme="minorHAnsi" w:hAnsi="Tahoma" w:cs="Tahoma"/>
          <w:color w:val="000000"/>
          <w:lang w:eastAsia="en-US"/>
        </w:rPr>
        <w:t>.</w:t>
      </w:r>
    </w:p>
    <w:p w14:paraId="260E465E" w14:textId="0CAE55D3" w:rsidR="00705874" w:rsidRPr="00DC4BEE" w:rsidRDefault="00705874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1897DBBB" w14:textId="6FDA8376" w:rsidR="00655C3B" w:rsidRPr="00DC4BEE" w:rsidRDefault="00705874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="00895211">
        <w:rPr>
          <w:rFonts w:ascii="Tahoma" w:eastAsiaTheme="minorHAnsi" w:hAnsi="Tahoma" w:cs="Tahoma"/>
          <w:color w:val="000000"/>
          <w:lang w:eastAsia="en-US"/>
        </w:rPr>
        <w:t>Q</w:t>
      </w:r>
      <w:r w:rsidR="00655C3B" w:rsidRPr="00DC4BEE">
        <w:rPr>
          <w:rFonts w:ascii="Tahoma" w:eastAsiaTheme="minorHAnsi" w:hAnsi="Tahoma" w:cs="Tahoma"/>
          <w:color w:val="000000"/>
          <w:lang w:eastAsia="en-US"/>
        </w:rPr>
        <w:t>uanto a licitação, conforme parecer jurídico acostados aos autos, ela é dispensada por se enquadrar na hipótese do Art. 76, inciso I, alínea “c” da Lei Federal nº 14.133/2021:</w:t>
      </w:r>
    </w:p>
    <w:p w14:paraId="411B8FF7" w14:textId="596EC867" w:rsidR="00655C3B" w:rsidRPr="00DC4BEE" w:rsidRDefault="00655C3B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782667ED" w14:textId="0D0AD584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>Art. 76. A alienação de bens da Administração Pública, subordinada à existência de interesse público devidamente justificado, será precedida de avaliação e obedecerá às seguintes normas:</w:t>
      </w:r>
    </w:p>
    <w:p w14:paraId="746DD4B3" w14:textId="77777777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</w:p>
    <w:p w14:paraId="3485BC8E" w14:textId="47E94A44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 xml:space="preserve">I - </w:t>
      </w:r>
      <w:proofErr w:type="gramStart"/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>tratando-se</w:t>
      </w:r>
      <w:proofErr w:type="gramEnd"/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 xml:space="preserve"> de bens imóveis, inclusive os pertencentes às autarquias e às fundações, exigirá autorização legislativa e </w:t>
      </w: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lastRenderedPageBreak/>
        <w:t xml:space="preserve">dependerá de licitação na modalidade leilão, </w:t>
      </w:r>
      <w:r w:rsidRPr="00DC4BEE">
        <w:rPr>
          <w:rFonts w:ascii="Tahoma" w:eastAsiaTheme="minorHAnsi" w:hAnsi="Tahoma" w:cs="Tahoma"/>
          <w:i/>
          <w:iCs/>
          <w:color w:val="000000"/>
          <w:u w:val="single"/>
          <w:lang w:eastAsia="en-US"/>
        </w:rPr>
        <w:t>dispensada a realização de licitação</w:t>
      </w: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 xml:space="preserve"> nos casos de: (Grifei)</w:t>
      </w:r>
    </w:p>
    <w:p w14:paraId="099F7239" w14:textId="77777777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</w:p>
    <w:p w14:paraId="33B293B5" w14:textId="4B1C27CB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>(...)</w:t>
      </w:r>
    </w:p>
    <w:p w14:paraId="64D9574D" w14:textId="77777777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</w:p>
    <w:p w14:paraId="0A0AF0D0" w14:textId="1E251C46" w:rsidR="00655C3B" w:rsidRPr="00DC4BEE" w:rsidRDefault="00655C3B" w:rsidP="00655C3B">
      <w:pPr>
        <w:spacing w:line="276" w:lineRule="auto"/>
        <w:ind w:left="2124"/>
        <w:jc w:val="both"/>
        <w:rPr>
          <w:rFonts w:ascii="Tahoma" w:eastAsiaTheme="minorHAnsi" w:hAnsi="Tahoma" w:cs="Tahoma"/>
          <w:i/>
          <w:iCs/>
          <w:color w:val="000000"/>
          <w:lang w:eastAsia="en-US"/>
        </w:rPr>
      </w:pPr>
      <w:r w:rsidRPr="00DC4BEE">
        <w:rPr>
          <w:rFonts w:ascii="Tahoma" w:eastAsiaTheme="minorHAnsi" w:hAnsi="Tahoma" w:cs="Tahoma"/>
          <w:i/>
          <w:iCs/>
          <w:color w:val="000000"/>
          <w:lang w:eastAsia="en-US"/>
        </w:rPr>
        <w:t xml:space="preserve">c) permuta por outros imóveis que atendam aos requisitos relacionados às finalidades precípuas da Administração, desde que a diferença apurada não ultrapasse a metade do valor do imóvel que será ofertado pela União, segundo avaliação prévia, e ocorra a torna de valores, sempre que for o caso; </w:t>
      </w:r>
    </w:p>
    <w:p w14:paraId="76C87DB0" w14:textId="430E8C51" w:rsidR="009C07DF" w:rsidRPr="00DC4BEE" w:rsidRDefault="009C07DF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2029C9D5" w14:textId="445F103C" w:rsidR="009C07DF" w:rsidRPr="00DC4BEE" w:rsidRDefault="009C07DF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5A4296DF" w14:textId="36252174" w:rsidR="00B153B3" w:rsidRPr="00DC4BEE" w:rsidRDefault="00B153B3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="00895211" w:rsidRPr="00895211">
        <w:rPr>
          <w:rFonts w:ascii="Tahoma" w:eastAsiaTheme="minorHAnsi" w:hAnsi="Tahoma" w:cs="Tahoma"/>
          <w:color w:val="000000"/>
          <w:lang w:eastAsia="en-US"/>
        </w:rPr>
        <w:t>Como foi relatado, o município possui interesse no terreno do Sr. Fabio Sguissardi de Oliveira, em razão das suas características, dimensões e localização, sendo uma área estratégica para a ampliação e construção de um mercado municipal, visando fomentar o comércio local, incentivar a agricultura familiar e proporcionar melhores condições para produtores e consumidores</w:t>
      </w:r>
      <w:r w:rsidR="00C93D6B" w:rsidRPr="00DC4BEE">
        <w:rPr>
          <w:rFonts w:ascii="Tahoma" w:eastAsiaTheme="minorHAnsi" w:hAnsi="Tahoma" w:cs="Tahoma"/>
          <w:color w:val="000000"/>
          <w:lang w:eastAsia="en-US"/>
        </w:rPr>
        <w:t>.</w:t>
      </w:r>
    </w:p>
    <w:p w14:paraId="6FAD888A" w14:textId="77777777" w:rsidR="00C93D6B" w:rsidRPr="00DC4BEE" w:rsidRDefault="00C93D6B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745AD672" w14:textId="147E47FF" w:rsidR="00DC4BEE" w:rsidRPr="00DC4BEE" w:rsidRDefault="00B153B3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="00C93D6B" w:rsidRPr="00DC4BEE">
        <w:rPr>
          <w:rFonts w:ascii="Tahoma" w:eastAsiaTheme="minorHAnsi" w:hAnsi="Tahoma" w:cs="Tahoma"/>
          <w:color w:val="000000"/>
          <w:lang w:eastAsia="en-US"/>
        </w:rPr>
        <w:t>Então, é</w:t>
      </w:r>
      <w:r w:rsidRPr="00DC4BEE">
        <w:rPr>
          <w:rFonts w:ascii="Tahoma" w:eastAsiaTheme="minorHAnsi" w:hAnsi="Tahoma" w:cs="Tahoma"/>
          <w:color w:val="000000"/>
          <w:lang w:eastAsia="en-US"/>
        </w:rPr>
        <w:t xml:space="preserve"> necessário destacar que a abertura de licitação para alienação do imóvel municipal e posterior aquisição da área pretendida não atinge a finalidade e ao interesse público, visto que </w:t>
      </w:r>
      <w:r w:rsidR="00DC4BEE" w:rsidRPr="00DC4BEE">
        <w:rPr>
          <w:rFonts w:ascii="Tahoma" w:eastAsiaTheme="minorHAnsi" w:hAnsi="Tahoma" w:cs="Tahoma"/>
          <w:color w:val="000000"/>
          <w:lang w:eastAsia="en-US"/>
        </w:rPr>
        <w:t>para o</w:t>
      </w:r>
      <w:r w:rsidRPr="00DC4BEE">
        <w:rPr>
          <w:rFonts w:ascii="Tahoma" w:eastAsiaTheme="minorHAnsi" w:hAnsi="Tahoma" w:cs="Tahoma"/>
          <w:color w:val="000000"/>
          <w:lang w:eastAsia="en-US"/>
        </w:rPr>
        <w:t xml:space="preserve"> proprietário da área </w:t>
      </w:r>
      <w:r w:rsidR="00DC4BEE" w:rsidRPr="00DC4BEE">
        <w:rPr>
          <w:rFonts w:ascii="Tahoma" w:eastAsiaTheme="minorHAnsi" w:hAnsi="Tahoma" w:cs="Tahoma"/>
          <w:color w:val="000000"/>
          <w:lang w:eastAsia="en-US"/>
        </w:rPr>
        <w:t>a venda de sua área ao município não seria uma alternativa para resolução de forma extrajudicial, sendo que apenas não apresentou óbice para a realização de permuta.</w:t>
      </w:r>
    </w:p>
    <w:p w14:paraId="4E84C4D5" w14:textId="567FFB04" w:rsidR="00DC4BEE" w:rsidRPr="00DC4BEE" w:rsidRDefault="00DC4BEE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1AAF7F39" w14:textId="77777777" w:rsidR="00DC4BEE" w:rsidRPr="00DC4BEE" w:rsidRDefault="00DC4BEE" w:rsidP="00DC4BEE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  <w:t>Vejo que estão reunidas todas as condições exigidas na lei. Há interesse público demonstrado, autorização legislativa, avaliação prévia dos bens e o valor da torna consta dentro do limite legal.</w:t>
      </w:r>
    </w:p>
    <w:p w14:paraId="08C21F5F" w14:textId="1A3A347D" w:rsidR="00B153B3" w:rsidRPr="00DC4BEE" w:rsidRDefault="00B153B3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</w:p>
    <w:p w14:paraId="45FC62FF" w14:textId="040DE0E2" w:rsidR="00B153B3" w:rsidRPr="00DC4BEE" w:rsidRDefault="00B153B3" w:rsidP="00425955">
      <w:pPr>
        <w:spacing w:line="276" w:lineRule="auto"/>
        <w:jc w:val="both"/>
        <w:rPr>
          <w:rFonts w:ascii="Tahoma" w:eastAsiaTheme="minorHAnsi" w:hAnsi="Tahoma" w:cs="Tahoma"/>
          <w:color w:val="000000"/>
          <w:lang w:eastAsia="en-US"/>
        </w:rPr>
      </w:pPr>
      <w:r w:rsidRPr="00DC4BEE">
        <w:rPr>
          <w:rFonts w:ascii="Tahoma" w:eastAsiaTheme="minorHAnsi" w:hAnsi="Tahoma" w:cs="Tahoma"/>
          <w:color w:val="000000"/>
          <w:lang w:eastAsia="en-US"/>
        </w:rPr>
        <w:t xml:space="preserve"> </w:t>
      </w:r>
      <w:r w:rsidRPr="00DC4BEE">
        <w:rPr>
          <w:rFonts w:ascii="Tahoma" w:eastAsiaTheme="minorHAnsi" w:hAnsi="Tahoma" w:cs="Tahoma"/>
          <w:color w:val="000000"/>
          <w:lang w:eastAsia="en-US"/>
        </w:rPr>
        <w:tab/>
      </w:r>
      <w:r w:rsidRPr="00DC4BEE">
        <w:rPr>
          <w:rFonts w:ascii="Tahoma" w:eastAsiaTheme="minorHAnsi" w:hAnsi="Tahoma" w:cs="Tahoma"/>
          <w:color w:val="000000"/>
          <w:lang w:eastAsia="en-US"/>
        </w:rPr>
        <w:tab/>
        <w:t>O agente de contratação e equipe de apoio relataram em minuta do ato de dispensa que após análise documental, constataram a regularidade jurídica, fiscal e trabalhista d</w:t>
      </w:r>
      <w:r w:rsidR="00895211">
        <w:rPr>
          <w:rFonts w:ascii="Tahoma" w:eastAsiaTheme="minorHAnsi" w:hAnsi="Tahoma" w:cs="Tahoma"/>
          <w:color w:val="000000"/>
          <w:lang w:eastAsia="en-US"/>
        </w:rPr>
        <w:t>o proprietário do imóvel</w:t>
      </w:r>
      <w:r w:rsidRPr="00DC4BEE">
        <w:rPr>
          <w:rFonts w:ascii="Tahoma" w:eastAsiaTheme="minorHAnsi" w:hAnsi="Tahoma" w:cs="Tahoma"/>
          <w:color w:val="000000"/>
          <w:lang w:eastAsia="en-US"/>
        </w:rPr>
        <w:t>.</w:t>
      </w:r>
    </w:p>
    <w:p w14:paraId="0BAE2F0F" w14:textId="77777777" w:rsidR="008E1789" w:rsidRPr="00DC4BEE" w:rsidRDefault="008E1789" w:rsidP="008E1789">
      <w:pPr>
        <w:spacing w:line="276" w:lineRule="auto"/>
        <w:ind w:firstLine="708"/>
        <w:jc w:val="both"/>
        <w:rPr>
          <w:rFonts w:ascii="Tahoma" w:hAnsi="Tahoma" w:cs="Tahoma"/>
        </w:rPr>
      </w:pPr>
    </w:p>
    <w:p w14:paraId="12CF0F05" w14:textId="17B5A9DD" w:rsidR="00763592" w:rsidRPr="00DC4BEE" w:rsidRDefault="008E1789" w:rsidP="00763592">
      <w:pPr>
        <w:spacing w:line="276" w:lineRule="auto"/>
        <w:ind w:firstLine="708"/>
        <w:jc w:val="both"/>
        <w:rPr>
          <w:rFonts w:ascii="Tahoma" w:hAnsi="Tahoma" w:cs="Tahoma"/>
        </w:rPr>
      </w:pPr>
      <w:r w:rsidRPr="00DC4BEE">
        <w:rPr>
          <w:rFonts w:ascii="Tahoma" w:hAnsi="Tahoma" w:cs="Tahoma"/>
        </w:rPr>
        <w:tab/>
      </w:r>
      <w:r w:rsidR="00C93D6B" w:rsidRPr="00DC4BEE">
        <w:rPr>
          <w:rFonts w:ascii="Tahoma" w:hAnsi="Tahoma" w:cs="Tahoma"/>
        </w:rPr>
        <w:t xml:space="preserve">Sendo assim, e considerando a existência de interesse público </w:t>
      </w:r>
      <w:r w:rsidR="00763592" w:rsidRPr="00DC4BEE">
        <w:rPr>
          <w:rFonts w:ascii="Tahoma" w:hAnsi="Tahoma" w:cs="Tahoma"/>
        </w:rPr>
        <w:t>e que o imóvel a ser permutado atende aos requisitos relacionados às finalidades precípuas da Administração, reconheço a hipótese disposta no Art. 76, inciso I, alínea “c” da Lei Federal nº 14.133/2021 e</w:t>
      </w:r>
      <w:r w:rsidR="0035294F" w:rsidRPr="00DC4BEE">
        <w:rPr>
          <w:rFonts w:ascii="Tahoma" w:hAnsi="Tahoma" w:cs="Tahoma"/>
        </w:rPr>
        <w:t xml:space="preserve"> </w:t>
      </w:r>
      <w:r w:rsidR="00481775" w:rsidRPr="00DC4BEE">
        <w:rPr>
          <w:rFonts w:ascii="Tahoma" w:hAnsi="Tahoma" w:cs="Tahoma"/>
          <w:b/>
          <w:bCs/>
          <w:u w:val="single"/>
        </w:rPr>
        <w:t>AUTORIZO</w:t>
      </w:r>
      <w:r w:rsidR="00942B44" w:rsidRPr="00DC4BEE">
        <w:rPr>
          <w:rFonts w:ascii="Tahoma" w:hAnsi="Tahoma" w:cs="Tahoma"/>
        </w:rPr>
        <w:t xml:space="preserve"> </w:t>
      </w:r>
      <w:r w:rsidR="0035294F" w:rsidRPr="00DC4BEE">
        <w:rPr>
          <w:rFonts w:ascii="Tahoma" w:hAnsi="Tahoma" w:cs="Tahoma"/>
        </w:rPr>
        <w:t xml:space="preserve">a </w:t>
      </w:r>
      <w:r w:rsidR="00763592" w:rsidRPr="00DC4BEE">
        <w:rPr>
          <w:rFonts w:ascii="Tahoma" w:hAnsi="Tahoma" w:cs="Tahoma"/>
        </w:rPr>
        <w:t>dispensa de licitação para permu</w:t>
      </w:r>
      <w:r w:rsidR="002204B0">
        <w:rPr>
          <w:rFonts w:ascii="Tahoma" w:hAnsi="Tahoma" w:cs="Tahoma"/>
        </w:rPr>
        <w:t>t</w:t>
      </w:r>
      <w:r w:rsidR="00763592" w:rsidRPr="00DC4BEE">
        <w:rPr>
          <w:rFonts w:ascii="Tahoma" w:hAnsi="Tahoma" w:cs="Tahoma"/>
        </w:rPr>
        <w:t xml:space="preserve">a dos referidos imóveis, com torna no valor de </w:t>
      </w:r>
      <w:r w:rsidR="00895211">
        <w:rPr>
          <w:rFonts w:ascii="Tahoma" w:hAnsi="Tahoma" w:cs="Tahoma"/>
        </w:rPr>
        <w:t>R</w:t>
      </w:r>
      <w:r w:rsidR="00895211" w:rsidRPr="00895211">
        <w:rPr>
          <w:rFonts w:ascii="Tahoma" w:hAnsi="Tahoma" w:cs="Tahoma"/>
        </w:rPr>
        <w:t xml:space="preserve">$ 5.509,45 (cinco mil quinhentos e nove </w:t>
      </w:r>
      <w:r w:rsidR="00895211" w:rsidRPr="00895211">
        <w:rPr>
          <w:rFonts w:ascii="Tahoma" w:hAnsi="Tahoma" w:cs="Tahoma"/>
        </w:rPr>
        <w:lastRenderedPageBreak/>
        <w:t>reais e quarenta e cinco centavos)</w:t>
      </w:r>
      <w:r w:rsidR="00763592" w:rsidRPr="00DC4BEE">
        <w:rPr>
          <w:rFonts w:ascii="Tahoma" w:hAnsi="Tahoma" w:cs="Tahoma"/>
        </w:rPr>
        <w:t xml:space="preserve"> a ser paga </w:t>
      </w:r>
      <w:r w:rsidR="00895211">
        <w:rPr>
          <w:rFonts w:ascii="Tahoma" w:hAnsi="Tahoma" w:cs="Tahoma"/>
        </w:rPr>
        <w:t xml:space="preserve">pelo </w:t>
      </w:r>
      <w:r w:rsidR="00763592" w:rsidRPr="00DC4BEE">
        <w:rPr>
          <w:rFonts w:ascii="Tahoma" w:hAnsi="Tahoma" w:cs="Tahoma"/>
        </w:rPr>
        <w:t>município</w:t>
      </w:r>
      <w:r w:rsidR="00895211">
        <w:rPr>
          <w:rFonts w:ascii="Tahoma" w:hAnsi="Tahoma" w:cs="Tahoma"/>
        </w:rPr>
        <w:t xml:space="preserve"> de Candói ao Sr. </w:t>
      </w:r>
      <w:r w:rsidR="00895211" w:rsidRPr="00895211">
        <w:rPr>
          <w:rFonts w:ascii="Tahoma" w:eastAsiaTheme="minorHAnsi" w:hAnsi="Tahoma" w:cs="Tahoma"/>
          <w:color w:val="000000"/>
          <w:lang w:eastAsia="en-US"/>
        </w:rPr>
        <w:t>Fabio Sguissardi de Oliveira</w:t>
      </w:r>
      <w:r w:rsidR="00763592" w:rsidRPr="00DC4BEE">
        <w:rPr>
          <w:rFonts w:ascii="Tahoma" w:hAnsi="Tahoma" w:cs="Tahoma"/>
        </w:rPr>
        <w:t xml:space="preserve"> no prazo de até </w:t>
      </w:r>
      <w:r w:rsidR="00DC4BEE" w:rsidRPr="00DC4BEE">
        <w:rPr>
          <w:rFonts w:ascii="Tahoma" w:hAnsi="Tahoma" w:cs="Tahoma"/>
        </w:rPr>
        <w:t>o ato da realização da escritura</w:t>
      </w:r>
      <w:r w:rsidR="00763592" w:rsidRPr="00DC4BEE">
        <w:rPr>
          <w:rFonts w:ascii="Tahoma" w:hAnsi="Tahoma" w:cs="Tahoma"/>
        </w:rPr>
        <w:t>.</w:t>
      </w:r>
    </w:p>
    <w:p w14:paraId="435929E8" w14:textId="77777777" w:rsidR="00763592" w:rsidRPr="00DC4BEE" w:rsidRDefault="00763592" w:rsidP="00763592">
      <w:pPr>
        <w:spacing w:line="276" w:lineRule="auto"/>
        <w:ind w:firstLine="708"/>
        <w:jc w:val="both"/>
        <w:rPr>
          <w:rFonts w:ascii="Tahoma" w:hAnsi="Tahoma" w:cs="Tahoma"/>
        </w:rPr>
      </w:pPr>
    </w:p>
    <w:p w14:paraId="1990B4A3" w14:textId="52E03BD9" w:rsidR="00763592" w:rsidRPr="00DC4BEE" w:rsidRDefault="00763592" w:rsidP="00763592">
      <w:pPr>
        <w:spacing w:line="276" w:lineRule="auto"/>
        <w:ind w:firstLine="708"/>
        <w:jc w:val="both"/>
        <w:rPr>
          <w:rFonts w:ascii="Tahoma" w:hAnsi="Tahoma" w:cs="Tahoma"/>
        </w:rPr>
      </w:pPr>
      <w:r w:rsidRPr="00DC4BEE">
        <w:rPr>
          <w:rFonts w:ascii="Tahoma" w:hAnsi="Tahoma" w:cs="Tahoma"/>
        </w:rPr>
        <w:t xml:space="preserve"> </w:t>
      </w:r>
      <w:r w:rsidRPr="00DC4BEE">
        <w:rPr>
          <w:rFonts w:ascii="Tahoma" w:hAnsi="Tahoma" w:cs="Tahoma"/>
        </w:rPr>
        <w:tab/>
      </w:r>
      <w:r w:rsidR="00DC4BEE" w:rsidRPr="00DC4BEE">
        <w:rPr>
          <w:rFonts w:ascii="Tahoma" w:hAnsi="Tahoma" w:cs="Tahoma"/>
        </w:rPr>
        <w:t xml:space="preserve">A escritura pública de permuta </w:t>
      </w:r>
      <w:r w:rsidRPr="00DC4BEE">
        <w:rPr>
          <w:rFonts w:ascii="Tahoma" w:hAnsi="Tahoma" w:cs="Tahoma"/>
        </w:rPr>
        <w:t xml:space="preserve">será </w:t>
      </w:r>
      <w:r w:rsidR="00DC4BEE" w:rsidRPr="00DC4BEE">
        <w:rPr>
          <w:rFonts w:ascii="Tahoma" w:hAnsi="Tahoma" w:cs="Tahoma"/>
        </w:rPr>
        <w:t>lavrada</w:t>
      </w:r>
      <w:r w:rsidRPr="00DC4BEE">
        <w:rPr>
          <w:rFonts w:ascii="Tahoma" w:hAnsi="Tahoma" w:cs="Tahoma"/>
        </w:rPr>
        <w:t xml:space="preserve"> em cartório competente.</w:t>
      </w:r>
    </w:p>
    <w:p w14:paraId="4B0F33A5" w14:textId="09FAB667" w:rsidR="00EB3217" w:rsidRPr="00DC4BEE" w:rsidRDefault="00324047" w:rsidP="00BD239B">
      <w:pPr>
        <w:spacing w:line="276" w:lineRule="auto"/>
        <w:ind w:firstLine="708"/>
        <w:jc w:val="both"/>
        <w:rPr>
          <w:rFonts w:ascii="Tahoma" w:hAnsi="Tahoma" w:cs="Tahoma"/>
        </w:rPr>
      </w:pPr>
      <w:r w:rsidRPr="00DC4BEE">
        <w:rPr>
          <w:rFonts w:ascii="Tahoma" w:hAnsi="Tahoma" w:cs="Tahoma"/>
        </w:rPr>
        <w:tab/>
      </w:r>
    </w:p>
    <w:p w14:paraId="6511174C" w14:textId="0B6526CD" w:rsidR="00DF7016" w:rsidRPr="00DC4BEE" w:rsidRDefault="00DF7016" w:rsidP="00DF7016">
      <w:pPr>
        <w:spacing w:before="10" w:line="360" w:lineRule="auto"/>
        <w:ind w:right="236"/>
        <w:rPr>
          <w:rFonts w:ascii="Tahoma" w:hAnsi="Tahoma" w:cs="Tahoma"/>
        </w:rPr>
      </w:pPr>
      <w:r w:rsidRPr="00DC4BEE">
        <w:rPr>
          <w:rFonts w:ascii="Tahoma" w:hAnsi="Tahoma" w:cs="Tahoma"/>
        </w:rPr>
        <w:tab/>
      </w:r>
      <w:r w:rsidR="00425955" w:rsidRPr="00DC4BEE">
        <w:rPr>
          <w:rFonts w:ascii="Tahoma" w:hAnsi="Tahoma" w:cs="Tahoma"/>
        </w:rPr>
        <w:t xml:space="preserve"> </w:t>
      </w:r>
      <w:r w:rsidR="00425955" w:rsidRPr="00DC4BEE">
        <w:rPr>
          <w:rFonts w:ascii="Tahoma" w:hAnsi="Tahoma" w:cs="Tahoma"/>
        </w:rPr>
        <w:tab/>
      </w:r>
      <w:r w:rsidR="00EB3217" w:rsidRPr="00DC4BEE">
        <w:rPr>
          <w:rFonts w:ascii="Tahoma" w:hAnsi="Tahoma" w:cs="Tahoma"/>
        </w:rPr>
        <w:t>É</w:t>
      </w:r>
      <w:r w:rsidRPr="00DC4BEE">
        <w:rPr>
          <w:rFonts w:ascii="Tahoma" w:hAnsi="Tahoma" w:cs="Tahoma"/>
        </w:rPr>
        <w:t xml:space="preserve"> a decisão.</w:t>
      </w:r>
    </w:p>
    <w:p w14:paraId="428E2EDC" w14:textId="77777777" w:rsidR="00DC4BEE" w:rsidRPr="00DC4BEE" w:rsidRDefault="00DC4BEE" w:rsidP="00DF7016">
      <w:pPr>
        <w:spacing w:before="10" w:line="360" w:lineRule="auto"/>
        <w:ind w:right="236"/>
        <w:rPr>
          <w:rFonts w:ascii="Tahoma" w:hAnsi="Tahoma" w:cs="Tahoma"/>
        </w:rPr>
      </w:pPr>
    </w:p>
    <w:p w14:paraId="1045E520" w14:textId="5C94C3B5" w:rsidR="001529FF" w:rsidRPr="00DC4BEE" w:rsidRDefault="00777AB4" w:rsidP="00981465">
      <w:pPr>
        <w:jc w:val="center"/>
        <w:rPr>
          <w:rFonts w:ascii="Tahoma" w:hAnsi="Tahoma" w:cs="Tahoma"/>
        </w:rPr>
      </w:pPr>
      <w:r w:rsidRPr="00DC4BEE">
        <w:rPr>
          <w:rFonts w:ascii="Tahoma" w:hAnsi="Tahoma" w:cs="Tahoma"/>
        </w:rPr>
        <w:t>Datado e assinado d</w:t>
      </w:r>
      <w:r w:rsidR="00981465" w:rsidRPr="00DC4BEE">
        <w:rPr>
          <w:rFonts w:ascii="Tahoma" w:hAnsi="Tahoma" w:cs="Tahoma"/>
        </w:rPr>
        <w:t>igitalmente</w:t>
      </w:r>
      <w:r w:rsidRPr="00DC4BEE">
        <w:rPr>
          <w:rFonts w:ascii="Tahoma" w:hAnsi="Tahoma" w:cs="Tahoma"/>
        </w:rPr>
        <w:t>:</w:t>
      </w:r>
    </w:p>
    <w:sectPr w:rsidR="001529FF" w:rsidRPr="00DC4BEE">
      <w:headerReference w:type="default" r:id="rId8"/>
      <w:footerReference w:type="default" r:id="rId9"/>
      <w:pgSz w:w="11907" w:h="16840" w:code="9"/>
      <w:pgMar w:top="2552" w:right="1418" w:bottom="1418" w:left="1418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AB12" w14:textId="77777777" w:rsidR="001529FF" w:rsidRDefault="001E718C">
      <w:r>
        <w:separator/>
      </w:r>
    </w:p>
  </w:endnote>
  <w:endnote w:type="continuationSeparator" w:id="0">
    <w:p w14:paraId="0DECB3F7" w14:textId="77777777" w:rsidR="001529FF" w:rsidRDefault="001E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1BD3" w14:textId="77777777" w:rsidR="001529FF" w:rsidRDefault="001E718C">
    <w:pPr>
      <w:widowControl w:val="0"/>
      <w:autoSpaceDE w:val="0"/>
      <w:autoSpaceDN w:val="0"/>
      <w:spacing w:before="241"/>
      <w:ind w:left="634" w:right="624"/>
      <w:jc w:val="center"/>
      <w:rPr>
        <w:rFonts w:ascii="Calibri" w:eastAsia="Calibri" w:hAnsi="Calibri" w:cs="Calibri"/>
        <w:b/>
        <w:bCs/>
        <w:sz w:val="32"/>
        <w:szCs w:val="32"/>
        <w:lang w:val="en-US" w:eastAsia="en-US"/>
      </w:rPr>
    </w:pPr>
    <w:r>
      <w:rPr>
        <w:rFonts w:ascii="Calibri" w:eastAsia="Calibri" w:hAnsi="Calibri" w:cs="Calibri"/>
        <w:b/>
        <w:bCs/>
        <w:noProof/>
        <w:sz w:val="32"/>
        <w:szCs w:val="32"/>
      </w:rPr>
      <w:drawing>
        <wp:anchor distT="0" distB="0" distL="0" distR="0" simplePos="0" relativeHeight="251662336" behindDoc="0" locked="0" layoutInCell="1" allowOverlap="1" wp14:anchorId="56DEFC65" wp14:editId="4385A501">
          <wp:simplePos x="0" y="0"/>
          <wp:positionH relativeFrom="page">
            <wp:posOffset>837274</wp:posOffset>
          </wp:positionH>
          <wp:positionV relativeFrom="paragraph">
            <wp:posOffset>379153</wp:posOffset>
          </wp:positionV>
          <wp:extent cx="5905511" cy="43555"/>
          <wp:effectExtent l="0" t="0" r="0" b="0"/>
          <wp:wrapNone/>
          <wp:docPr id="130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11" cy="4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2">
      <w:r>
        <w:rPr>
          <w:rFonts w:ascii="Calibri" w:eastAsia="Calibri" w:hAnsi="Calibri" w:cs="Calibri"/>
          <w:b/>
          <w:bCs/>
          <w:color w:val="2D5C0D"/>
          <w:sz w:val="32"/>
          <w:szCs w:val="32"/>
          <w:lang w:val="en-US" w:eastAsia="en-US"/>
        </w:rPr>
        <w:t>www.candoi.pr.gov.br</w:t>
      </w:r>
    </w:hyperlink>
  </w:p>
  <w:p w14:paraId="7E173DE6" w14:textId="77777777" w:rsidR="001529FF" w:rsidRDefault="001E718C">
    <w:pPr>
      <w:widowControl w:val="0"/>
      <w:autoSpaceDE w:val="0"/>
      <w:autoSpaceDN w:val="0"/>
      <w:spacing w:before="46" w:line="277" w:lineRule="exact"/>
      <w:ind w:left="643" w:right="624"/>
      <w:jc w:val="center"/>
      <w:rPr>
        <w:rFonts w:ascii="Calibri" w:eastAsia="Calibri" w:hAnsi="Calibri" w:cs="Calibri"/>
        <w:b/>
        <w:bCs/>
        <w:sz w:val="22"/>
        <w:lang w:val="en-US" w:eastAsia="en-US"/>
      </w:rPr>
    </w:pP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CNPJ:</w:t>
    </w:r>
    <w:r>
      <w:rPr>
        <w:rFonts w:ascii="Calibri" w:eastAsia="Calibri" w:hAnsi="Calibri" w:cs="Calibri"/>
        <w:b/>
        <w:bCs/>
        <w:color w:val="2D5C0D"/>
        <w:spacing w:val="-8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95.684.478/0001-94</w:t>
    </w:r>
    <w:r>
      <w:rPr>
        <w:rFonts w:ascii="Calibri" w:eastAsia="Calibri" w:hAnsi="Calibri" w:cs="Calibri"/>
        <w:b/>
        <w:bCs/>
        <w:color w:val="2D5C0D"/>
        <w:spacing w:val="-9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8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CANDÓI</w:t>
    </w:r>
    <w:r>
      <w:rPr>
        <w:rFonts w:ascii="Calibri" w:eastAsia="Calibri" w:hAnsi="Calibri" w:cs="Calibri"/>
        <w:b/>
        <w:bCs/>
        <w:color w:val="2D5C0D"/>
        <w:spacing w:val="-8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7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PARANÁ</w:t>
    </w:r>
  </w:p>
  <w:p w14:paraId="5CAE8EFF" w14:textId="77777777" w:rsidR="001529FF" w:rsidRDefault="001E718C">
    <w:pPr>
      <w:widowControl w:val="0"/>
      <w:autoSpaceDE w:val="0"/>
      <w:autoSpaceDN w:val="0"/>
      <w:spacing w:line="213" w:lineRule="auto"/>
      <w:ind w:left="646" w:right="624"/>
      <w:jc w:val="center"/>
      <w:rPr>
        <w:rFonts w:ascii="Calibri" w:eastAsia="Calibri" w:hAnsi="Calibri" w:cs="Calibri"/>
        <w:b/>
        <w:bCs/>
        <w:color w:val="2D5C0D"/>
        <w:spacing w:val="-52"/>
        <w:sz w:val="22"/>
        <w:lang w:val="en-US" w:eastAsia="en-US"/>
      </w:rPr>
    </w:pP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Av.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XV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de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Novembro,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1761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Bairro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Cacique</w:t>
    </w:r>
    <w:r>
      <w:rPr>
        <w:rFonts w:ascii="Calibri" w:eastAsia="Calibri" w:hAnsi="Calibri" w:cs="Calibri"/>
        <w:b/>
        <w:bCs/>
        <w:color w:val="2D5C0D"/>
        <w:spacing w:val="-7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Candói</w:t>
    </w:r>
    <w:r>
      <w:rPr>
        <w:rFonts w:ascii="Calibri" w:eastAsia="Calibri" w:hAnsi="Calibri" w:cs="Calibri"/>
        <w:b/>
        <w:bCs/>
        <w:color w:val="2D5C0D"/>
        <w:spacing w:val="-7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CEP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85.140-000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Cx.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Postal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041</w:t>
    </w:r>
    <w:r>
      <w:rPr>
        <w:rFonts w:ascii="Calibri" w:eastAsia="Calibri" w:hAnsi="Calibri" w:cs="Calibri"/>
        <w:b/>
        <w:bCs/>
        <w:color w:val="2D5C0D"/>
        <w:spacing w:val="-52"/>
        <w:sz w:val="22"/>
        <w:lang w:val="en-US" w:eastAsia="en-US"/>
      </w:rPr>
      <w:t xml:space="preserve">  </w:t>
    </w:r>
  </w:p>
  <w:p w14:paraId="2FB0C2F3" w14:textId="77777777" w:rsidR="001529FF" w:rsidRDefault="001E718C">
    <w:pPr>
      <w:widowControl w:val="0"/>
      <w:autoSpaceDE w:val="0"/>
      <w:autoSpaceDN w:val="0"/>
      <w:spacing w:line="213" w:lineRule="auto"/>
      <w:ind w:left="646" w:right="624"/>
      <w:jc w:val="center"/>
      <w:rPr>
        <w:sz w:val="22"/>
      </w:rPr>
    </w:pPr>
    <w:r>
      <w:rPr>
        <w:rFonts w:ascii="Calibri" w:eastAsia="Calibri" w:hAnsi="Calibri" w:cs="Calibri"/>
        <w:b/>
        <w:bCs/>
        <w:color w:val="2D5C0D"/>
        <w:spacing w:val="-52"/>
        <w:sz w:val="22"/>
        <w:lang w:val="en-US" w:eastAsia="en-US"/>
      </w:rPr>
      <w:t xml:space="preserve">                                       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Fone:</w:t>
    </w:r>
    <w:r>
      <w:rPr>
        <w:rFonts w:ascii="Calibri" w:eastAsia="Calibri" w:hAnsi="Calibri" w:cs="Calibri"/>
        <w:b/>
        <w:bCs/>
        <w:color w:val="2D5C0D"/>
        <w:spacing w:val="-6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(42)</w:t>
    </w:r>
    <w:r>
      <w:rPr>
        <w:rFonts w:ascii="Calibri" w:eastAsia="Calibri" w:hAnsi="Calibri" w:cs="Calibri"/>
        <w:b/>
        <w:bCs/>
        <w:color w:val="2D5C0D"/>
        <w:spacing w:val="-5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3638-8017</w:t>
    </w:r>
    <w:r>
      <w:rPr>
        <w:rFonts w:ascii="Calibri" w:eastAsia="Calibri" w:hAnsi="Calibri" w:cs="Calibri"/>
        <w:b/>
        <w:bCs/>
        <w:color w:val="2D5C0D"/>
        <w:spacing w:val="-4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-</w:t>
    </w:r>
    <w:r>
      <w:rPr>
        <w:rFonts w:ascii="Calibri" w:eastAsia="Calibri" w:hAnsi="Calibri" w:cs="Calibri"/>
        <w:b/>
        <w:bCs/>
        <w:color w:val="2D5C0D"/>
        <w:spacing w:val="-4"/>
        <w:sz w:val="22"/>
        <w:lang w:val="en-US" w:eastAsia="en-US"/>
      </w:rPr>
      <w:t xml:space="preserve"> </w:t>
    </w:r>
    <w:r>
      <w:rPr>
        <w:rFonts w:ascii="Calibri" w:eastAsia="Calibri" w:hAnsi="Calibri" w:cs="Calibri"/>
        <w:b/>
        <w:bCs/>
        <w:color w:val="2D5C0D"/>
        <w:sz w:val="22"/>
        <w:lang w:val="en-US" w:eastAsia="en-US"/>
      </w:rPr>
      <w:t>E-mail:</w:t>
    </w:r>
    <w:r>
      <w:rPr>
        <w:rFonts w:ascii="Calibri" w:eastAsia="Calibri" w:hAnsi="Calibri" w:cs="Calibri"/>
        <w:b/>
        <w:bCs/>
        <w:color w:val="2D5C0D"/>
        <w:spacing w:val="-5"/>
        <w:sz w:val="22"/>
        <w:lang w:val="en-US" w:eastAsia="en-US"/>
      </w:rPr>
      <w:t xml:space="preserve"> </w:t>
    </w:r>
    <w:hyperlink r:id="rId3" w:history="1">
      <w:r>
        <w:rPr>
          <w:rStyle w:val="Hyperlink"/>
          <w:rFonts w:ascii="Calibri" w:eastAsia="Calibri" w:hAnsi="Calibri" w:cs="Calibri"/>
          <w:b/>
          <w:bCs/>
          <w:sz w:val="22"/>
          <w:u w:color="0000C4"/>
          <w:lang w:val="en-US" w:eastAsia="en-US"/>
        </w:rPr>
        <w:t>licitacao@candoi.pr.gov.br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3BC50" w14:textId="77777777" w:rsidR="001529FF" w:rsidRDefault="001E718C">
      <w:r>
        <w:separator/>
      </w:r>
    </w:p>
  </w:footnote>
  <w:footnote w:type="continuationSeparator" w:id="0">
    <w:p w14:paraId="39E86F77" w14:textId="77777777" w:rsidR="001529FF" w:rsidRDefault="001E7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2C5D3" w14:textId="77777777" w:rsidR="001529FF" w:rsidRDefault="001E718C">
    <w:pPr>
      <w:tabs>
        <w:tab w:val="left" w:pos="3519"/>
      </w:tabs>
      <w:ind w:left="1732"/>
      <w:rPr>
        <w:sz w:val="20"/>
      </w:rPr>
    </w:pPr>
    <w:r>
      <w:rPr>
        <w:sz w:val="20"/>
      </w:rPr>
      <w:tab/>
    </w:r>
  </w:p>
  <w:p w14:paraId="2EBBF2DD" w14:textId="77777777" w:rsidR="001529FF" w:rsidRDefault="001E718C">
    <w:pPr>
      <w:pStyle w:val="Corpodetexto"/>
      <w:spacing w:before="0" w:beforeAutospacing="0" w:after="0" w:afterAutospacing="0"/>
    </w:pPr>
    <w:r>
      <w:rPr>
        <w:noProof/>
      </w:rPr>
      <w:drawing>
        <wp:inline distT="0" distB="0" distL="0" distR="0" wp14:anchorId="1A84D909" wp14:editId="7586FE84">
          <wp:extent cx="5398770" cy="1327785"/>
          <wp:effectExtent l="0" t="0" r="0" b="5715"/>
          <wp:docPr id="129" name="Imagem 129" descr="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57313A0"/>
    <w:multiLevelType w:val="multilevel"/>
    <w:tmpl w:val="01682A3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6F54F99"/>
    <w:multiLevelType w:val="multilevel"/>
    <w:tmpl w:val="0C8BF9EB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1D5C100D"/>
    <w:multiLevelType w:val="multilevel"/>
    <w:tmpl w:val="39B677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1"/>
        <w:szCs w:val="21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AE7FFB"/>
    <w:multiLevelType w:val="multilevel"/>
    <w:tmpl w:val="0366CE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C2D03"/>
    <w:multiLevelType w:val="multilevel"/>
    <w:tmpl w:val="1164897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45D353D"/>
    <w:multiLevelType w:val="hybridMultilevel"/>
    <w:tmpl w:val="D1869C7C"/>
    <w:lvl w:ilvl="0" w:tplc="D86C6ADE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314A0A"/>
    <w:multiLevelType w:val="multilevel"/>
    <w:tmpl w:val="E4A41C3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8025B6C"/>
    <w:multiLevelType w:val="hybridMultilevel"/>
    <w:tmpl w:val="9C585FD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5" w15:restartNumberingAfterBreak="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25750467">
    <w:abstractNumId w:val="3"/>
  </w:num>
  <w:num w:numId="2" w16cid:durableId="1949771560">
    <w:abstractNumId w:val="0"/>
  </w:num>
  <w:num w:numId="3" w16cid:durableId="1611468167">
    <w:abstractNumId w:val="14"/>
  </w:num>
  <w:num w:numId="4" w16cid:durableId="788088256">
    <w:abstractNumId w:val="16"/>
  </w:num>
  <w:num w:numId="5" w16cid:durableId="2053842569">
    <w:abstractNumId w:val="6"/>
  </w:num>
  <w:num w:numId="6" w16cid:durableId="119155036">
    <w:abstractNumId w:val="5"/>
  </w:num>
  <w:num w:numId="7" w16cid:durableId="868026788">
    <w:abstractNumId w:val="8"/>
  </w:num>
  <w:num w:numId="8" w16cid:durableId="888759133">
    <w:abstractNumId w:val="12"/>
  </w:num>
  <w:num w:numId="9" w16cid:durableId="1134832869">
    <w:abstractNumId w:val="3"/>
    <w:lvlOverride w:ilvl="0">
      <w:startOverride w:val="20"/>
    </w:lvlOverride>
  </w:num>
  <w:num w:numId="10" w16cid:durableId="545678901">
    <w:abstractNumId w:val="15"/>
  </w:num>
  <w:num w:numId="11" w16cid:durableId="1849639385">
    <w:abstractNumId w:val="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0749180">
    <w:abstractNumId w:val="11"/>
  </w:num>
  <w:num w:numId="13" w16cid:durableId="349339326">
    <w:abstractNumId w:val="3"/>
    <w:lvlOverride w:ilvl="0">
      <w:startOverride w:val="9"/>
    </w:lvlOverride>
    <w:lvlOverride w:ilvl="1">
      <w:startOverride w:val="5"/>
    </w:lvlOverride>
  </w:num>
  <w:num w:numId="14" w16cid:durableId="6954709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85084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78395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35893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0380038">
    <w:abstractNumId w:val="3"/>
  </w:num>
  <w:num w:numId="19" w16cid:durableId="1125275191">
    <w:abstractNumId w:val="3"/>
  </w:num>
  <w:num w:numId="20" w16cid:durableId="1010990340">
    <w:abstractNumId w:val="3"/>
  </w:num>
  <w:num w:numId="21" w16cid:durableId="2086299990">
    <w:abstractNumId w:val="3"/>
  </w:num>
  <w:num w:numId="22" w16cid:durableId="756827499">
    <w:abstractNumId w:val="3"/>
  </w:num>
  <w:num w:numId="23" w16cid:durableId="1500389917">
    <w:abstractNumId w:val="3"/>
  </w:num>
  <w:num w:numId="24" w16cid:durableId="1519737583">
    <w:abstractNumId w:val="3"/>
  </w:num>
  <w:num w:numId="25" w16cid:durableId="1330138556">
    <w:abstractNumId w:val="3"/>
  </w:num>
  <w:num w:numId="26" w16cid:durableId="545991013">
    <w:abstractNumId w:val="4"/>
  </w:num>
  <w:num w:numId="27" w16cid:durableId="1789471548">
    <w:abstractNumId w:val="3"/>
  </w:num>
  <w:num w:numId="28" w16cid:durableId="849879808">
    <w:abstractNumId w:val="3"/>
  </w:num>
  <w:num w:numId="29" w16cid:durableId="599532232">
    <w:abstractNumId w:val="3"/>
  </w:num>
  <w:num w:numId="30" w16cid:durableId="1063866745">
    <w:abstractNumId w:val="3"/>
  </w:num>
  <w:num w:numId="31" w16cid:durableId="720522834">
    <w:abstractNumId w:val="3"/>
  </w:num>
  <w:num w:numId="32" w16cid:durableId="3263294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47910618">
    <w:abstractNumId w:val="3"/>
  </w:num>
  <w:num w:numId="34" w16cid:durableId="1882354488">
    <w:abstractNumId w:val="3"/>
  </w:num>
  <w:num w:numId="35" w16cid:durableId="20981268">
    <w:abstractNumId w:val="1"/>
  </w:num>
  <w:num w:numId="36" w16cid:durableId="11535710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248196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100823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05472455">
    <w:abstractNumId w:val="13"/>
  </w:num>
  <w:num w:numId="40" w16cid:durableId="834994671">
    <w:abstractNumId w:val="7"/>
  </w:num>
  <w:num w:numId="41" w16cid:durableId="1829595418">
    <w:abstractNumId w:val="3"/>
  </w:num>
  <w:num w:numId="42" w16cid:durableId="19680040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67891610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31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9FF"/>
    <w:rsid w:val="00023492"/>
    <w:rsid w:val="00076E39"/>
    <w:rsid w:val="000977C7"/>
    <w:rsid w:val="000C0B82"/>
    <w:rsid w:val="000E5AAA"/>
    <w:rsid w:val="000E62FF"/>
    <w:rsid w:val="00101E13"/>
    <w:rsid w:val="00133A61"/>
    <w:rsid w:val="00137168"/>
    <w:rsid w:val="00141124"/>
    <w:rsid w:val="001529FF"/>
    <w:rsid w:val="001911E1"/>
    <w:rsid w:val="001A012C"/>
    <w:rsid w:val="001B678C"/>
    <w:rsid w:val="001E718C"/>
    <w:rsid w:val="002001DE"/>
    <w:rsid w:val="002204B0"/>
    <w:rsid w:val="002B227F"/>
    <w:rsid w:val="002F00F8"/>
    <w:rsid w:val="0030255B"/>
    <w:rsid w:val="00323EDA"/>
    <w:rsid w:val="00324047"/>
    <w:rsid w:val="00352049"/>
    <w:rsid w:val="0035294F"/>
    <w:rsid w:val="00355624"/>
    <w:rsid w:val="0038042D"/>
    <w:rsid w:val="003A5276"/>
    <w:rsid w:val="003B6D07"/>
    <w:rsid w:val="003B758A"/>
    <w:rsid w:val="0040265F"/>
    <w:rsid w:val="00425955"/>
    <w:rsid w:val="00437B82"/>
    <w:rsid w:val="00452DFB"/>
    <w:rsid w:val="00457A9D"/>
    <w:rsid w:val="004638FA"/>
    <w:rsid w:val="00466EB8"/>
    <w:rsid w:val="00481775"/>
    <w:rsid w:val="004B0FF0"/>
    <w:rsid w:val="004B655F"/>
    <w:rsid w:val="004D1751"/>
    <w:rsid w:val="004D22D2"/>
    <w:rsid w:val="004D447B"/>
    <w:rsid w:val="004E1F91"/>
    <w:rsid w:val="004E62D9"/>
    <w:rsid w:val="005400EC"/>
    <w:rsid w:val="005A3C32"/>
    <w:rsid w:val="005B4FFD"/>
    <w:rsid w:val="005F4F96"/>
    <w:rsid w:val="00605030"/>
    <w:rsid w:val="00621FE6"/>
    <w:rsid w:val="00655C3B"/>
    <w:rsid w:val="00662C14"/>
    <w:rsid w:val="006932BC"/>
    <w:rsid w:val="006A3EB6"/>
    <w:rsid w:val="00705874"/>
    <w:rsid w:val="00730B89"/>
    <w:rsid w:val="00731053"/>
    <w:rsid w:val="00733AEE"/>
    <w:rsid w:val="00763592"/>
    <w:rsid w:val="007635A5"/>
    <w:rsid w:val="007651AA"/>
    <w:rsid w:val="007663B2"/>
    <w:rsid w:val="007760F6"/>
    <w:rsid w:val="00777AB4"/>
    <w:rsid w:val="00787AFD"/>
    <w:rsid w:val="007958D2"/>
    <w:rsid w:val="007C4C9D"/>
    <w:rsid w:val="007E540C"/>
    <w:rsid w:val="007F593D"/>
    <w:rsid w:val="00805E46"/>
    <w:rsid w:val="00817415"/>
    <w:rsid w:val="00833687"/>
    <w:rsid w:val="00837898"/>
    <w:rsid w:val="00871CE4"/>
    <w:rsid w:val="008843A4"/>
    <w:rsid w:val="00886B28"/>
    <w:rsid w:val="00895211"/>
    <w:rsid w:val="008D6B88"/>
    <w:rsid w:val="008E1789"/>
    <w:rsid w:val="008E362D"/>
    <w:rsid w:val="00902397"/>
    <w:rsid w:val="00934B3E"/>
    <w:rsid w:val="00942B44"/>
    <w:rsid w:val="009507C2"/>
    <w:rsid w:val="00956409"/>
    <w:rsid w:val="009806E6"/>
    <w:rsid w:val="00981465"/>
    <w:rsid w:val="009A777E"/>
    <w:rsid w:val="009C07DF"/>
    <w:rsid w:val="009D69D5"/>
    <w:rsid w:val="009E23D5"/>
    <w:rsid w:val="00A0766B"/>
    <w:rsid w:val="00A1520E"/>
    <w:rsid w:val="00A25251"/>
    <w:rsid w:val="00A64E8F"/>
    <w:rsid w:val="00A76024"/>
    <w:rsid w:val="00A801C0"/>
    <w:rsid w:val="00A80349"/>
    <w:rsid w:val="00A82A84"/>
    <w:rsid w:val="00AD47CE"/>
    <w:rsid w:val="00AE779D"/>
    <w:rsid w:val="00AF3BE4"/>
    <w:rsid w:val="00AF4E0F"/>
    <w:rsid w:val="00B153B3"/>
    <w:rsid w:val="00B21237"/>
    <w:rsid w:val="00B461D6"/>
    <w:rsid w:val="00B7052A"/>
    <w:rsid w:val="00BA61FB"/>
    <w:rsid w:val="00BA635A"/>
    <w:rsid w:val="00BD239B"/>
    <w:rsid w:val="00C93D6B"/>
    <w:rsid w:val="00CA4925"/>
    <w:rsid w:val="00CB7702"/>
    <w:rsid w:val="00CC51A8"/>
    <w:rsid w:val="00CD03FE"/>
    <w:rsid w:val="00CD104E"/>
    <w:rsid w:val="00CD1A32"/>
    <w:rsid w:val="00CE7003"/>
    <w:rsid w:val="00D1319B"/>
    <w:rsid w:val="00D752DD"/>
    <w:rsid w:val="00D944B1"/>
    <w:rsid w:val="00D964A4"/>
    <w:rsid w:val="00DC3E17"/>
    <w:rsid w:val="00DC4BEE"/>
    <w:rsid w:val="00DC50FE"/>
    <w:rsid w:val="00DE2C2A"/>
    <w:rsid w:val="00DE6C5A"/>
    <w:rsid w:val="00DF7016"/>
    <w:rsid w:val="00E112B5"/>
    <w:rsid w:val="00E244F4"/>
    <w:rsid w:val="00E77033"/>
    <w:rsid w:val="00E92517"/>
    <w:rsid w:val="00EB3217"/>
    <w:rsid w:val="00ED1A0B"/>
    <w:rsid w:val="00F2065A"/>
    <w:rsid w:val="00F2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5"/>
    <o:shapelayout v:ext="edit">
      <o:idmap v:ext="edit" data="1"/>
    </o:shapelayout>
  </w:shapeDefaults>
  <w:decimalSymbol w:val=","/>
  <w:listSeparator w:val=";"/>
  <w14:docId w14:val="2576561C"/>
  <w15:docId w15:val="{ABA20093-EA04-4FBF-8568-BDD2E102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/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1701"/>
      </w:tabs>
      <w:ind w:right="-1"/>
      <w:jc w:val="center"/>
      <w:outlineLvl w:val="1"/>
    </w:pPr>
    <w:rPr>
      <w:rFonts w:eastAsiaTheme="minorEastAsia"/>
      <w:b/>
      <w:color w:val="000000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Courier New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pPr>
      <w:autoSpaceDE w:val="0"/>
      <w:autoSpaceDN w:val="0"/>
      <w:adjustRightInd w:val="0"/>
      <w:spacing w:after="0" w:line="240" w:lineRule="auto"/>
    </w:pPr>
    <w:rPr>
      <w:rFonts w:cs="Arial"/>
      <w:sz w:val="24"/>
      <w:lang w:val="x-none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Times New Roman" w:eastAsiaTheme="minorEastAsia" w:hAnsi="Times New Roman"/>
      <w:b/>
      <w:color w:val="000000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pt-BR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Theme="minorEastAsia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</w:style>
  <w:style w:type="paragraph" w:styleId="Citao">
    <w:name w:val="Quote"/>
    <w:basedOn w:val="Normal"/>
    <w:next w:val="Normal"/>
    <w:link w:val="CitaoChar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QuoteChar">
    <w:name w:val="Quote Char"/>
    <w:basedOn w:val="Fontepargpadro"/>
    <w:link w:val="Citao1"/>
    <w:rPr>
      <w:rFonts w:ascii="Times New Roman" w:eastAsia="Times New Roman" w:hAnsi="Times New Roman"/>
      <w:i/>
      <w:iCs/>
      <w:color w:val="404040" w:themeColor="text1" w:themeTint="BF"/>
      <w:sz w:val="24"/>
      <w:lang w:eastAsia="pt-BR"/>
    </w:rPr>
  </w:style>
  <w:style w:type="character" w:customStyle="1" w:styleId="CitaoChar">
    <w:name w:val="Citação Char"/>
    <w:basedOn w:val="Fontepargpadro"/>
    <w:link w:val="Citao"/>
    <w:rPr>
      <w:rFonts w:eastAsia="Calibri" w:cs="Tahoma"/>
      <w:i/>
      <w:iCs/>
      <w:color w:val="000000"/>
      <w:shd w:val="clear" w:color="auto" w:fill="FFFFCC"/>
    </w:rPr>
  </w:style>
  <w:style w:type="paragraph" w:styleId="Commarcadores5">
    <w:name w:val="List Bullet 5"/>
    <w:basedOn w:val="Normal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citao2">
    <w:name w:val="citação 2"/>
    <w:basedOn w:val="Citao"/>
    <w:link w:val="citao2Char"/>
    <w:qFormat/>
    <w:rPr>
      <w:szCs w:val="20"/>
    </w:rPr>
  </w:style>
  <w:style w:type="character" w:customStyle="1" w:styleId="citao2Char">
    <w:name w:val="citação 2 Char"/>
    <w:basedOn w:val="CitaoChar"/>
    <w:link w:val="citao2"/>
    <w:rPr>
      <w:rFonts w:eastAsia="Calibri" w:cs="Tahoma"/>
      <w:i/>
      <w:iCs/>
      <w:color w:val="000000"/>
      <w:szCs w:val="20"/>
      <w:shd w:val="clear" w:color="auto" w:fill="FFFFCC"/>
    </w:rPr>
  </w:style>
  <w:style w:type="numbering" w:customStyle="1" w:styleId="Estilo1">
    <w:name w:val="Estilo1"/>
    <w:uiPriority w:val="99"/>
    <w:pPr>
      <w:numPr>
        <w:numId w:val="3"/>
      </w:numPr>
    </w:pPr>
  </w:style>
  <w:style w:type="numbering" w:customStyle="1" w:styleId="Estilo2">
    <w:name w:val="Estilo2"/>
    <w:uiPriority w:val="99"/>
    <w:pPr>
      <w:numPr>
        <w:numId w:val="4"/>
      </w:numPr>
    </w:pPr>
  </w:style>
  <w:style w:type="numbering" w:customStyle="1" w:styleId="Estilo3">
    <w:name w:val="Estilo3"/>
    <w:uiPriority w:val="99"/>
    <w:pPr>
      <w:numPr>
        <w:numId w:val="5"/>
      </w:numPr>
    </w:pPr>
  </w:style>
  <w:style w:type="numbering" w:customStyle="1" w:styleId="Estilo4">
    <w:name w:val="Estilo4"/>
    <w:uiPriority w:val="99"/>
    <w:pPr>
      <w:numPr>
        <w:numId w:val="6"/>
      </w:numPr>
    </w:pPr>
  </w:style>
  <w:style w:type="numbering" w:customStyle="1" w:styleId="Estilo5">
    <w:name w:val="Estilo5"/>
    <w:uiPriority w:val="99"/>
    <w:pPr>
      <w:numPr>
        <w:numId w:val="7"/>
      </w:numPr>
    </w:pPr>
  </w:style>
  <w:style w:type="numbering" w:customStyle="1" w:styleId="Estilo6">
    <w:name w:val="Estilo6"/>
    <w:uiPriority w:val="99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Ecofont_Spranq_eco_Sans" w:eastAsiaTheme="minorEastAsia" w:hAnsi="Ecofont_Spranq_eco_Sans" w:cs="Tahom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Pr>
      <w:rFonts w:ascii="Ecofont_Spranq_eco_Sans" w:eastAsiaTheme="minorEastAsia" w:hAnsi="Ecofont_Spranq_eco_Sans" w:cs="Tahoma"/>
      <w:b/>
      <w:bCs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/>
      <w:color w:val="000000"/>
      <w:spacing w:val="5"/>
      <w:kern w:val="28"/>
      <w:sz w:val="52"/>
      <w:szCs w:val="20"/>
    </w:rPr>
  </w:style>
  <w:style w:type="paragraph" w:customStyle="1" w:styleId="Nivel01Titulo">
    <w:name w:val="Nivel_01_Titulo"/>
    <w:basedOn w:val="Nivel01"/>
    <w:link w:val="Nivel01TituloChar"/>
    <w:pPr>
      <w:jc w:val="left"/>
    </w:pPr>
    <w:rPr>
      <w:color w:val="000000" w:themeColor="text1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">
    <w:name w:val="PADRÃO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lang w:eastAsia="zh-CN" w:bidi="hi-IN"/>
    </w:rPr>
  </w:style>
  <w:style w:type="paragraph" w:customStyle="1" w:styleId="Citao1">
    <w:name w:val="Citação1"/>
    <w:basedOn w:val="Normal"/>
    <w:next w:val="Normal"/>
    <w:link w:val="QuoteChar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i/>
      <w:iCs/>
      <w:color w:val="404040" w:themeColor="text1" w:themeTint="BF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spellingerror">
    <w:name w:val="spellingerror"/>
    <w:basedOn w:val="Fontepargpadro"/>
  </w:style>
  <w:style w:type="paragraph" w:styleId="Corpodetexto">
    <w:name w:val="Body Text"/>
    <w:basedOn w:val="Normal"/>
    <w:link w:val="CorpodetextoChar"/>
    <w:uiPriority w:val="99"/>
    <w:unhideWhenUsed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/>
      <w:sz w:val="24"/>
      <w:lang w:eastAsia="pt-BR"/>
    </w:rPr>
  </w:style>
  <w:style w:type="paragraph" w:customStyle="1" w:styleId="Nivel10">
    <w:name w:val="Nivel1"/>
    <w:basedOn w:val="Ttulo1"/>
    <w:link w:val="Nivel1Char"/>
    <w:qFormat/>
    <w:pPr>
      <w:spacing w:line="276" w:lineRule="auto"/>
      <w:ind w:left="357" w:hanging="357"/>
      <w:jc w:val="both"/>
    </w:pPr>
    <w:rPr>
      <w:bCs w:val="0"/>
      <w:color w:val="000000"/>
    </w:rPr>
  </w:style>
  <w:style w:type="character" w:customStyle="1" w:styleId="Nivel1Char">
    <w:name w:val="Nivel1 Char"/>
    <w:basedOn w:val="Ttulo1Char"/>
    <w:link w:val="Nivel10"/>
    <w:rPr>
      <w:rFonts w:asciiTheme="majorHAnsi" w:eastAsiaTheme="majorEastAsia" w:hAnsiTheme="majorHAnsi" w:cstheme="majorBidi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qFormat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  <w:szCs w:val="20"/>
      <w:lang w:eastAsia="pt-BR"/>
    </w:rPr>
  </w:style>
  <w:style w:type="paragraph" w:customStyle="1" w:styleId="Nivel1">
    <w:name w:val="Nivel 1"/>
    <w:basedOn w:val="Nivel2"/>
    <w:next w:val="Nivel2"/>
    <w:qFormat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basedOn w:val="Fontepargpadro"/>
    <w:link w:val="Nivel4"/>
    <w:rPr>
      <w:rFonts w:ascii="Ecofont_Spranq_eco_Sans" w:eastAsia="Arial Unicode MS" w:hAnsi="Ecofont_Spranq_eco_Sans" w:cs="Arial"/>
      <w:szCs w:val="20"/>
      <w:lang w:eastAsia="pt-BR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</w:style>
  <w:style w:type="paragraph" w:customStyle="1" w:styleId="Standard">
    <w:name w:val="Standard"/>
    <w:qFormat/>
    <w:pPr>
      <w:widowControl w:val="0"/>
      <w:suppressAutoHyphens/>
      <w:autoSpaceDN w:val="0"/>
      <w:spacing w:after="0" w:line="240" w:lineRule="auto"/>
      <w:textAlignment w:val="baseline"/>
    </w:pPr>
    <w:rPr>
      <w:rFonts w:eastAsia="Droid Sans Fallback" w:cs="Arial"/>
      <w:color w:val="000000"/>
      <w:kern w:val="3"/>
      <w:szCs w:val="20"/>
      <w:lang w:eastAsia="zh-CN" w:bidi="hi-IN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eastAsia="Calibri" w:cs="Arial"/>
      <w:color w:val="000000"/>
      <w:sz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customStyle="1" w:styleId="Centered">
    <w:name w:val="Centered"/>
    <w:uiPriority w:val="99"/>
    <w:pPr>
      <w:autoSpaceDE w:val="0"/>
      <w:autoSpaceDN w:val="0"/>
      <w:adjustRightInd w:val="0"/>
      <w:spacing w:after="0" w:line="240" w:lineRule="auto"/>
      <w:jc w:val="center"/>
    </w:pPr>
    <w:rPr>
      <w:rFonts w:cs="Arial"/>
      <w:sz w:val="24"/>
      <w:lang w:val="x-none"/>
    </w:rPr>
  </w:style>
  <w:style w:type="character" w:customStyle="1" w:styleId="Sobrescrito">
    <w:name w:val="Sobrescrito"/>
    <w:uiPriority w:val="99"/>
    <w:rPr>
      <w:position w:val="8"/>
      <w:sz w:val="16"/>
      <w:szCs w:val="16"/>
    </w:rPr>
  </w:style>
  <w:style w:type="character" w:customStyle="1" w:styleId="Subscrito">
    <w:name w:val="Subscrito"/>
    <w:uiPriority w:val="99"/>
    <w:rPr>
      <w:position w:val="-8"/>
      <w:sz w:val="16"/>
      <w:szCs w:val="16"/>
    </w:rPr>
  </w:style>
  <w:style w:type="character" w:customStyle="1" w:styleId="Tag">
    <w:name w:val="Tag"/>
    <w:uiPriority w:val="99"/>
    <w:rPr>
      <w:sz w:val="20"/>
      <w:szCs w:val="20"/>
      <w:shd w:val="clear" w:color="auto" w:fill="FFFFFF"/>
    </w:rPr>
  </w:style>
  <w:style w:type="character" w:styleId="MenoPendente">
    <w:name w:val="Unresolved Mention"/>
    <w:basedOn w:val="Fontepargpadro"/>
    <w:uiPriority w:val="99"/>
    <w:semiHidden/>
    <w:unhideWhenUsed/>
    <w:rsid w:val="00323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candoi.pr.gov.br" TargetMode="External"/><Relationship Id="rId2" Type="http://schemas.openxmlformats.org/officeDocument/2006/relationships/hyperlink" Target="http://www.candoi.pr.gov.br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927BF-6D42-4566-A25D-EF723496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565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Licitações e Contratos</dc:creator>
  <cp:keywords/>
  <dc:description/>
  <cp:lastModifiedBy>User7</cp:lastModifiedBy>
  <cp:revision>81</cp:revision>
  <cp:lastPrinted>2024-02-22T14:36:00Z</cp:lastPrinted>
  <dcterms:created xsi:type="dcterms:W3CDTF">2023-05-12T18:20:00Z</dcterms:created>
  <dcterms:modified xsi:type="dcterms:W3CDTF">2025-03-12T19:41:00Z</dcterms:modified>
</cp:coreProperties>
</file>