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 DE SISTEMA DE RASTREAMENTO VEICULAR COM IDENTIFICAÇÃO DO MOTORISTA, PARA UTILIZAÇÃO EM VEÍCULOS DE PROPRIEDADE DO MUNICÍPIO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R$2.508,00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R$ 30.096,00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R$2.508,00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R$ 30.096,00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