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4F8EC" w14:textId="2AEDA7C3" w:rsidR="00BE137E" w:rsidRPr="00FF7B51" w:rsidRDefault="00BE137E" w:rsidP="00D01ED2">
      <w:pPr>
        <w:spacing w:before="120" w:afterLines="120" w:after="288" w:line="312" w:lineRule="auto"/>
        <w:jc w:val="center"/>
        <w:rPr>
          <w:rFonts w:ascii="Arial" w:hAnsi="Arial" w:cs="Arial"/>
          <w:bCs/>
          <w:color w:val="000000"/>
          <w:sz w:val="20"/>
          <w:szCs w:val="20"/>
        </w:rPr>
      </w:pPr>
      <w:r w:rsidRPr="00FF7B51">
        <w:rPr>
          <w:rFonts w:ascii="Arial" w:hAnsi="Arial" w:cs="Arial"/>
          <w:color w:val="000000"/>
          <w:sz w:val="20"/>
          <w:szCs w:val="20"/>
        </w:rPr>
        <w:t>(Processo Administrativo n</w:t>
      </w:r>
      <w:r w:rsidRPr="00FF7B51">
        <w:rPr>
          <w:rFonts w:ascii="Arial" w:hAnsi="Arial" w:cs="Arial"/>
          <w:bCs/>
          <w:color w:val="000000"/>
          <w:sz w:val="20"/>
          <w:szCs w:val="20"/>
        </w:rPr>
        <w:t>°</w:t>
      </w:r>
      <w:r w:rsidR="007F44F1" w:rsidRPr="00FF7B51">
        <w:rPr>
          <w:rFonts w:ascii="Arial" w:hAnsi="Arial" w:cs="Arial"/>
          <w:bCs/>
          <w:color w:val="000000"/>
          <w:sz w:val="20"/>
          <w:szCs w:val="20"/>
        </w:rPr>
        <w:t xml:space="preserve"> </w:t>
      </w:r>
      <w:r w:rsidR="007F44F1" w:rsidRPr="00FF7B51">
        <w:rPr>
          <w:rFonts w:ascii="Arial" w:hAnsi="Arial" w:cs="Arial"/>
          <w:bCs/>
          <w:color w:val="000000"/>
          <w:sz w:val="20"/>
          <w:szCs w:val="20"/>
          <w:highlight w:val="yellow"/>
        </w:rPr>
        <w:t>0</w:t>
      </w:r>
      <w:r w:rsidR="004D3BCD">
        <w:rPr>
          <w:rFonts w:ascii="Arial" w:hAnsi="Arial" w:cs="Arial"/>
          <w:bCs/>
          <w:color w:val="000000"/>
          <w:sz w:val="20"/>
          <w:szCs w:val="20"/>
          <w:highlight w:val="yellow"/>
        </w:rPr>
        <w:t>64</w:t>
      </w:r>
      <w:r w:rsidR="007F44F1" w:rsidRPr="00FF7B51">
        <w:rPr>
          <w:rFonts w:ascii="Arial" w:hAnsi="Arial" w:cs="Arial"/>
          <w:bCs/>
          <w:color w:val="000000"/>
          <w:sz w:val="20"/>
          <w:szCs w:val="20"/>
          <w:highlight w:val="yellow"/>
        </w:rPr>
        <w:t>/2024</w:t>
      </w:r>
      <w:r w:rsidRPr="00FF7B51">
        <w:rPr>
          <w:rFonts w:ascii="Arial" w:hAnsi="Arial" w:cs="Arial"/>
          <w:bCs/>
          <w:color w:val="000000"/>
          <w:sz w:val="20"/>
          <w:szCs w:val="20"/>
        </w:rPr>
        <w:t>)</w:t>
      </w:r>
    </w:p>
    <w:p w14:paraId="08652D9C" w14:textId="3CED4E44" w:rsidR="00DC41DD" w:rsidRPr="00FF7B51" w:rsidRDefault="00DC41DD" w:rsidP="00D01ED2">
      <w:pPr>
        <w:pStyle w:val="Prembulo"/>
        <w:spacing w:before="120" w:afterLines="120" w:after="288" w:line="312" w:lineRule="auto"/>
        <w:rPr>
          <w:bCs w:val="0"/>
        </w:rPr>
      </w:pPr>
      <w:r w:rsidRPr="00FF7B51">
        <w:rPr>
          <w:bCs w:val="0"/>
        </w:rPr>
        <w:t>CONTRATO ADMINISTRATIVO Nº ......../....</w:t>
      </w:r>
      <w:r w:rsidR="00020AE6" w:rsidRPr="00FF7B51">
        <w:rPr>
          <w:bCs w:val="0"/>
        </w:rPr>
        <w:t>,</w:t>
      </w:r>
      <w:r w:rsidRPr="00FF7B51">
        <w:rPr>
          <w:bCs w:val="0"/>
        </w:rPr>
        <w:t xml:space="preserve"> QUE FAZEM ENTRE SI </w:t>
      </w:r>
      <w:r w:rsidR="005F6B24" w:rsidRPr="00FF7B51">
        <w:rPr>
          <w:bCs w:val="0"/>
        </w:rPr>
        <w:t xml:space="preserve">O </w:t>
      </w:r>
      <w:r w:rsidR="00020AE6" w:rsidRPr="00FF7B51">
        <w:rPr>
          <w:bCs w:val="0"/>
        </w:rPr>
        <w:t>MUNICÍPIO DE</w:t>
      </w:r>
      <w:r w:rsidR="005F6B24" w:rsidRPr="00FF7B51">
        <w:rPr>
          <w:bCs w:val="0"/>
        </w:rPr>
        <w:t xml:space="preserve"> VARGEM BONITA</w:t>
      </w:r>
      <w:r w:rsidRPr="00FF7B51">
        <w:rPr>
          <w:bCs w:val="0"/>
        </w:rPr>
        <w:t xml:space="preserve"> E .............................................................  </w:t>
      </w:r>
    </w:p>
    <w:p w14:paraId="2C937491" w14:textId="38CC1737" w:rsidR="00DC41DD" w:rsidRPr="00FF7B51" w:rsidRDefault="005F6B24" w:rsidP="00633470">
      <w:pPr>
        <w:spacing w:before="120" w:after="120" w:line="276" w:lineRule="auto"/>
        <w:ind w:firstLine="1418"/>
        <w:jc w:val="both"/>
        <w:rPr>
          <w:rFonts w:ascii="Arial" w:eastAsia="Arial" w:hAnsi="Arial" w:cs="Arial"/>
          <w:sz w:val="20"/>
          <w:szCs w:val="20"/>
        </w:rPr>
      </w:pPr>
      <w:r w:rsidRPr="00FF7B51">
        <w:rPr>
          <w:rFonts w:ascii="Arial" w:eastAsia="Times New Roman" w:hAnsi="Arial" w:cs="Arial"/>
          <w:b/>
          <w:bCs/>
          <w:sz w:val="20"/>
          <w:szCs w:val="20"/>
        </w:rPr>
        <w:t>O</w:t>
      </w:r>
      <w:r w:rsidR="002865DF" w:rsidRPr="00FF7B51">
        <w:rPr>
          <w:rFonts w:ascii="Arial" w:eastAsia="Times New Roman" w:hAnsi="Arial" w:cs="Arial"/>
          <w:b/>
          <w:bCs/>
          <w:sz w:val="20"/>
          <w:szCs w:val="20"/>
        </w:rPr>
        <w:t xml:space="preserve"> </w:t>
      </w:r>
      <w:r w:rsidRPr="00FF7B51">
        <w:rPr>
          <w:rFonts w:ascii="Arial" w:eastAsia="Times New Roman" w:hAnsi="Arial" w:cs="Arial"/>
          <w:b/>
          <w:bCs/>
          <w:sz w:val="20"/>
          <w:szCs w:val="20"/>
        </w:rPr>
        <w:t>MUNIC</w:t>
      </w:r>
      <w:r w:rsidR="002865DF" w:rsidRPr="00FF7B51">
        <w:rPr>
          <w:rFonts w:ascii="Arial" w:eastAsia="Times New Roman" w:hAnsi="Arial" w:cs="Arial"/>
          <w:b/>
          <w:bCs/>
          <w:sz w:val="20"/>
          <w:szCs w:val="20"/>
        </w:rPr>
        <w:t xml:space="preserve">ÍPIO </w:t>
      </w:r>
      <w:r w:rsidRPr="00FF7B51">
        <w:rPr>
          <w:rFonts w:ascii="Arial" w:eastAsia="Times New Roman" w:hAnsi="Arial" w:cs="Arial"/>
          <w:b/>
          <w:bCs/>
          <w:sz w:val="20"/>
          <w:szCs w:val="20"/>
        </w:rPr>
        <w:t>DE VARGEM BONITA</w:t>
      </w:r>
      <w:r w:rsidRPr="00FF7B51">
        <w:rPr>
          <w:rFonts w:ascii="Arial" w:eastAsia="Times New Roman" w:hAnsi="Arial" w:cs="Arial"/>
          <w:sz w:val="20"/>
          <w:szCs w:val="20"/>
        </w:rPr>
        <w:t xml:space="preserve">, pessoa jurídica de direito público interno, inscrito no CNPJ/MF sob o nº </w:t>
      </w:r>
      <w:r w:rsidR="002865DF" w:rsidRPr="00FF7B51">
        <w:rPr>
          <w:rFonts w:ascii="Arial" w:eastAsia="Times New Roman" w:hAnsi="Arial" w:cs="Arial"/>
          <w:sz w:val="20"/>
          <w:szCs w:val="20"/>
        </w:rPr>
        <w:t>95.966.187/0001-31</w:t>
      </w:r>
      <w:r w:rsidRPr="00FF7B51">
        <w:rPr>
          <w:rFonts w:ascii="Arial" w:eastAsia="Times New Roman" w:hAnsi="Arial" w:cs="Arial"/>
          <w:sz w:val="20"/>
          <w:szCs w:val="20"/>
        </w:rPr>
        <w:t xml:space="preserve"> situado à Rua Coronel Vitório, nº 966, Centro, Vargem Bonita, SC, através de sua Gestora, </w:t>
      </w:r>
      <w:r w:rsidR="002865DF" w:rsidRPr="00FF7B51">
        <w:rPr>
          <w:rFonts w:ascii="Arial" w:eastAsia="Times New Roman" w:hAnsi="Arial" w:cs="Arial"/>
          <w:sz w:val="20"/>
          <w:szCs w:val="20"/>
        </w:rPr>
        <w:t>Prefeita Municipal</w:t>
      </w:r>
      <w:r w:rsidRPr="00FF7B51">
        <w:rPr>
          <w:rFonts w:ascii="Arial" w:eastAsia="Times New Roman" w:hAnsi="Arial" w:cs="Arial"/>
          <w:sz w:val="20"/>
          <w:szCs w:val="20"/>
        </w:rPr>
        <w:t>,</w:t>
      </w:r>
      <w:r w:rsidRPr="00FF7B51">
        <w:rPr>
          <w:rFonts w:ascii="Arial" w:hAnsi="Arial" w:cs="Arial"/>
          <w:sz w:val="20"/>
          <w:szCs w:val="20"/>
        </w:rPr>
        <w:t xml:space="preserve"> Sra. </w:t>
      </w:r>
      <w:proofErr w:type="spellStart"/>
      <w:r w:rsidR="002865DF" w:rsidRPr="00FF7B51">
        <w:rPr>
          <w:rFonts w:ascii="Arial" w:hAnsi="Arial" w:cs="Arial"/>
          <w:sz w:val="20"/>
          <w:szCs w:val="20"/>
        </w:rPr>
        <w:t>Rosamárcia</w:t>
      </w:r>
      <w:proofErr w:type="spellEnd"/>
      <w:r w:rsidR="002865DF" w:rsidRPr="00FF7B51">
        <w:rPr>
          <w:rFonts w:ascii="Arial" w:hAnsi="Arial" w:cs="Arial"/>
          <w:sz w:val="20"/>
          <w:szCs w:val="20"/>
        </w:rPr>
        <w:t xml:space="preserve"> </w:t>
      </w:r>
      <w:proofErr w:type="spellStart"/>
      <w:r w:rsidR="002865DF" w:rsidRPr="00FF7B51">
        <w:rPr>
          <w:rFonts w:ascii="Arial" w:hAnsi="Arial" w:cs="Arial"/>
          <w:sz w:val="20"/>
          <w:szCs w:val="20"/>
        </w:rPr>
        <w:t>Het</w:t>
      </w:r>
      <w:r w:rsidR="007F44F1" w:rsidRPr="00FF7B51">
        <w:rPr>
          <w:rFonts w:ascii="Arial" w:hAnsi="Arial" w:cs="Arial"/>
          <w:sz w:val="20"/>
          <w:szCs w:val="20"/>
        </w:rPr>
        <w:t>kó</w:t>
      </w:r>
      <w:r w:rsidR="002865DF" w:rsidRPr="00FF7B51">
        <w:rPr>
          <w:rFonts w:ascii="Arial" w:hAnsi="Arial" w:cs="Arial"/>
          <w:sz w:val="20"/>
          <w:szCs w:val="20"/>
        </w:rPr>
        <w:t>wisk</w:t>
      </w:r>
      <w:r w:rsidR="007F44F1" w:rsidRPr="00FF7B51">
        <w:rPr>
          <w:rFonts w:ascii="Arial" w:hAnsi="Arial" w:cs="Arial"/>
          <w:sz w:val="20"/>
          <w:szCs w:val="20"/>
        </w:rPr>
        <w:t>i</w:t>
      </w:r>
      <w:proofErr w:type="spellEnd"/>
      <w:r w:rsidR="002865DF" w:rsidRPr="00FF7B51">
        <w:rPr>
          <w:rFonts w:ascii="Arial" w:hAnsi="Arial" w:cs="Arial"/>
          <w:sz w:val="20"/>
          <w:szCs w:val="20"/>
        </w:rPr>
        <w:t xml:space="preserve"> Roman</w:t>
      </w:r>
      <w:r w:rsidR="00DC41DD" w:rsidRPr="00FF7B51">
        <w:rPr>
          <w:rFonts w:ascii="Arial" w:eastAsia="Arial" w:hAnsi="Arial" w:cs="Arial"/>
          <w:sz w:val="20"/>
          <w:szCs w:val="20"/>
        </w:rPr>
        <w:t xml:space="preserve">, doravante denominado CONTRATANTE, e o(a) </w:t>
      </w:r>
      <w:r w:rsidR="00DC41DD" w:rsidRPr="00FF7B51">
        <w:rPr>
          <w:rFonts w:ascii="Arial" w:eastAsia="Arial" w:hAnsi="Arial" w:cs="Arial"/>
          <w:color w:val="FF0000"/>
          <w:sz w:val="20"/>
          <w:szCs w:val="20"/>
        </w:rPr>
        <w:t>..............................,</w:t>
      </w:r>
      <w:r w:rsidR="00DC41DD" w:rsidRPr="00FF7B51">
        <w:rPr>
          <w:rFonts w:ascii="Arial" w:eastAsia="Arial" w:hAnsi="Arial" w:cs="Arial"/>
          <w:sz w:val="20"/>
          <w:szCs w:val="20"/>
        </w:rPr>
        <w:t xml:space="preserve"> </w:t>
      </w:r>
      <w:r w:rsidR="00DC41DD" w:rsidRPr="00FF7B51">
        <w:rPr>
          <w:rFonts w:ascii="Arial" w:eastAsia="Arial" w:hAnsi="Arial" w:cs="Arial"/>
          <w:i/>
          <w:iCs/>
          <w:color w:val="FF0000"/>
          <w:sz w:val="20"/>
          <w:szCs w:val="20"/>
        </w:rPr>
        <w:t>inscrito(a) no CNPJ/MF sob o nº ............................, sediado(a) na</w:t>
      </w:r>
      <w:r w:rsidR="00DC41DD" w:rsidRPr="00FF7B51">
        <w:rPr>
          <w:rFonts w:ascii="Arial" w:eastAsia="Arial" w:hAnsi="Arial" w:cs="Arial"/>
          <w:sz w:val="20"/>
          <w:szCs w:val="20"/>
        </w:rPr>
        <w:t xml:space="preserve"> </w:t>
      </w:r>
      <w:r w:rsidR="00DC41DD" w:rsidRPr="00FF7B51">
        <w:rPr>
          <w:rFonts w:ascii="Arial" w:eastAsia="Arial" w:hAnsi="Arial" w:cs="Arial"/>
          <w:color w:val="FF0000"/>
          <w:sz w:val="20"/>
          <w:szCs w:val="20"/>
        </w:rPr>
        <w:t>...................................</w:t>
      </w:r>
      <w:r w:rsidR="00DC41DD" w:rsidRPr="00FF7B51">
        <w:rPr>
          <w:rFonts w:ascii="Arial" w:eastAsia="Arial" w:hAnsi="Arial" w:cs="Arial"/>
          <w:sz w:val="20"/>
          <w:szCs w:val="20"/>
        </w:rPr>
        <w:t xml:space="preserve">, doravante designado CONTRATADO, </w:t>
      </w:r>
      <w:r w:rsidR="00DC41DD" w:rsidRPr="00FF7B51">
        <w:rPr>
          <w:rFonts w:ascii="Arial" w:eastAsia="Arial" w:hAnsi="Arial" w:cs="Arial"/>
          <w:i/>
          <w:iCs/>
          <w:color w:val="FF0000"/>
          <w:sz w:val="20"/>
          <w:szCs w:val="20"/>
        </w:rPr>
        <w:t>neste ato representado(a) por</w:t>
      </w:r>
      <w:r w:rsidR="00DC41DD" w:rsidRPr="00FF7B51">
        <w:rPr>
          <w:rFonts w:ascii="Arial" w:eastAsia="Arial" w:hAnsi="Arial" w:cs="Arial"/>
          <w:color w:val="FF0000"/>
          <w:sz w:val="20"/>
          <w:szCs w:val="20"/>
        </w:rPr>
        <w:t xml:space="preserve"> </w:t>
      </w:r>
      <w:r w:rsidR="00DC41DD" w:rsidRPr="00FF7B51">
        <w:rPr>
          <w:rFonts w:ascii="Arial" w:eastAsia="Arial" w:hAnsi="Arial" w:cs="Arial"/>
          <w:sz w:val="20"/>
          <w:szCs w:val="20"/>
        </w:rPr>
        <w:t xml:space="preserve">.................................. </w:t>
      </w:r>
      <w:r w:rsidR="00DC41DD" w:rsidRPr="00FF7B51">
        <w:rPr>
          <w:rFonts w:ascii="Arial" w:eastAsia="Arial" w:hAnsi="Arial" w:cs="Arial"/>
          <w:color w:val="FF0000"/>
          <w:sz w:val="20"/>
          <w:szCs w:val="20"/>
        </w:rPr>
        <w:t>(nome e função no contratado)</w:t>
      </w:r>
      <w:r w:rsidR="00DC41DD" w:rsidRPr="00FF7B51">
        <w:rPr>
          <w:rFonts w:ascii="Arial" w:eastAsia="Arial" w:hAnsi="Arial" w:cs="Arial"/>
          <w:sz w:val="20"/>
          <w:szCs w:val="20"/>
        </w:rPr>
        <w:t xml:space="preserve">, </w:t>
      </w:r>
      <w:r w:rsidR="00DC41DD" w:rsidRPr="00FF7B51">
        <w:rPr>
          <w:rFonts w:ascii="Arial" w:eastAsia="Arial" w:hAnsi="Arial" w:cs="Arial"/>
          <w:i/>
          <w:iCs/>
          <w:color w:val="FF0000"/>
          <w:sz w:val="20"/>
          <w:szCs w:val="20"/>
        </w:rPr>
        <w:t xml:space="preserve">conforme atos constitutivos da empresa </w:t>
      </w:r>
      <w:r w:rsidR="00DC41DD" w:rsidRPr="00FF7B51">
        <w:rPr>
          <w:rFonts w:ascii="Arial" w:eastAsia="Arial" w:hAnsi="Arial" w:cs="Arial"/>
          <w:b/>
          <w:bCs/>
          <w:i/>
          <w:iCs/>
          <w:color w:val="FF0000"/>
          <w:sz w:val="20"/>
          <w:szCs w:val="20"/>
        </w:rPr>
        <w:t>OU</w:t>
      </w:r>
      <w:r w:rsidR="00DC41DD" w:rsidRPr="00FF7B51">
        <w:rPr>
          <w:rFonts w:ascii="Arial" w:eastAsia="Arial" w:hAnsi="Arial" w:cs="Arial"/>
          <w:i/>
          <w:iCs/>
          <w:color w:val="FF0000"/>
          <w:sz w:val="20"/>
          <w:szCs w:val="20"/>
        </w:rPr>
        <w:t xml:space="preserve"> procuração apresentada nos autos, </w:t>
      </w:r>
      <w:r w:rsidR="00DC41DD" w:rsidRPr="00FF7B51">
        <w:rPr>
          <w:rFonts w:ascii="Arial" w:eastAsia="Arial" w:hAnsi="Arial" w:cs="Arial"/>
          <w:sz w:val="20"/>
          <w:szCs w:val="20"/>
        </w:rPr>
        <w:t xml:space="preserve">tendo em vista o que consta no </w:t>
      </w:r>
      <w:r w:rsidR="00DC41DD" w:rsidRPr="00FF7B51">
        <w:rPr>
          <w:rFonts w:ascii="Arial" w:eastAsia="Arial" w:hAnsi="Arial" w:cs="Arial"/>
          <w:sz w:val="20"/>
          <w:szCs w:val="20"/>
          <w:highlight w:val="yellow"/>
        </w:rPr>
        <w:t xml:space="preserve">Processo nº </w:t>
      </w:r>
      <w:r w:rsidRPr="00FF7B51">
        <w:rPr>
          <w:rFonts w:ascii="Arial" w:eastAsia="Arial" w:hAnsi="Arial" w:cs="Arial"/>
          <w:color w:val="FF0000"/>
          <w:sz w:val="20"/>
          <w:szCs w:val="20"/>
          <w:highlight w:val="yellow"/>
        </w:rPr>
        <w:t>0</w:t>
      </w:r>
      <w:r w:rsidR="004D3BCD">
        <w:rPr>
          <w:rFonts w:ascii="Arial" w:eastAsia="Arial" w:hAnsi="Arial" w:cs="Arial"/>
          <w:color w:val="FF0000"/>
          <w:sz w:val="20"/>
          <w:szCs w:val="20"/>
          <w:highlight w:val="yellow"/>
        </w:rPr>
        <w:t>64</w:t>
      </w:r>
      <w:r w:rsidRPr="00FF7B51">
        <w:rPr>
          <w:rFonts w:ascii="Arial" w:eastAsia="Arial" w:hAnsi="Arial" w:cs="Arial"/>
          <w:color w:val="FF0000"/>
          <w:sz w:val="20"/>
          <w:szCs w:val="20"/>
          <w:highlight w:val="yellow"/>
        </w:rPr>
        <w:t>/202</w:t>
      </w:r>
      <w:r w:rsidR="002865DF" w:rsidRPr="00FF7B51">
        <w:rPr>
          <w:rFonts w:ascii="Arial" w:eastAsia="Arial" w:hAnsi="Arial" w:cs="Arial"/>
          <w:color w:val="FF0000"/>
          <w:sz w:val="20"/>
          <w:szCs w:val="20"/>
          <w:highlight w:val="yellow"/>
        </w:rPr>
        <w:t>4</w:t>
      </w:r>
      <w:r w:rsidR="00DC41DD" w:rsidRPr="00FF7B51">
        <w:rPr>
          <w:rFonts w:ascii="Arial" w:eastAsia="Arial" w:hAnsi="Arial" w:cs="Arial"/>
          <w:color w:val="FF0000"/>
          <w:sz w:val="20"/>
          <w:szCs w:val="20"/>
        </w:rPr>
        <w:t xml:space="preserve"> </w:t>
      </w:r>
      <w:r w:rsidR="00DC41DD" w:rsidRPr="00FF7B51">
        <w:rPr>
          <w:rFonts w:ascii="Arial" w:eastAsia="Arial" w:hAnsi="Arial" w:cs="Arial"/>
          <w:sz w:val="20"/>
          <w:szCs w:val="20"/>
        </w:rPr>
        <w:t xml:space="preserve">e em observância às disposições da </w:t>
      </w:r>
      <w:hyperlink r:id="rId11" w:history="1">
        <w:r w:rsidR="00DC41DD" w:rsidRPr="00FF7B51">
          <w:rPr>
            <w:rStyle w:val="Hyperlink"/>
            <w:rFonts w:ascii="Arial" w:eastAsia="Arial" w:hAnsi="Arial" w:cs="Arial"/>
            <w:sz w:val="20"/>
            <w:szCs w:val="20"/>
          </w:rPr>
          <w:t>Lei nº 14.133, de 1º de abril de 2021</w:t>
        </w:r>
      </w:hyperlink>
      <w:r w:rsidR="00DC41DD" w:rsidRPr="00FF7B51">
        <w:rPr>
          <w:rFonts w:ascii="Arial" w:eastAsia="Arial" w:hAnsi="Arial" w:cs="Arial"/>
          <w:sz w:val="20"/>
          <w:szCs w:val="20"/>
        </w:rPr>
        <w:t xml:space="preserve">, e demais legislação aplicável, resolvem celebrar o presente Termo de Contrato, decorrente </w:t>
      </w:r>
      <w:r w:rsidR="00DC41DD" w:rsidRPr="00FF7B51">
        <w:rPr>
          <w:rFonts w:ascii="Arial" w:eastAsia="Arial" w:hAnsi="Arial" w:cs="Arial"/>
          <w:i/>
          <w:iCs/>
          <w:color w:val="FF0000"/>
          <w:sz w:val="20"/>
          <w:szCs w:val="20"/>
        </w:rPr>
        <w:t xml:space="preserve">do </w:t>
      </w:r>
      <w:r w:rsidR="00DC41DD" w:rsidRPr="00FF7B51">
        <w:rPr>
          <w:rFonts w:ascii="Arial" w:eastAsia="Arial" w:hAnsi="Arial" w:cs="Arial"/>
          <w:i/>
          <w:iCs/>
          <w:color w:val="FF0000"/>
          <w:sz w:val="20"/>
          <w:szCs w:val="20"/>
          <w:highlight w:val="yellow"/>
        </w:rPr>
        <w:t xml:space="preserve">Pregão Eletrônico n. </w:t>
      </w:r>
      <w:r w:rsidR="002865DF" w:rsidRPr="00FF7B51">
        <w:rPr>
          <w:rFonts w:ascii="Arial" w:eastAsia="Arial" w:hAnsi="Arial" w:cs="Arial"/>
          <w:i/>
          <w:iCs/>
          <w:color w:val="FF0000"/>
          <w:sz w:val="20"/>
          <w:szCs w:val="20"/>
          <w:highlight w:val="yellow"/>
        </w:rPr>
        <w:t>0</w:t>
      </w:r>
      <w:r w:rsidR="004D3BCD">
        <w:rPr>
          <w:rFonts w:ascii="Arial" w:eastAsia="Arial" w:hAnsi="Arial" w:cs="Arial"/>
          <w:i/>
          <w:iCs/>
          <w:color w:val="FF0000"/>
          <w:sz w:val="20"/>
          <w:szCs w:val="20"/>
          <w:highlight w:val="yellow"/>
        </w:rPr>
        <w:t>20</w:t>
      </w:r>
      <w:r w:rsidR="00DC41DD" w:rsidRPr="00FF7B51">
        <w:rPr>
          <w:rFonts w:ascii="Arial" w:eastAsia="Arial" w:hAnsi="Arial" w:cs="Arial"/>
          <w:i/>
          <w:iCs/>
          <w:color w:val="FF0000"/>
          <w:sz w:val="20"/>
          <w:szCs w:val="20"/>
          <w:highlight w:val="yellow"/>
        </w:rPr>
        <w:t>./</w:t>
      </w:r>
      <w:r w:rsidR="002865DF" w:rsidRPr="00FF7B51">
        <w:rPr>
          <w:rFonts w:ascii="Arial" w:eastAsia="Arial" w:hAnsi="Arial" w:cs="Arial"/>
          <w:i/>
          <w:iCs/>
          <w:color w:val="FF0000"/>
          <w:sz w:val="20"/>
          <w:szCs w:val="20"/>
          <w:highlight w:val="yellow"/>
        </w:rPr>
        <w:t>2024</w:t>
      </w:r>
      <w:r w:rsidR="00DC41DD" w:rsidRPr="00FF7B51">
        <w:rPr>
          <w:rFonts w:ascii="Arial" w:eastAsia="Arial" w:hAnsi="Arial" w:cs="Arial"/>
          <w:sz w:val="20"/>
          <w:szCs w:val="20"/>
          <w:highlight w:val="yellow"/>
        </w:rPr>
        <w:t>, mediante</w:t>
      </w:r>
      <w:r w:rsidR="00DC41DD" w:rsidRPr="00FF7B51">
        <w:rPr>
          <w:rFonts w:ascii="Arial" w:eastAsia="Arial" w:hAnsi="Arial" w:cs="Arial"/>
          <w:sz w:val="20"/>
          <w:szCs w:val="20"/>
        </w:rPr>
        <w:t xml:space="preserve"> as cláusulas e condições a seguir enunciadas.</w:t>
      </w:r>
    </w:p>
    <w:p w14:paraId="6729116A" w14:textId="5F2B0033" w:rsidR="00DC41DD" w:rsidRPr="00FF7B51" w:rsidRDefault="00DC41DD" w:rsidP="00F8329F">
      <w:pPr>
        <w:pStyle w:val="Nivel01"/>
        <w:numPr>
          <w:ilvl w:val="0"/>
          <w:numId w:val="23"/>
        </w:numPr>
        <w:rPr>
          <w:color w:val="FFFFFF" w:themeColor="background1"/>
        </w:rPr>
      </w:pPr>
      <w:r w:rsidRPr="00FF7B51">
        <w:t>CLÁUSULA PRIMEIRA – OBJETO (</w:t>
      </w:r>
      <w:hyperlink r:id="rId12" w:anchor="art92" w:history="1">
        <w:r w:rsidRPr="00FF7B51">
          <w:rPr>
            <w:rStyle w:val="Hyperlink"/>
          </w:rPr>
          <w:t>art. 92, I e II</w:t>
        </w:r>
      </w:hyperlink>
      <w:r w:rsidRPr="00FF7B51">
        <w:t>)</w:t>
      </w:r>
    </w:p>
    <w:p w14:paraId="6AA4BCAA" w14:textId="0BFCE0CD" w:rsidR="00A36CEB" w:rsidRPr="00FF7B51" w:rsidRDefault="00DC41DD" w:rsidP="004E64AA">
      <w:pPr>
        <w:pStyle w:val="Nivel2"/>
        <w:rPr>
          <w:highlight w:val="yellow"/>
        </w:rPr>
      </w:pPr>
      <w:r w:rsidRPr="00FF7B51">
        <w:rPr>
          <w:highlight w:val="yellow"/>
        </w:rPr>
        <w:t xml:space="preserve">O objeto do presente instrumento é a </w:t>
      </w:r>
      <w:r w:rsidR="001653FF" w:rsidRPr="00FF7B51">
        <w:rPr>
          <w:highlight w:val="yellow"/>
        </w:rPr>
        <w:t xml:space="preserve">Aquisição de </w:t>
      </w:r>
      <w:r w:rsidR="00FF7B51" w:rsidRPr="00FF7B51">
        <w:rPr>
          <w:highlight w:val="yellow"/>
        </w:rPr>
        <w:t>m</w:t>
      </w:r>
      <w:r w:rsidR="004D3BCD">
        <w:rPr>
          <w:highlight w:val="yellow"/>
        </w:rPr>
        <w:t>obiliário</w:t>
      </w:r>
      <w:r w:rsidR="001653FF" w:rsidRPr="00FF7B51">
        <w:rPr>
          <w:highlight w:val="yellow"/>
        </w:rPr>
        <w:t>, conforme condições, quantidades e exigências estabelecidas no edital</w:t>
      </w:r>
    </w:p>
    <w:p w14:paraId="2D8DFE54" w14:textId="16B220A3" w:rsidR="00DC41DD" w:rsidRPr="00FF7B51" w:rsidRDefault="001653FF" w:rsidP="004E64AA">
      <w:pPr>
        <w:pStyle w:val="Nivel2"/>
        <w:rPr>
          <w:highlight w:val="yellow"/>
        </w:rPr>
      </w:pPr>
      <w:r w:rsidRPr="00FF7B51">
        <w:rPr>
          <w:highlight w:val="yellow"/>
        </w:rPr>
        <w:t xml:space="preserve">Recurso oriundo da emenda </w:t>
      </w:r>
      <w:r w:rsidR="00FF7B51" w:rsidRPr="00FF7B51">
        <w:rPr>
          <w:highlight w:val="yellow"/>
        </w:rPr>
        <w:t xml:space="preserve">de Emenda Parlamentar nº </w:t>
      </w:r>
      <w:r w:rsidR="004D3BCD">
        <w:rPr>
          <w:highlight w:val="yellow"/>
        </w:rPr>
        <w:t>151/23</w:t>
      </w:r>
      <w:r w:rsidR="00FF7B51" w:rsidRPr="00FF7B51">
        <w:rPr>
          <w:highlight w:val="yellow"/>
        </w:rPr>
        <w:t xml:space="preserve">, Transferência Especial, através do programa de </w:t>
      </w:r>
      <w:r w:rsidR="004D3BCD">
        <w:rPr>
          <w:highlight w:val="yellow"/>
        </w:rPr>
        <w:t>Investimento na área da Educação</w:t>
      </w:r>
      <w:r w:rsidR="00DC41DD" w:rsidRPr="00FF7B51">
        <w:rPr>
          <w:highlight w:val="yellow"/>
        </w:rPr>
        <w:t>.</w:t>
      </w:r>
    </w:p>
    <w:p w14:paraId="0E9D8656" w14:textId="1CBAF233" w:rsidR="004D3BCD" w:rsidRPr="004D3BCD" w:rsidRDefault="00DC41DD" w:rsidP="004D3BCD">
      <w:pPr>
        <w:pStyle w:val="PargrafodaLista"/>
        <w:spacing w:line="276" w:lineRule="auto"/>
        <w:ind w:left="360" w:hanging="360"/>
        <w:jc w:val="both"/>
        <w:textAlignment w:val="baseline"/>
        <w:rPr>
          <w:rFonts w:ascii="Arial" w:eastAsia="Times New Roman" w:hAnsi="Arial" w:cs="Arial"/>
          <w:b/>
          <w:bCs/>
        </w:rPr>
      </w:pPr>
      <w:r w:rsidRPr="00FF7B51">
        <w:t>Objeto da contrataç</w:t>
      </w:r>
      <w:r w:rsidR="004D3BCD">
        <w:t>ão</w:t>
      </w:r>
    </w:p>
    <w:tbl>
      <w:tblPr>
        <w:tblStyle w:val="Tabelacomgrade"/>
        <w:tblW w:w="9498" w:type="dxa"/>
        <w:tblInd w:w="-5" w:type="dxa"/>
        <w:tblLayout w:type="fixed"/>
        <w:tblLook w:val="04A0" w:firstRow="1" w:lastRow="0" w:firstColumn="1" w:lastColumn="0" w:noHBand="0" w:noVBand="1"/>
      </w:tblPr>
      <w:tblGrid>
        <w:gridCol w:w="566"/>
        <w:gridCol w:w="860"/>
        <w:gridCol w:w="994"/>
        <w:gridCol w:w="4526"/>
        <w:gridCol w:w="1559"/>
        <w:gridCol w:w="993"/>
      </w:tblGrid>
      <w:tr w:rsidR="004D3BCD" w:rsidRPr="004D3BCD" w14:paraId="70B4E006" w14:textId="77777777" w:rsidTr="004D3BCD">
        <w:tc>
          <w:tcPr>
            <w:tcW w:w="566" w:type="dxa"/>
            <w:vAlign w:val="center"/>
          </w:tcPr>
          <w:p w14:paraId="4C3756DA" w14:textId="77777777" w:rsidR="004D3BCD" w:rsidRPr="004D3BCD" w:rsidRDefault="004D3BCD" w:rsidP="004D3BCD">
            <w:pPr>
              <w:ind w:left="-108" w:right="-116"/>
              <w:jc w:val="center"/>
              <w:textAlignment w:val="baseline"/>
              <w:rPr>
                <w:rFonts w:ascii="Arial" w:eastAsia="Times New Roman" w:hAnsi="Arial" w:cs="Arial"/>
                <w:b/>
                <w:bCs/>
              </w:rPr>
            </w:pPr>
            <w:r w:rsidRPr="004D3BCD">
              <w:rPr>
                <w:rFonts w:ascii="Arial" w:eastAsia="Times New Roman" w:hAnsi="Arial" w:cs="Arial"/>
                <w:b/>
                <w:bCs/>
              </w:rPr>
              <w:t>Item</w:t>
            </w:r>
          </w:p>
        </w:tc>
        <w:tc>
          <w:tcPr>
            <w:tcW w:w="860" w:type="dxa"/>
            <w:vAlign w:val="center"/>
          </w:tcPr>
          <w:p w14:paraId="020BB939" w14:textId="77777777" w:rsidR="004D3BCD" w:rsidRPr="004D3BCD" w:rsidRDefault="004D3BCD" w:rsidP="004D3BCD">
            <w:pPr>
              <w:ind w:left="-100" w:right="-108"/>
              <w:jc w:val="center"/>
              <w:textAlignment w:val="baseline"/>
              <w:rPr>
                <w:rFonts w:ascii="Arial" w:eastAsia="Times New Roman" w:hAnsi="Arial" w:cs="Arial"/>
                <w:b/>
                <w:bCs/>
              </w:rPr>
            </w:pPr>
            <w:r w:rsidRPr="004D3BCD">
              <w:rPr>
                <w:rFonts w:ascii="Arial" w:eastAsia="Times New Roman" w:hAnsi="Arial" w:cs="Arial"/>
                <w:b/>
                <w:bCs/>
              </w:rPr>
              <w:t>Quant.</w:t>
            </w:r>
          </w:p>
        </w:tc>
        <w:tc>
          <w:tcPr>
            <w:tcW w:w="994" w:type="dxa"/>
            <w:vAlign w:val="center"/>
          </w:tcPr>
          <w:p w14:paraId="16CD72E3" w14:textId="77777777" w:rsidR="004D3BCD" w:rsidRPr="004D3BCD" w:rsidRDefault="004D3BCD" w:rsidP="004D3BCD">
            <w:pPr>
              <w:ind w:left="-108" w:right="-108"/>
              <w:jc w:val="center"/>
              <w:textAlignment w:val="baseline"/>
              <w:rPr>
                <w:rFonts w:ascii="Arial" w:eastAsia="Times New Roman" w:hAnsi="Arial" w:cs="Arial"/>
                <w:b/>
                <w:bCs/>
              </w:rPr>
            </w:pPr>
            <w:r w:rsidRPr="004D3BCD">
              <w:rPr>
                <w:rFonts w:ascii="Arial" w:eastAsia="Times New Roman" w:hAnsi="Arial" w:cs="Arial"/>
                <w:b/>
                <w:bCs/>
              </w:rPr>
              <w:t>Unidade</w:t>
            </w:r>
          </w:p>
        </w:tc>
        <w:tc>
          <w:tcPr>
            <w:tcW w:w="4526" w:type="dxa"/>
            <w:vAlign w:val="center"/>
          </w:tcPr>
          <w:p w14:paraId="62BD2444" w14:textId="77777777" w:rsidR="004D3BCD" w:rsidRPr="004D3BCD" w:rsidRDefault="004D3BCD" w:rsidP="004D3BCD">
            <w:pPr>
              <w:jc w:val="both"/>
              <w:textAlignment w:val="baseline"/>
              <w:rPr>
                <w:rFonts w:ascii="Arial" w:eastAsia="Times New Roman" w:hAnsi="Arial" w:cs="Arial"/>
                <w:b/>
                <w:bCs/>
              </w:rPr>
            </w:pPr>
            <w:r w:rsidRPr="004D3BCD">
              <w:rPr>
                <w:rFonts w:ascii="Arial" w:eastAsia="Times New Roman" w:hAnsi="Arial" w:cs="Arial"/>
                <w:b/>
                <w:bCs/>
              </w:rPr>
              <w:t>Especificação do Item</w:t>
            </w:r>
          </w:p>
        </w:tc>
        <w:tc>
          <w:tcPr>
            <w:tcW w:w="1559" w:type="dxa"/>
            <w:vAlign w:val="center"/>
          </w:tcPr>
          <w:p w14:paraId="0D251F38" w14:textId="285FBDD8" w:rsidR="004D3BCD" w:rsidRPr="004D3BCD" w:rsidRDefault="004D3BCD" w:rsidP="004D3BCD">
            <w:pPr>
              <w:jc w:val="center"/>
              <w:textAlignment w:val="baseline"/>
              <w:rPr>
                <w:rFonts w:ascii="Arial" w:eastAsia="Times New Roman" w:hAnsi="Arial" w:cs="Arial"/>
                <w:b/>
                <w:bCs/>
              </w:rPr>
            </w:pPr>
            <w:r w:rsidRPr="004D3BCD">
              <w:rPr>
                <w:rFonts w:ascii="Arial" w:eastAsia="Times New Roman" w:hAnsi="Arial" w:cs="Arial"/>
                <w:b/>
                <w:bCs/>
              </w:rPr>
              <w:t>Valor De Referência – R$</w:t>
            </w:r>
          </w:p>
        </w:tc>
        <w:tc>
          <w:tcPr>
            <w:tcW w:w="993" w:type="dxa"/>
          </w:tcPr>
          <w:p w14:paraId="642B6B01" w14:textId="38E5401A" w:rsidR="004D3BCD" w:rsidRPr="004D3BCD" w:rsidRDefault="004D3BCD" w:rsidP="004D3BCD">
            <w:pPr>
              <w:jc w:val="center"/>
              <w:textAlignment w:val="baseline"/>
              <w:rPr>
                <w:rFonts w:ascii="Arial" w:eastAsia="Times New Roman" w:hAnsi="Arial" w:cs="Arial"/>
                <w:b/>
                <w:bCs/>
              </w:rPr>
            </w:pPr>
            <w:r w:rsidRPr="004D3BCD">
              <w:rPr>
                <w:rFonts w:ascii="Arial" w:eastAsia="Times New Roman" w:hAnsi="Arial" w:cs="Arial"/>
                <w:b/>
                <w:bCs/>
              </w:rPr>
              <w:t>Valor Total – R$</w:t>
            </w:r>
          </w:p>
        </w:tc>
      </w:tr>
      <w:tr w:rsidR="004D3BCD" w:rsidRPr="004D3BCD" w14:paraId="36E74701" w14:textId="77777777" w:rsidTr="004D3BCD">
        <w:trPr>
          <w:trHeight w:val="294"/>
        </w:trPr>
        <w:tc>
          <w:tcPr>
            <w:tcW w:w="566" w:type="dxa"/>
            <w:vAlign w:val="center"/>
          </w:tcPr>
          <w:p w14:paraId="66033E23" w14:textId="77777777" w:rsidR="004D3BCD" w:rsidRPr="004D3BCD" w:rsidRDefault="004D3BCD" w:rsidP="004D3BCD">
            <w:pPr>
              <w:ind w:left="-108" w:right="-116"/>
              <w:jc w:val="center"/>
              <w:textAlignment w:val="baseline"/>
              <w:rPr>
                <w:rFonts w:ascii="Arial" w:eastAsia="Times New Roman" w:hAnsi="Arial" w:cs="Arial"/>
                <w:b/>
                <w:bCs/>
              </w:rPr>
            </w:pPr>
            <w:r w:rsidRPr="004D3BCD">
              <w:rPr>
                <w:rFonts w:ascii="Arial" w:eastAsia="Times New Roman" w:hAnsi="Arial" w:cs="Arial"/>
                <w:b/>
                <w:bCs/>
              </w:rPr>
              <w:t>1</w:t>
            </w:r>
          </w:p>
        </w:tc>
        <w:tc>
          <w:tcPr>
            <w:tcW w:w="860" w:type="dxa"/>
            <w:vAlign w:val="center"/>
          </w:tcPr>
          <w:p w14:paraId="2573BD93" w14:textId="77777777" w:rsidR="004D3BCD" w:rsidRPr="004D3BCD" w:rsidRDefault="004D3BCD" w:rsidP="004D3BCD">
            <w:pPr>
              <w:ind w:left="-100" w:right="-108"/>
              <w:jc w:val="center"/>
              <w:textAlignment w:val="baseline"/>
              <w:rPr>
                <w:rFonts w:ascii="Arial" w:eastAsia="Times New Roman" w:hAnsi="Arial" w:cs="Arial"/>
                <w:b/>
                <w:bCs/>
              </w:rPr>
            </w:pPr>
            <w:r w:rsidRPr="004D3BCD">
              <w:rPr>
                <w:rFonts w:ascii="Arial" w:eastAsia="Times New Roman" w:hAnsi="Arial" w:cs="Arial"/>
                <w:b/>
                <w:bCs/>
              </w:rPr>
              <w:t>06</w:t>
            </w:r>
          </w:p>
        </w:tc>
        <w:tc>
          <w:tcPr>
            <w:tcW w:w="994" w:type="dxa"/>
            <w:vAlign w:val="center"/>
          </w:tcPr>
          <w:p w14:paraId="643C89B7" w14:textId="77777777" w:rsidR="004D3BCD" w:rsidRPr="004D3BCD" w:rsidRDefault="004D3BCD" w:rsidP="004D3BCD">
            <w:pPr>
              <w:ind w:left="-108" w:right="-108"/>
              <w:jc w:val="center"/>
              <w:textAlignment w:val="baseline"/>
              <w:rPr>
                <w:rFonts w:ascii="Arial" w:eastAsia="Times New Roman" w:hAnsi="Arial" w:cs="Arial"/>
                <w:b/>
                <w:bCs/>
              </w:rPr>
            </w:pPr>
            <w:r w:rsidRPr="004D3BCD">
              <w:rPr>
                <w:rFonts w:ascii="Arial" w:eastAsia="Times New Roman" w:hAnsi="Arial" w:cs="Arial"/>
                <w:b/>
                <w:bCs/>
              </w:rPr>
              <w:t>UN</w:t>
            </w:r>
          </w:p>
        </w:tc>
        <w:tc>
          <w:tcPr>
            <w:tcW w:w="4526" w:type="dxa"/>
            <w:vAlign w:val="center"/>
          </w:tcPr>
          <w:p w14:paraId="017C1F1B" w14:textId="77777777" w:rsidR="004D3BCD" w:rsidRPr="004D3BCD" w:rsidRDefault="004D3BCD" w:rsidP="004D3BCD">
            <w:pPr>
              <w:jc w:val="both"/>
              <w:rPr>
                <w:rFonts w:ascii="Arial" w:hAnsi="Arial" w:cs="Arial"/>
              </w:rPr>
            </w:pPr>
            <w:r w:rsidRPr="004D3BCD">
              <w:rPr>
                <w:rStyle w:val="cav--c-gnpphv"/>
                <w:rFonts w:ascii="Arial" w:hAnsi="Arial" w:cs="Arial"/>
              </w:rPr>
              <w:t xml:space="preserve">Conjunto Escolar Sextavado Infantil Colorido. </w:t>
            </w:r>
            <w:r w:rsidRPr="004D3BCD">
              <w:rPr>
                <w:rFonts w:ascii="Arial" w:hAnsi="Arial" w:cs="Arial"/>
              </w:rPr>
              <w:t xml:space="preserve">Conjunto sextavado infantil composto de 06 cadeiras, 06 carteiras e uma mesa central formando um círculo colorido tipo flor. Cadeiras e carteiras fabricadas com estrutura metálica em tubo 3/4 paredes 0,90 mm com reforço nos pés das carteiras. Todos os metais são soldados com solda especial </w:t>
            </w:r>
            <w:proofErr w:type="spellStart"/>
            <w:r w:rsidRPr="004D3BCD">
              <w:rPr>
                <w:rFonts w:ascii="Arial" w:hAnsi="Arial" w:cs="Arial"/>
              </w:rPr>
              <w:t>mig</w:t>
            </w:r>
            <w:proofErr w:type="spellEnd"/>
            <w:r w:rsidRPr="004D3BCD">
              <w:rPr>
                <w:rFonts w:ascii="Arial" w:hAnsi="Arial" w:cs="Arial"/>
              </w:rPr>
              <w:t xml:space="preserve">. Carteira com gradil porta livros de ferro ¼ redondo. Tampo da carteira no tamanho 71 x 35 x 35 cm confeccionado em MDF 15 mm revestido em fórmica colorida lisa brilhante em formato trapezoidal para unir-se perfeitamente com a mesa central sextavada de 58 x 58 cm também em MDF 15 mm revestida em fórmica branca. Especificações: Bordas das mesas arredondadas, acabamento em perfil de PVC tipo T na cor preta; Requadro da mesa central confeccionado em tubo 20 x 20 mm e pés palito confeccionados em tubo 30 x 30 mm; Cadeiras confeccionadas em compensado </w:t>
            </w:r>
            <w:proofErr w:type="spellStart"/>
            <w:r w:rsidRPr="004D3BCD">
              <w:rPr>
                <w:rFonts w:ascii="Arial" w:hAnsi="Arial" w:cs="Arial"/>
              </w:rPr>
              <w:t>multilaminado</w:t>
            </w:r>
            <w:proofErr w:type="spellEnd"/>
            <w:r w:rsidRPr="004D3BCD">
              <w:rPr>
                <w:rFonts w:ascii="Arial" w:hAnsi="Arial" w:cs="Arial"/>
              </w:rPr>
              <w:t xml:space="preserve"> de 10 mm </w:t>
            </w:r>
            <w:proofErr w:type="spellStart"/>
            <w:r w:rsidRPr="004D3BCD">
              <w:rPr>
                <w:rFonts w:ascii="Arial" w:hAnsi="Arial" w:cs="Arial"/>
              </w:rPr>
              <w:t>semi-anatômico</w:t>
            </w:r>
            <w:proofErr w:type="spellEnd"/>
            <w:r w:rsidRPr="004D3BCD">
              <w:rPr>
                <w:rFonts w:ascii="Arial" w:hAnsi="Arial" w:cs="Arial"/>
              </w:rPr>
              <w:t xml:space="preserve">; Assento de tamanho 30 x 30 cm; Encosto 30 x 16 cm, revestidos em fórmica lisa brilhante 0,8 mm possuindo oito cores; Assento e encosto das cadeiras fixados com rebites de alumínio na estrutura; Carteiras com altura total de 58 cm; Cadeiras medindo 32 cm de altura do chão até o assento; Acabamento das carteiras e das cadeiras com ponteiras em polipropileno de alta resistência tipo bola; Estruturas metálicas recebem tratamento </w:t>
            </w:r>
            <w:proofErr w:type="spellStart"/>
            <w:r w:rsidRPr="004D3BCD">
              <w:rPr>
                <w:rFonts w:ascii="Arial" w:hAnsi="Arial" w:cs="Arial"/>
              </w:rPr>
              <w:t>anti-ferrugem</w:t>
            </w:r>
            <w:proofErr w:type="spellEnd"/>
            <w:r w:rsidRPr="004D3BCD">
              <w:rPr>
                <w:rFonts w:ascii="Arial" w:hAnsi="Arial" w:cs="Arial"/>
              </w:rPr>
              <w:t xml:space="preserve"> e pintura epóxi pó poliéster; Total do diâmetro da mesa sextavada infantil 1,29 cm. Idade sugerida: de 3 a 6 anos. Atenção: O prazo para produção e expedição varia entre 10 e 15 dias. Em caso de dúvidas entrar em contato.</w:t>
            </w:r>
          </w:p>
        </w:tc>
        <w:tc>
          <w:tcPr>
            <w:tcW w:w="1559" w:type="dxa"/>
            <w:vAlign w:val="center"/>
          </w:tcPr>
          <w:p w14:paraId="11C1F852" w14:textId="1BEC46C8" w:rsidR="004D3BCD" w:rsidRPr="004D3BCD" w:rsidRDefault="004D3BCD" w:rsidP="004D3BCD">
            <w:pPr>
              <w:jc w:val="center"/>
              <w:textAlignment w:val="baseline"/>
              <w:rPr>
                <w:rFonts w:ascii="Arial" w:eastAsia="Times New Roman" w:hAnsi="Arial" w:cs="Arial"/>
                <w:b/>
                <w:bCs/>
              </w:rPr>
            </w:pPr>
          </w:p>
        </w:tc>
        <w:tc>
          <w:tcPr>
            <w:tcW w:w="993" w:type="dxa"/>
          </w:tcPr>
          <w:p w14:paraId="03678F0B" w14:textId="142A54BB" w:rsidR="004D3BCD" w:rsidRPr="004D3BCD" w:rsidRDefault="004D3BCD" w:rsidP="004D3BCD">
            <w:pPr>
              <w:jc w:val="center"/>
              <w:textAlignment w:val="baseline"/>
              <w:rPr>
                <w:rFonts w:ascii="Arial" w:eastAsia="Times New Roman" w:hAnsi="Arial" w:cs="Arial"/>
                <w:b/>
                <w:bCs/>
              </w:rPr>
            </w:pPr>
          </w:p>
        </w:tc>
      </w:tr>
      <w:tr w:rsidR="004D3BCD" w:rsidRPr="004D3BCD" w14:paraId="09559F53" w14:textId="77777777" w:rsidTr="004D3BCD">
        <w:trPr>
          <w:trHeight w:val="294"/>
        </w:trPr>
        <w:tc>
          <w:tcPr>
            <w:tcW w:w="566" w:type="dxa"/>
            <w:vAlign w:val="center"/>
          </w:tcPr>
          <w:p w14:paraId="619BB911" w14:textId="77777777" w:rsidR="004D3BCD" w:rsidRPr="004D3BCD" w:rsidRDefault="004D3BCD" w:rsidP="004D3BCD">
            <w:pPr>
              <w:ind w:left="-108" w:right="-116"/>
              <w:jc w:val="center"/>
              <w:textAlignment w:val="baseline"/>
              <w:rPr>
                <w:rFonts w:ascii="Arial" w:eastAsia="Times New Roman" w:hAnsi="Arial" w:cs="Arial"/>
                <w:b/>
                <w:bCs/>
              </w:rPr>
            </w:pPr>
            <w:r w:rsidRPr="004D3BCD">
              <w:rPr>
                <w:rFonts w:ascii="Arial" w:eastAsia="Times New Roman" w:hAnsi="Arial" w:cs="Arial"/>
                <w:b/>
                <w:bCs/>
              </w:rPr>
              <w:t>2</w:t>
            </w:r>
          </w:p>
        </w:tc>
        <w:tc>
          <w:tcPr>
            <w:tcW w:w="860" w:type="dxa"/>
            <w:vAlign w:val="center"/>
          </w:tcPr>
          <w:p w14:paraId="2E17BADC" w14:textId="77777777" w:rsidR="004D3BCD" w:rsidRPr="004D3BCD" w:rsidRDefault="004D3BCD" w:rsidP="004D3BCD">
            <w:pPr>
              <w:ind w:left="-100" w:right="-108"/>
              <w:jc w:val="center"/>
              <w:textAlignment w:val="baseline"/>
              <w:rPr>
                <w:rFonts w:ascii="Arial" w:eastAsia="Times New Roman" w:hAnsi="Arial" w:cs="Arial"/>
                <w:b/>
                <w:bCs/>
              </w:rPr>
            </w:pPr>
            <w:r w:rsidRPr="004D3BCD">
              <w:rPr>
                <w:rFonts w:ascii="Arial" w:eastAsia="Times New Roman" w:hAnsi="Arial" w:cs="Arial"/>
                <w:b/>
                <w:bCs/>
              </w:rPr>
              <w:t>03</w:t>
            </w:r>
          </w:p>
        </w:tc>
        <w:tc>
          <w:tcPr>
            <w:tcW w:w="994" w:type="dxa"/>
            <w:vAlign w:val="center"/>
          </w:tcPr>
          <w:p w14:paraId="5F686329" w14:textId="77777777" w:rsidR="004D3BCD" w:rsidRPr="004D3BCD" w:rsidRDefault="004D3BCD" w:rsidP="004D3BCD">
            <w:pPr>
              <w:ind w:left="-108" w:right="-108"/>
              <w:jc w:val="center"/>
              <w:textAlignment w:val="baseline"/>
              <w:rPr>
                <w:rFonts w:ascii="Arial" w:eastAsia="Times New Roman" w:hAnsi="Arial" w:cs="Arial"/>
                <w:b/>
                <w:bCs/>
              </w:rPr>
            </w:pPr>
            <w:r w:rsidRPr="004D3BCD">
              <w:rPr>
                <w:rFonts w:ascii="Arial" w:eastAsia="Times New Roman" w:hAnsi="Arial" w:cs="Arial"/>
                <w:b/>
                <w:bCs/>
              </w:rPr>
              <w:t>UN</w:t>
            </w:r>
          </w:p>
        </w:tc>
        <w:tc>
          <w:tcPr>
            <w:tcW w:w="4526" w:type="dxa"/>
            <w:vAlign w:val="center"/>
          </w:tcPr>
          <w:p w14:paraId="42B1028C" w14:textId="77777777" w:rsidR="004D3BCD" w:rsidRPr="004D3BCD" w:rsidRDefault="004D3BCD" w:rsidP="004D3BCD">
            <w:pPr>
              <w:jc w:val="both"/>
              <w:rPr>
                <w:rStyle w:val="cav--c-gnpphv"/>
                <w:rFonts w:ascii="Arial" w:hAnsi="Arial" w:cs="Arial"/>
              </w:rPr>
            </w:pPr>
            <w:r w:rsidRPr="004D3BCD">
              <w:rPr>
                <w:rFonts w:ascii="Arial" w:hAnsi="Arial" w:cs="Arial"/>
              </w:rPr>
              <w:t>Mesa de Alimentação para Berçário com 4 lugares. A </w:t>
            </w:r>
            <w:r w:rsidRPr="004D3BCD">
              <w:rPr>
                <w:rFonts w:ascii="Arial" w:hAnsi="Arial" w:cs="Arial"/>
                <w:b/>
                <w:bCs/>
              </w:rPr>
              <w:t>Mesa de Alimentação para Berçário com 4 lugares</w:t>
            </w:r>
            <w:r w:rsidRPr="004D3BCD">
              <w:rPr>
                <w:rFonts w:ascii="Arial" w:hAnsi="Arial" w:cs="Arial"/>
              </w:rPr>
              <w:t xml:space="preserve"> possui estrutura com pés em tubo de aço 1 </w:t>
            </w:r>
            <w:proofErr w:type="gramStart"/>
            <w:r w:rsidRPr="004D3BCD">
              <w:rPr>
                <w:rFonts w:ascii="Arial" w:hAnsi="Arial" w:cs="Arial"/>
              </w:rPr>
              <w:t>½(</w:t>
            </w:r>
            <w:proofErr w:type="gramEnd"/>
            <w:r w:rsidRPr="004D3BCD">
              <w:rPr>
                <w:rFonts w:ascii="Arial" w:hAnsi="Arial" w:cs="Arial"/>
              </w:rPr>
              <w:t xml:space="preserve">parede 1,50). Laterais com tubo 1 </w:t>
            </w:r>
            <w:proofErr w:type="gramStart"/>
            <w:r w:rsidRPr="004D3BCD">
              <w:rPr>
                <w:rFonts w:ascii="Arial" w:hAnsi="Arial" w:cs="Arial"/>
              </w:rPr>
              <w:t>¼(</w:t>
            </w:r>
            <w:proofErr w:type="gramEnd"/>
            <w:r w:rsidRPr="004D3BCD">
              <w:rPr>
                <w:rFonts w:ascii="Arial" w:hAnsi="Arial" w:cs="Arial"/>
              </w:rPr>
              <w:t xml:space="preserve">parede 1,50) com barramento duplo. Travessa superior em tubo 1 </w:t>
            </w:r>
            <w:proofErr w:type="gramStart"/>
            <w:r w:rsidRPr="004D3BCD">
              <w:rPr>
                <w:rFonts w:ascii="Arial" w:hAnsi="Arial" w:cs="Arial"/>
              </w:rPr>
              <w:t>¼(</w:t>
            </w:r>
            <w:proofErr w:type="gramEnd"/>
            <w:r w:rsidRPr="004D3BCD">
              <w:rPr>
                <w:rFonts w:ascii="Arial" w:hAnsi="Arial" w:cs="Arial"/>
              </w:rPr>
              <w:t xml:space="preserve">parede 1,50)de apoio ao </w:t>
            </w:r>
            <w:proofErr w:type="spellStart"/>
            <w:r w:rsidRPr="004D3BCD">
              <w:rPr>
                <w:rFonts w:ascii="Arial" w:hAnsi="Arial" w:cs="Arial"/>
              </w:rPr>
              <w:t>tampo.Travessa</w:t>
            </w:r>
            <w:proofErr w:type="spellEnd"/>
            <w:r w:rsidRPr="004D3BCD">
              <w:rPr>
                <w:rFonts w:ascii="Arial" w:hAnsi="Arial" w:cs="Arial"/>
              </w:rPr>
              <w:t xml:space="preserve"> horizontal em tubo de aço 1/1/4(parede 1,50) para unir as laterais da mesa. Fechamento dos topos e sapatas com ponteiras injetadas na cor laranja, fixadas através de encaixe e rebitadas a estrutura através de rebites de repuxo de alumínio 4,8 x 16.</w:t>
            </w:r>
            <w:r w:rsidRPr="004D3BCD">
              <w:rPr>
                <w:rFonts w:ascii="Arial" w:hAnsi="Arial" w:cs="Arial"/>
              </w:rPr>
              <w:br/>
              <w:t xml:space="preserve">Nas partes metálicas deve ser aplicado tratamento </w:t>
            </w:r>
            <w:proofErr w:type="spellStart"/>
            <w:r w:rsidRPr="004D3BCD">
              <w:rPr>
                <w:rFonts w:ascii="Arial" w:hAnsi="Arial" w:cs="Arial"/>
              </w:rPr>
              <w:t>anti-ferruginoso</w:t>
            </w:r>
            <w:proofErr w:type="spellEnd"/>
            <w:r w:rsidRPr="004D3BCD">
              <w:rPr>
                <w:rFonts w:ascii="Arial" w:hAnsi="Arial" w:cs="Arial"/>
              </w:rPr>
              <w:t xml:space="preserve"> que assegure resistência à corrosão por exposição à névoa salina. Solda deve possuir superfície lisa e homogênea, não devendo apresentar pontos cortantes. Pintura por sistema em epóxi pó. Tampo </w:t>
            </w:r>
            <w:r w:rsidRPr="004D3BCD">
              <w:rPr>
                <w:rFonts w:ascii="Arial" w:hAnsi="Arial" w:cs="Arial"/>
                <w:b/>
                <w:bCs/>
              </w:rPr>
              <w:t>(1800 mm x 850 mm)</w:t>
            </w:r>
            <w:r w:rsidRPr="004D3BCD">
              <w:rPr>
                <w:rFonts w:ascii="Arial" w:hAnsi="Arial" w:cs="Arial"/>
              </w:rPr>
              <w:t> em madeira MDF de 18 mm de espessura revestido em laminado melamínico na cor casca de ovo(bege) com 0,8 mm de espessura. A </w:t>
            </w:r>
            <w:r w:rsidRPr="004D3BCD">
              <w:rPr>
                <w:rFonts w:ascii="Arial" w:hAnsi="Arial" w:cs="Arial"/>
                <w:b/>
                <w:bCs/>
              </w:rPr>
              <w:t xml:space="preserve">Mesa de Alimentação para Berçário com 4 </w:t>
            </w:r>
            <w:proofErr w:type="gramStart"/>
            <w:r w:rsidRPr="004D3BCD">
              <w:rPr>
                <w:rFonts w:ascii="Arial" w:hAnsi="Arial" w:cs="Arial"/>
                <w:b/>
                <w:bCs/>
              </w:rPr>
              <w:t>lugares  </w:t>
            </w:r>
            <w:r w:rsidRPr="004D3BCD">
              <w:rPr>
                <w:rFonts w:ascii="Arial" w:hAnsi="Arial" w:cs="Arial"/>
              </w:rPr>
              <w:t>tem</w:t>
            </w:r>
            <w:proofErr w:type="gramEnd"/>
            <w:r w:rsidRPr="004D3BCD">
              <w:rPr>
                <w:rFonts w:ascii="Arial" w:hAnsi="Arial" w:cs="Arial"/>
              </w:rPr>
              <w:t xml:space="preserve"> um acabamento das bordas em perfil PVC de 21 mm em forma arredondada com raio de curvatura de 20 mm na cor bege. No tampo são embutidas buchas americanas preparadas para receber os parafusos de 1/4 x 43 mm que irão fixar o mesmo à estrutura e a base de sustentação das conchas é fixada por parafusos 1/4 x 12 mm.</w:t>
            </w:r>
            <w:r w:rsidRPr="004D3BCD">
              <w:rPr>
                <w:rFonts w:ascii="Arial" w:hAnsi="Arial" w:cs="Arial"/>
              </w:rPr>
              <w:br/>
              <w:t>No tampo da </w:t>
            </w:r>
            <w:r w:rsidRPr="004D3BCD">
              <w:rPr>
                <w:rFonts w:ascii="Arial" w:hAnsi="Arial" w:cs="Arial"/>
                <w:b/>
                <w:bCs/>
              </w:rPr>
              <w:t>Mesa de Alimentação para Berçário com 4 lugares </w:t>
            </w:r>
            <w:r w:rsidRPr="004D3BCD">
              <w:rPr>
                <w:rFonts w:ascii="Arial" w:hAnsi="Arial" w:cs="Arial"/>
              </w:rPr>
              <w:t>são usinados orifícios para encaixe das conchas (assento) confeccionadas em resina plástica nas dimensões de área útil </w:t>
            </w:r>
            <w:r w:rsidRPr="004D3BCD">
              <w:rPr>
                <w:rFonts w:ascii="Arial" w:hAnsi="Arial" w:cs="Arial"/>
                <w:b/>
                <w:bCs/>
              </w:rPr>
              <w:t>(Largura 280 mm x Profundidade 190 mm x altura encosto de 220 mm)</w:t>
            </w:r>
            <w:r w:rsidRPr="004D3BCD">
              <w:rPr>
                <w:rFonts w:ascii="Arial" w:hAnsi="Arial" w:cs="Arial"/>
              </w:rPr>
              <w:t>, sendo que na parte frontal apresenta saliência de raio de 40 mm para melhor acomodação e conforto.</w:t>
            </w:r>
            <w:r w:rsidRPr="004D3BCD">
              <w:rPr>
                <w:rFonts w:ascii="Arial" w:hAnsi="Arial" w:cs="Arial"/>
              </w:rPr>
              <w:br/>
              <w:t>Na parte posterior do encosto possui injetadas duas saliências (nervuras) para garantir maior resistência, acompanhadas de proteção estofada em material EVA e dotadas de cinto de segurança que permite a remoção para higienização. A </w:t>
            </w:r>
            <w:r w:rsidRPr="004D3BCD">
              <w:rPr>
                <w:rFonts w:ascii="Arial" w:hAnsi="Arial" w:cs="Arial"/>
                <w:b/>
                <w:bCs/>
              </w:rPr>
              <w:t>Mesa de Alimentação para Berçário com 4 lugares</w:t>
            </w:r>
            <w:r w:rsidRPr="004D3BCD">
              <w:rPr>
                <w:rFonts w:ascii="Arial" w:hAnsi="Arial" w:cs="Arial"/>
              </w:rPr>
              <w:t> possui bases de sustentação das conchas são em tubo de aço ¾ (parede 1,06) onde as conchas serão fixadas à mesma por rebites 4,8 x 16.</w:t>
            </w:r>
            <w:r w:rsidRPr="004D3BCD">
              <w:rPr>
                <w:rFonts w:ascii="Arial" w:hAnsi="Arial" w:cs="Arial"/>
              </w:rPr>
              <w:br/>
              <w:t>Cinco lugares.</w:t>
            </w:r>
          </w:p>
        </w:tc>
        <w:tc>
          <w:tcPr>
            <w:tcW w:w="1559" w:type="dxa"/>
            <w:vAlign w:val="center"/>
          </w:tcPr>
          <w:p w14:paraId="1BBB88DB" w14:textId="52642538" w:rsidR="004D3BCD" w:rsidRPr="004D3BCD" w:rsidRDefault="004D3BCD" w:rsidP="004D3BCD">
            <w:pPr>
              <w:jc w:val="center"/>
              <w:textAlignment w:val="baseline"/>
              <w:rPr>
                <w:rFonts w:ascii="Arial" w:eastAsia="Times New Roman" w:hAnsi="Arial" w:cs="Arial"/>
                <w:b/>
                <w:bCs/>
              </w:rPr>
            </w:pPr>
          </w:p>
        </w:tc>
        <w:tc>
          <w:tcPr>
            <w:tcW w:w="993" w:type="dxa"/>
          </w:tcPr>
          <w:p w14:paraId="78D11D15" w14:textId="37014C3F" w:rsidR="004D3BCD" w:rsidRPr="004D3BCD" w:rsidRDefault="004D3BCD" w:rsidP="004D3BCD">
            <w:pPr>
              <w:jc w:val="center"/>
              <w:textAlignment w:val="baseline"/>
              <w:rPr>
                <w:rFonts w:ascii="Arial" w:eastAsia="Times New Roman" w:hAnsi="Arial" w:cs="Arial"/>
                <w:b/>
                <w:bCs/>
              </w:rPr>
            </w:pPr>
          </w:p>
        </w:tc>
      </w:tr>
      <w:tr w:rsidR="004D3BCD" w:rsidRPr="004D3BCD" w14:paraId="2EB8B73A" w14:textId="77777777" w:rsidTr="004D3BCD">
        <w:trPr>
          <w:trHeight w:val="294"/>
        </w:trPr>
        <w:tc>
          <w:tcPr>
            <w:tcW w:w="566" w:type="dxa"/>
            <w:vAlign w:val="center"/>
          </w:tcPr>
          <w:p w14:paraId="34CDEDD2" w14:textId="77777777" w:rsidR="004D3BCD" w:rsidRPr="004D3BCD" w:rsidRDefault="004D3BCD" w:rsidP="004D3BCD">
            <w:pPr>
              <w:ind w:left="-108" w:right="-116"/>
              <w:jc w:val="center"/>
              <w:textAlignment w:val="baseline"/>
              <w:rPr>
                <w:rFonts w:ascii="Arial" w:eastAsia="Times New Roman" w:hAnsi="Arial" w:cs="Arial"/>
                <w:b/>
                <w:bCs/>
              </w:rPr>
            </w:pPr>
            <w:r w:rsidRPr="004D3BCD">
              <w:rPr>
                <w:rFonts w:ascii="Arial" w:eastAsia="Times New Roman" w:hAnsi="Arial" w:cs="Arial"/>
                <w:b/>
                <w:bCs/>
              </w:rPr>
              <w:t>3</w:t>
            </w:r>
          </w:p>
        </w:tc>
        <w:tc>
          <w:tcPr>
            <w:tcW w:w="860" w:type="dxa"/>
            <w:vAlign w:val="center"/>
          </w:tcPr>
          <w:p w14:paraId="5B2973BE" w14:textId="77777777" w:rsidR="004D3BCD" w:rsidRPr="004D3BCD" w:rsidRDefault="004D3BCD" w:rsidP="004D3BCD">
            <w:pPr>
              <w:ind w:left="-100" w:right="-108"/>
              <w:jc w:val="center"/>
              <w:textAlignment w:val="baseline"/>
              <w:rPr>
                <w:rFonts w:ascii="Arial" w:eastAsia="Times New Roman" w:hAnsi="Arial" w:cs="Arial"/>
                <w:b/>
                <w:bCs/>
              </w:rPr>
            </w:pPr>
            <w:r w:rsidRPr="004D3BCD">
              <w:rPr>
                <w:rFonts w:ascii="Arial" w:eastAsia="Times New Roman" w:hAnsi="Arial" w:cs="Arial"/>
                <w:b/>
                <w:bCs/>
              </w:rPr>
              <w:t>08</w:t>
            </w:r>
          </w:p>
        </w:tc>
        <w:tc>
          <w:tcPr>
            <w:tcW w:w="994" w:type="dxa"/>
            <w:vAlign w:val="center"/>
          </w:tcPr>
          <w:p w14:paraId="604A33C9" w14:textId="77777777" w:rsidR="004D3BCD" w:rsidRPr="004D3BCD" w:rsidRDefault="004D3BCD" w:rsidP="004D3BCD">
            <w:pPr>
              <w:ind w:left="-108" w:right="-108"/>
              <w:jc w:val="center"/>
              <w:textAlignment w:val="baseline"/>
              <w:rPr>
                <w:rFonts w:ascii="Arial" w:eastAsia="Times New Roman" w:hAnsi="Arial" w:cs="Arial"/>
                <w:b/>
                <w:bCs/>
              </w:rPr>
            </w:pPr>
            <w:r w:rsidRPr="004D3BCD">
              <w:rPr>
                <w:rFonts w:ascii="Arial" w:eastAsia="Times New Roman" w:hAnsi="Arial" w:cs="Arial"/>
                <w:b/>
                <w:bCs/>
              </w:rPr>
              <w:t>UN</w:t>
            </w:r>
          </w:p>
        </w:tc>
        <w:tc>
          <w:tcPr>
            <w:tcW w:w="4526" w:type="dxa"/>
            <w:vAlign w:val="center"/>
          </w:tcPr>
          <w:p w14:paraId="19B19837" w14:textId="77777777" w:rsidR="004D3BCD" w:rsidRPr="004D3BCD" w:rsidRDefault="004D3BCD" w:rsidP="004D3BCD">
            <w:pPr>
              <w:rPr>
                <w:rFonts w:ascii="Arial" w:hAnsi="Arial" w:cs="Arial"/>
              </w:rPr>
            </w:pPr>
            <w:r w:rsidRPr="004D3BCD">
              <w:rPr>
                <w:rFonts w:ascii="Arial" w:hAnsi="Arial" w:cs="Arial"/>
              </w:rPr>
              <w:t xml:space="preserve">Cadeira Operativa Plus Secretária </w:t>
            </w:r>
            <w:proofErr w:type="spellStart"/>
            <w:r w:rsidRPr="004D3BCD">
              <w:rPr>
                <w:rFonts w:ascii="Arial" w:hAnsi="Arial" w:cs="Arial"/>
              </w:rPr>
              <w:t>Slim</w:t>
            </w:r>
            <w:proofErr w:type="spellEnd"/>
            <w:r w:rsidRPr="004D3BCD">
              <w:rPr>
                <w:rFonts w:ascii="Arial" w:hAnsi="Arial" w:cs="Arial"/>
              </w:rPr>
              <w:t xml:space="preserve"> PLAXMETAL</w:t>
            </w:r>
            <w:r w:rsidRPr="004D3BCD">
              <w:rPr>
                <w:rFonts w:ascii="Arial" w:hAnsi="Arial" w:cs="Arial"/>
                <w:b/>
                <w:bCs/>
              </w:rPr>
              <w:t xml:space="preserve">. </w:t>
            </w:r>
            <w:proofErr w:type="gramStart"/>
            <w:r w:rsidRPr="004D3BCD">
              <w:rPr>
                <w:rFonts w:ascii="Arial" w:hAnsi="Arial" w:cs="Arial"/>
              </w:rPr>
              <w:t>  Modelo</w:t>
            </w:r>
            <w:proofErr w:type="gramEnd"/>
            <w:r w:rsidRPr="004D3BCD">
              <w:rPr>
                <w:rFonts w:ascii="Arial" w:hAnsi="Arial" w:cs="Arial"/>
              </w:rPr>
              <w:t xml:space="preserve"> Operativa Plus. </w:t>
            </w:r>
          </w:p>
          <w:p w14:paraId="4D292290" w14:textId="77777777" w:rsidR="004D3BCD" w:rsidRPr="004D3BCD" w:rsidRDefault="004D3BCD" w:rsidP="004D3BCD">
            <w:pPr>
              <w:rPr>
                <w:rFonts w:ascii="Arial" w:hAnsi="Arial" w:cs="Arial"/>
              </w:rPr>
            </w:pPr>
            <w:proofErr w:type="gramStart"/>
            <w:r w:rsidRPr="004D3BCD">
              <w:rPr>
                <w:rFonts w:ascii="Arial" w:hAnsi="Arial" w:cs="Arial"/>
              </w:rPr>
              <w:t>  Com</w:t>
            </w:r>
            <w:proofErr w:type="gramEnd"/>
            <w:r w:rsidRPr="004D3BCD">
              <w:rPr>
                <w:rFonts w:ascii="Arial" w:hAnsi="Arial" w:cs="Arial"/>
              </w:rPr>
              <w:t xml:space="preserve"> apoio de braço (para opção SEM APOIO entrar em contato conosco) </w:t>
            </w:r>
          </w:p>
          <w:p w14:paraId="3E1FCB13" w14:textId="77777777" w:rsidR="004D3BCD" w:rsidRPr="004D3BCD" w:rsidRDefault="004D3BCD" w:rsidP="004D3BCD">
            <w:pPr>
              <w:rPr>
                <w:rFonts w:ascii="Arial" w:hAnsi="Arial" w:cs="Arial"/>
              </w:rPr>
            </w:pPr>
            <w:proofErr w:type="gramStart"/>
            <w:r w:rsidRPr="004D3BCD">
              <w:rPr>
                <w:rFonts w:ascii="Arial" w:hAnsi="Arial" w:cs="Arial"/>
              </w:rPr>
              <w:t>  Base</w:t>
            </w:r>
            <w:proofErr w:type="gramEnd"/>
            <w:r w:rsidRPr="004D3BCD">
              <w:rPr>
                <w:rFonts w:ascii="Arial" w:hAnsi="Arial" w:cs="Arial"/>
              </w:rPr>
              <w:t xml:space="preserve"> Aranha Standard Secretária com Rodízios PU 50mm. </w:t>
            </w:r>
          </w:p>
          <w:p w14:paraId="64BE6CCB" w14:textId="77777777" w:rsidR="004D3BCD" w:rsidRPr="004D3BCD" w:rsidRDefault="004D3BCD" w:rsidP="004D3BCD">
            <w:pPr>
              <w:rPr>
                <w:rFonts w:ascii="Arial" w:hAnsi="Arial" w:cs="Arial"/>
              </w:rPr>
            </w:pPr>
            <w:proofErr w:type="gramStart"/>
            <w:r w:rsidRPr="004D3BCD">
              <w:rPr>
                <w:rFonts w:ascii="Arial" w:hAnsi="Arial" w:cs="Arial"/>
              </w:rPr>
              <w:t>  Mecanismo</w:t>
            </w:r>
            <w:proofErr w:type="gramEnd"/>
            <w:r w:rsidRPr="004D3BCD">
              <w:rPr>
                <w:rFonts w:ascii="Arial" w:hAnsi="Arial" w:cs="Arial"/>
              </w:rPr>
              <w:t xml:space="preserve"> </w:t>
            </w:r>
            <w:proofErr w:type="spellStart"/>
            <w:r w:rsidRPr="004D3BCD">
              <w:rPr>
                <w:rFonts w:ascii="Arial" w:hAnsi="Arial" w:cs="Arial"/>
              </w:rPr>
              <w:t>Plaxforte</w:t>
            </w:r>
            <w:proofErr w:type="spellEnd"/>
            <w:r w:rsidRPr="004D3BCD">
              <w:rPr>
                <w:rFonts w:ascii="Arial" w:hAnsi="Arial" w:cs="Arial"/>
              </w:rPr>
              <w:t xml:space="preserve">. </w:t>
            </w:r>
          </w:p>
          <w:p w14:paraId="7860A03A" w14:textId="77777777" w:rsidR="004D3BCD" w:rsidRPr="004D3BCD" w:rsidRDefault="004D3BCD" w:rsidP="004D3BCD">
            <w:pPr>
              <w:rPr>
                <w:rFonts w:ascii="Arial" w:hAnsi="Arial" w:cs="Arial"/>
              </w:rPr>
            </w:pPr>
            <w:proofErr w:type="gramStart"/>
            <w:r w:rsidRPr="004D3BCD">
              <w:rPr>
                <w:rFonts w:ascii="Arial" w:hAnsi="Arial" w:cs="Arial"/>
              </w:rPr>
              <w:t>  Rodízios</w:t>
            </w:r>
            <w:proofErr w:type="gramEnd"/>
            <w:r w:rsidRPr="004D3BCD">
              <w:rPr>
                <w:rFonts w:ascii="Arial" w:hAnsi="Arial" w:cs="Arial"/>
              </w:rPr>
              <w:t xml:space="preserve"> PU 50mm</w:t>
            </w:r>
          </w:p>
        </w:tc>
        <w:tc>
          <w:tcPr>
            <w:tcW w:w="1559" w:type="dxa"/>
            <w:vAlign w:val="center"/>
          </w:tcPr>
          <w:p w14:paraId="2DEFD445" w14:textId="66F4C8E2" w:rsidR="004D3BCD" w:rsidRPr="004D3BCD" w:rsidRDefault="004D3BCD" w:rsidP="004D3BCD">
            <w:pPr>
              <w:jc w:val="center"/>
              <w:textAlignment w:val="baseline"/>
              <w:rPr>
                <w:rFonts w:ascii="Arial" w:eastAsia="Times New Roman" w:hAnsi="Arial" w:cs="Arial"/>
                <w:b/>
                <w:bCs/>
              </w:rPr>
            </w:pPr>
          </w:p>
        </w:tc>
        <w:tc>
          <w:tcPr>
            <w:tcW w:w="993" w:type="dxa"/>
          </w:tcPr>
          <w:p w14:paraId="0749A12C" w14:textId="47D6DD36" w:rsidR="004D3BCD" w:rsidRPr="004D3BCD" w:rsidRDefault="004D3BCD" w:rsidP="004D3BCD">
            <w:pPr>
              <w:jc w:val="center"/>
              <w:textAlignment w:val="baseline"/>
              <w:rPr>
                <w:rFonts w:ascii="Arial" w:eastAsia="Times New Roman" w:hAnsi="Arial" w:cs="Arial"/>
                <w:b/>
                <w:bCs/>
              </w:rPr>
            </w:pPr>
          </w:p>
        </w:tc>
      </w:tr>
      <w:tr w:rsidR="004D3BCD" w:rsidRPr="004D3BCD" w14:paraId="25D6388B" w14:textId="77777777" w:rsidTr="004D3BCD">
        <w:trPr>
          <w:trHeight w:val="294"/>
        </w:trPr>
        <w:tc>
          <w:tcPr>
            <w:tcW w:w="566" w:type="dxa"/>
            <w:vAlign w:val="center"/>
          </w:tcPr>
          <w:p w14:paraId="7F5A0648" w14:textId="77777777" w:rsidR="004D3BCD" w:rsidRPr="004D3BCD" w:rsidRDefault="004D3BCD" w:rsidP="004D3BCD">
            <w:pPr>
              <w:ind w:left="-108" w:right="-116"/>
              <w:jc w:val="center"/>
              <w:textAlignment w:val="baseline"/>
              <w:rPr>
                <w:rFonts w:ascii="Arial" w:eastAsia="Times New Roman" w:hAnsi="Arial" w:cs="Arial"/>
                <w:b/>
                <w:bCs/>
              </w:rPr>
            </w:pPr>
            <w:r w:rsidRPr="004D3BCD">
              <w:rPr>
                <w:rFonts w:ascii="Arial" w:eastAsia="Times New Roman" w:hAnsi="Arial" w:cs="Arial"/>
                <w:b/>
                <w:bCs/>
              </w:rPr>
              <w:t>4</w:t>
            </w:r>
          </w:p>
        </w:tc>
        <w:tc>
          <w:tcPr>
            <w:tcW w:w="860" w:type="dxa"/>
            <w:vAlign w:val="center"/>
          </w:tcPr>
          <w:p w14:paraId="3BAFECAC" w14:textId="77777777" w:rsidR="004D3BCD" w:rsidRPr="004D3BCD" w:rsidRDefault="004D3BCD" w:rsidP="004D3BCD">
            <w:pPr>
              <w:ind w:left="-100" w:right="-108"/>
              <w:jc w:val="center"/>
              <w:textAlignment w:val="baseline"/>
              <w:rPr>
                <w:rFonts w:ascii="Arial" w:eastAsia="Times New Roman" w:hAnsi="Arial" w:cs="Arial"/>
                <w:b/>
                <w:bCs/>
              </w:rPr>
            </w:pPr>
            <w:r w:rsidRPr="004D3BCD">
              <w:rPr>
                <w:rFonts w:ascii="Arial" w:eastAsia="Times New Roman" w:hAnsi="Arial" w:cs="Arial"/>
                <w:b/>
                <w:bCs/>
              </w:rPr>
              <w:t>01</w:t>
            </w:r>
          </w:p>
        </w:tc>
        <w:tc>
          <w:tcPr>
            <w:tcW w:w="994" w:type="dxa"/>
            <w:vAlign w:val="center"/>
          </w:tcPr>
          <w:p w14:paraId="67174757" w14:textId="77777777" w:rsidR="004D3BCD" w:rsidRPr="004D3BCD" w:rsidRDefault="004D3BCD" w:rsidP="004D3BCD">
            <w:pPr>
              <w:ind w:left="-108" w:right="-108"/>
              <w:jc w:val="center"/>
              <w:textAlignment w:val="baseline"/>
              <w:rPr>
                <w:rFonts w:ascii="Arial" w:eastAsia="Times New Roman" w:hAnsi="Arial" w:cs="Arial"/>
                <w:b/>
                <w:bCs/>
              </w:rPr>
            </w:pPr>
            <w:r w:rsidRPr="004D3BCD">
              <w:rPr>
                <w:rFonts w:ascii="Arial" w:eastAsia="Times New Roman" w:hAnsi="Arial" w:cs="Arial"/>
                <w:b/>
                <w:bCs/>
              </w:rPr>
              <w:t>UN</w:t>
            </w:r>
          </w:p>
        </w:tc>
        <w:tc>
          <w:tcPr>
            <w:tcW w:w="4526" w:type="dxa"/>
            <w:vAlign w:val="center"/>
          </w:tcPr>
          <w:p w14:paraId="0318D20A" w14:textId="77777777" w:rsidR="004D3BCD" w:rsidRPr="004D3BCD" w:rsidRDefault="004D3BCD" w:rsidP="004D3BCD">
            <w:pPr>
              <w:pStyle w:val="Ttulo1"/>
              <w:rPr>
                <w:rFonts w:ascii="Arial" w:hAnsi="Arial" w:cs="Arial"/>
                <w:b w:val="0"/>
                <w:bCs w:val="0"/>
                <w:color w:val="auto"/>
                <w:sz w:val="24"/>
                <w:szCs w:val="24"/>
              </w:rPr>
            </w:pPr>
            <w:r w:rsidRPr="004D3BCD">
              <w:rPr>
                <w:rFonts w:ascii="Arial" w:hAnsi="Arial" w:cs="Arial"/>
                <w:b w:val="0"/>
                <w:bCs w:val="0"/>
                <w:color w:val="auto"/>
                <w:sz w:val="24"/>
                <w:szCs w:val="24"/>
              </w:rPr>
              <w:t>Armário Escaninho 15 Portas Chave M293.</w:t>
            </w:r>
            <w:proofErr w:type="gramStart"/>
            <w:r w:rsidRPr="004D3BCD">
              <w:rPr>
                <w:rFonts w:ascii="Arial" w:hAnsi="Arial" w:cs="Arial"/>
                <w:b w:val="0"/>
                <w:bCs w:val="0"/>
                <w:color w:val="auto"/>
                <w:sz w:val="24"/>
                <w:szCs w:val="24"/>
              </w:rPr>
              <w:t>b Organizador</w:t>
            </w:r>
            <w:proofErr w:type="gramEnd"/>
            <w:r w:rsidRPr="004D3BCD">
              <w:rPr>
                <w:rFonts w:ascii="Arial" w:hAnsi="Arial" w:cs="Arial"/>
                <w:b w:val="0"/>
                <w:bCs w:val="0"/>
                <w:color w:val="auto"/>
                <w:sz w:val="24"/>
                <w:szCs w:val="24"/>
              </w:rPr>
              <w:t>. Produto profissional,</w:t>
            </w:r>
            <w:r w:rsidRPr="004D3BCD">
              <w:rPr>
                <w:rFonts w:ascii="Arial" w:hAnsi="Arial" w:cs="Arial"/>
                <w:b w:val="0"/>
                <w:bCs w:val="0"/>
                <w:color w:val="auto"/>
                <w:sz w:val="24"/>
                <w:szCs w:val="24"/>
              </w:rPr>
              <w:br/>
              <w:t>Fabricado em 100% MDF,</w:t>
            </w:r>
            <w:r w:rsidRPr="004D3BCD">
              <w:rPr>
                <w:rFonts w:ascii="Arial" w:hAnsi="Arial" w:cs="Arial"/>
                <w:b w:val="0"/>
                <w:bCs w:val="0"/>
                <w:color w:val="auto"/>
                <w:sz w:val="24"/>
                <w:szCs w:val="24"/>
              </w:rPr>
              <w:br/>
              <w:t>Cor: Branco. Medidas do produto: 110 cm Largura x 176cm Altura x 40 cm Profundidade</w:t>
            </w:r>
            <w:r w:rsidRPr="004D3BCD">
              <w:rPr>
                <w:rFonts w:ascii="Arial" w:hAnsi="Arial" w:cs="Arial"/>
                <w:b w:val="0"/>
                <w:bCs w:val="0"/>
                <w:color w:val="auto"/>
                <w:sz w:val="24"/>
                <w:szCs w:val="24"/>
              </w:rPr>
              <w:br/>
              <w:t>Escaninho organizador ou guarda-volume - 15nichos com portas e fechadura</w:t>
            </w:r>
            <w:r w:rsidRPr="004D3BCD">
              <w:rPr>
                <w:rFonts w:ascii="Arial" w:hAnsi="Arial" w:cs="Arial"/>
                <w:b w:val="0"/>
                <w:bCs w:val="0"/>
                <w:color w:val="auto"/>
                <w:sz w:val="24"/>
                <w:szCs w:val="24"/>
              </w:rPr>
              <w:br/>
              <w:t>Medida dos nichos: 34 cm largura x 32 cm altura 40 x cm profundidade</w:t>
            </w:r>
          </w:p>
        </w:tc>
        <w:tc>
          <w:tcPr>
            <w:tcW w:w="1559" w:type="dxa"/>
            <w:vAlign w:val="center"/>
          </w:tcPr>
          <w:p w14:paraId="6A3E7FA7" w14:textId="57CB6363" w:rsidR="004D3BCD" w:rsidRPr="004D3BCD" w:rsidRDefault="004D3BCD" w:rsidP="004D3BCD">
            <w:pPr>
              <w:jc w:val="center"/>
              <w:textAlignment w:val="baseline"/>
              <w:rPr>
                <w:rFonts w:ascii="Arial" w:eastAsia="Times New Roman" w:hAnsi="Arial" w:cs="Arial"/>
                <w:b/>
                <w:bCs/>
              </w:rPr>
            </w:pPr>
          </w:p>
        </w:tc>
        <w:tc>
          <w:tcPr>
            <w:tcW w:w="993" w:type="dxa"/>
          </w:tcPr>
          <w:p w14:paraId="3EF7070C" w14:textId="18F12FAB" w:rsidR="004D3BCD" w:rsidRPr="004D3BCD" w:rsidRDefault="004D3BCD" w:rsidP="004D3BCD">
            <w:pPr>
              <w:jc w:val="center"/>
              <w:textAlignment w:val="baseline"/>
              <w:rPr>
                <w:rFonts w:ascii="Arial" w:eastAsia="Times New Roman" w:hAnsi="Arial" w:cs="Arial"/>
                <w:b/>
                <w:bCs/>
              </w:rPr>
            </w:pPr>
          </w:p>
        </w:tc>
      </w:tr>
      <w:tr w:rsidR="004D3BCD" w:rsidRPr="004D3BCD" w14:paraId="40B02880" w14:textId="77777777" w:rsidTr="004D3BCD">
        <w:trPr>
          <w:trHeight w:val="294"/>
        </w:trPr>
        <w:tc>
          <w:tcPr>
            <w:tcW w:w="566" w:type="dxa"/>
            <w:tcBorders>
              <w:top w:val="single" w:sz="4" w:space="0" w:color="auto"/>
              <w:left w:val="single" w:sz="4" w:space="0" w:color="auto"/>
              <w:bottom w:val="single" w:sz="4" w:space="0" w:color="auto"/>
              <w:right w:val="single" w:sz="4" w:space="0" w:color="auto"/>
            </w:tcBorders>
            <w:vAlign w:val="center"/>
            <w:hideMark/>
          </w:tcPr>
          <w:p w14:paraId="2643F687" w14:textId="77777777" w:rsidR="004D3BCD" w:rsidRPr="004D3BCD" w:rsidRDefault="004D3BCD" w:rsidP="004D3BCD">
            <w:pPr>
              <w:ind w:left="-108" w:right="-116"/>
              <w:jc w:val="center"/>
              <w:textAlignment w:val="baseline"/>
              <w:rPr>
                <w:rFonts w:ascii="Arial" w:hAnsi="Arial" w:cs="Arial"/>
                <w:b/>
                <w:bCs/>
              </w:rPr>
            </w:pPr>
            <w:r w:rsidRPr="004D3BCD">
              <w:rPr>
                <w:rFonts w:ascii="Arial" w:hAnsi="Arial" w:cs="Arial"/>
                <w:b/>
                <w:bCs/>
              </w:rPr>
              <w:t>5</w:t>
            </w:r>
          </w:p>
        </w:tc>
        <w:tc>
          <w:tcPr>
            <w:tcW w:w="860" w:type="dxa"/>
            <w:tcBorders>
              <w:top w:val="single" w:sz="4" w:space="0" w:color="auto"/>
              <w:left w:val="single" w:sz="4" w:space="0" w:color="auto"/>
              <w:bottom w:val="single" w:sz="4" w:space="0" w:color="auto"/>
              <w:right w:val="single" w:sz="4" w:space="0" w:color="auto"/>
            </w:tcBorders>
            <w:vAlign w:val="center"/>
            <w:hideMark/>
          </w:tcPr>
          <w:p w14:paraId="18555E34" w14:textId="77777777" w:rsidR="004D3BCD" w:rsidRPr="004D3BCD" w:rsidRDefault="004D3BCD" w:rsidP="004D3BCD">
            <w:pPr>
              <w:ind w:left="-100" w:right="-108"/>
              <w:jc w:val="center"/>
              <w:textAlignment w:val="baseline"/>
              <w:rPr>
                <w:rFonts w:ascii="Arial" w:hAnsi="Arial" w:cs="Arial"/>
                <w:b/>
                <w:bCs/>
              </w:rPr>
            </w:pPr>
            <w:r w:rsidRPr="004D3BCD">
              <w:rPr>
                <w:rFonts w:ascii="Arial" w:hAnsi="Arial" w:cs="Arial"/>
                <w:b/>
                <w:bCs/>
              </w:rPr>
              <w:t>06</w:t>
            </w:r>
          </w:p>
        </w:tc>
        <w:tc>
          <w:tcPr>
            <w:tcW w:w="994" w:type="dxa"/>
            <w:tcBorders>
              <w:top w:val="single" w:sz="4" w:space="0" w:color="auto"/>
              <w:left w:val="single" w:sz="4" w:space="0" w:color="auto"/>
              <w:bottom w:val="single" w:sz="4" w:space="0" w:color="auto"/>
              <w:right w:val="single" w:sz="4" w:space="0" w:color="auto"/>
            </w:tcBorders>
            <w:vAlign w:val="center"/>
            <w:hideMark/>
          </w:tcPr>
          <w:p w14:paraId="1E0BBD78" w14:textId="77777777" w:rsidR="004D3BCD" w:rsidRPr="004D3BCD" w:rsidRDefault="004D3BCD" w:rsidP="004D3BCD">
            <w:pPr>
              <w:ind w:left="-108" w:right="-108"/>
              <w:jc w:val="center"/>
              <w:textAlignment w:val="baseline"/>
              <w:rPr>
                <w:rFonts w:ascii="Arial" w:hAnsi="Arial" w:cs="Arial"/>
                <w:b/>
                <w:bCs/>
              </w:rPr>
            </w:pPr>
            <w:r w:rsidRPr="004D3BCD">
              <w:rPr>
                <w:rFonts w:ascii="Arial" w:hAnsi="Arial" w:cs="Arial"/>
                <w:b/>
                <w:bCs/>
              </w:rPr>
              <w:t>UN</w:t>
            </w:r>
          </w:p>
        </w:tc>
        <w:tc>
          <w:tcPr>
            <w:tcW w:w="4526" w:type="dxa"/>
            <w:tcBorders>
              <w:top w:val="single" w:sz="4" w:space="0" w:color="auto"/>
              <w:left w:val="single" w:sz="4" w:space="0" w:color="auto"/>
              <w:bottom w:val="single" w:sz="4" w:space="0" w:color="auto"/>
              <w:right w:val="single" w:sz="4" w:space="0" w:color="auto"/>
            </w:tcBorders>
            <w:vAlign w:val="center"/>
          </w:tcPr>
          <w:p w14:paraId="4370707F" w14:textId="77777777" w:rsidR="004D3BCD" w:rsidRPr="004D3BCD" w:rsidRDefault="004D3BCD" w:rsidP="004D3BCD">
            <w:pPr>
              <w:jc w:val="both"/>
              <w:textAlignment w:val="baseline"/>
              <w:rPr>
                <w:rFonts w:ascii="Arial" w:hAnsi="Arial" w:cs="Arial"/>
                <w:b/>
                <w:bCs/>
                <w:lang w:eastAsia="zh-CN"/>
              </w:rPr>
            </w:pPr>
            <w:r w:rsidRPr="004D3BCD">
              <w:rPr>
                <w:rFonts w:ascii="Arial" w:hAnsi="Arial" w:cs="Arial"/>
                <w:b/>
                <w:bCs/>
              </w:rPr>
              <w:t>Rack Para Livros Infantil</w:t>
            </w:r>
          </w:p>
          <w:p w14:paraId="4B98920D" w14:textId="77777777" w:rsidR="004D3BCD" w:rsidRPr="004D3BCD" w:rsidRDefault="004D3BCD" w:rsidP="004D3BCD">
            <w:pPr>
              <w:jc w:val="both"/>
              <w:textAlignment w:val="baseline"/>
              <w:rPr>
                <w:rFonts w:ascii="Arial" w:hAnsi="Arial" w:cs="Arial"/>
              </w:rPr>
            </w:pPr>
            <w:r w:rsidRPr="004D3BCD">
              <w:rPr>
                <w:rFonts w:ascii="Arial" w:hAnsi="Arial" w:cs="Arial"/>
              </w:rPr>
              <w:t xml:space="preserve">Rack Para Livros Infantil, </w:t>
            </w:r>
            <w:proofErr w:type="spellStart"/>
            <w:r w:rsidRPr="004D3BCD">
              <w:rPr>
                <w:rFonts w:ascii="Arial" w:hAnsi="Arial" w:cs="Arial"/>
              </w:rPr>
              <w:t>Standbook</w:t>
            </w:r>
            <w:proofErr w:type="spellEnd"/>
            <w:r w:rsidRPr="004D3BCD">
              <w:rPr>
                <w:rFonts w:ascii="Arial" w:hAnsi="Arial" w:cs="Arial"/>
              </w:rPr>
              <w:t xml:space="preserve"> </w:t>
            </w:r>
            <w:proofErr w:type="spellStart"/>
            <w:r w:rsidRPr="004D3BCD">
              <w:rPr>
                <w:rFonts w:ascii="Arial" w:hAnsi="Arial" w:cs="Arial"/>
              </w:rPr>
              <w:t>Montessoriano</w:t>
            </w:r>
            <w:proofErr w:type="spellEnd"/>
            <w:r w:rsidRPr="004D3BCD">
              <w:rPr>
                <w:rFonts w:ascii="Arial" w:hAnsi="Arial" w:cs="Arial"/>
              </w:rPr>
              <w:t xml:space="preserve"> na versão de 4 bolsos. Pode ser personalizado com a madeira pintada de branco. Ideal para organizar os livros, o rack book é feito em madeira e bolsos em </w:t>
            </w:r>
            <w:proofErr w:type="spellStart"/>
            <w:r w:rsidRPr="004D3BCD">
              <w:rPr>
                <w:rFonts w:ascii="Arial" w:hAnsi="Arial" w:cs="Arial"/>
              </w:rPr>
              <w:t>lonita</w:t>
            </w:r>
            <w:proofErr w:type="spellEnd"/>
            <w:r w:rsidRPr="004D3BCD">
              <w:rPr>
                <w:rFonts w:ascii="Arial" w:hAnsi="Arial" w:cs="Arial"/>
              </w:rPr>
              <w:t>, a altura permite com que as crianças pequenas consigam acessar, pegar e devolver as leiturinhas dando a elas autonomia. O rack book serve para brinquedotecas, bibliotecas salas de aula projetos sociais quartos infantis e serve também para salas de espera escritórios e hall de entrada de secretarias hotéis entre outros. Nas medidas: 65cm altura x 60cm largura x 25cm profundidade. versão de 5 bolsos.</w:t>
            </w:r>
          </w:p>
        </w:tc>
        <w:tc>
          <w:tcPr>
            <w:tcW w:w="1559" w:type="dxa"/>
            <w:tcBorders>
              <w:top w:val="single" w:sz="4" w:space="0" w:color="auto"/>
              <w:left w:val="single" w:sz="4" w:space="0" w:color="auto"/>
              <w:bottom w:val="single" w:sz="4" w:space="0" w:color="auto"/>
              <w:right w:val="single" w:sz="4" w:space="0" w:color="auto"/>
            </w:tcBorders>
            <w:vAlign w:val="center"/>
          </w:tcPr>
          <w:p w14:paraId="3727D55D" w14:textId="30B0AC46" w:rsidR="004D3BCD" w:rsidRPr="004D3BCD" w:rsidRDefault="004D3BCD" w:rsidP="004D3BCD">
            <w:pPr>
              <w:jc w:val="center"/>
              <w:textAlignment w:val="baseline"/>
              <w:rPr>
                <w:rFonts w:ascii="Arial" w:hAnsi="Arial" w:cs="Arial"/>
                <w:b/>
                <w:bCs/>
              </w:rPr>
            </w:pPr>
          </w:p>
        </w:tc>
        <w:tc>
          <w:tcPr>
            <w:tcW w:w="993" w:type="dxa"/>
            <w:tcBorders>
              <w:top w:val="single" w:sz="4" w:space="0" w:color="auto"/>
              <w:left w:val="single" w:sz="4" w:space="0" w:color="auto"/>
              <w:bottom w:val="single" w:sz="4" w:space="0" w:color="auto"/>
              <w:right w:val="single" w:sz="4" w:space="0" w:color="auto"/>
            </w:tcBorders>
          </w:tcPr>
          <w:p w14:paraId="40B6D257" w14:textId="77BE7ECC" w:rsidR="004D3BCD" w:rsidRPr="004D3BCD" w:rsidRDefault="004D3BCD" w:rsidP="004D3BCD">
            <w:pPr>
              <w:jc w:val="center"/>
              <w:textAlignment w:val="baseline"/>
              <w:rPr>
                <w:rFonts w:ascii="Arial" w:hAnsi="Arial" w:cs="Arial"/>
                <w:b/>
                <w:bCs/>
              </w:rPr>
            </w:pPr>
          </w:p>
        </w:tc>
      </w:tr>
      <w:tr w:rsidR="004D3BCD" w:rsidRPr="004D3BCD" w14:paraId="4BB075EA" w14:textId="77777777" w:rsidTr="004D3BCD">
        <w:trPr>
          <w:trHeight w:val="294"/>
        </w:trPr>
        <w:tc>
          <w:tcPr>
            <w:tcW w:w="566" w:type="dxa"/>
            <w:tcBorders>
              <w:top w:val="single" w:sz="4" w:space="0" w:color="auto"/>
              <w:left w:val="single" w:sz="4" w:space="0" w:color="auto"/>
              <w:bottom w:val="single" w:sz="4" w:space="0" w:color="auto"/>
              <w:right w:val="single" w:sz="4" w:space="0" w:color="auto"/>
            </w:tcBorders>
            <w:vAlign w:val="center"/>
          </w:tcPr>
          <w:p w14:paraId="410E889F" w14:textId="77777777" w:rsidR="004D3BCD" w:rsidRPr="004D3BCD" w:rsidRDefault="004D3BCD" w:rsidP="004D3BCD">
            <w:pPr>
              <w:ind w:left="-108" w:right="-116"/>
              <w:jc w:val="center"/>
              <w:textAlignment w:val="baseline"/>
              <w:rPr>
                <w:rFonts w:ascii="Arial" w:hAnsi="Arial" w:cs="Arial"/>
                <w:b/>
                <w:bCs/>
              </w:rPr>
            </w:pPr>
            <w:r w:rsidRPr="004D3BCD">
              <w:rPr>
                <w:rFonts w:ascii="Arial" w:hAnsi="Arial" w:cs="Arial"/>
                <w:b/>
                <w:bCs/>
              </w:rPr>
              <w:t>6</w:t>
            </w:r>
          </w:p>
        </w:tc>
        <w:tc>
          <w:tcPr>
            <w:tcW w:w="860" w:type="dxa"/>
            <w:tcBorders>
              <w:top w:val="single" w:sz="4" w:space="0" w:color="auto"/>
              <w:left w:val="single" w:sz="4" w:space="0" w:color="auto"/>
              <w:bottom w:val="single" w:sz="4" w:space="0" w:color="auto"/>
              <w:right w:val="single" w:sz="4" w:space="0" w:color="auto"/>
            </w:tcBorders>
            <w:vAlign w:val="center"/>
          </w:tcPr>
          <w:p w14:paraId="659C1899" w14:textId="77777777" w:rsidR="004D3BCD" w:rsidRPr="004D3BCD" w:rsidRDefault="004D3BCD" w:rsidP="004D3BCD">
            <w:pPr>
              <w:ind w:left="-100" w:right="-108"/>
              <w:jc w:val="center"/>
              <w:textAlignment w:val="baseline"/>
              <w:rPr>
                <w:rFonts w:ascii="Arial" w:hAnsi="Arial" w:cs="Arial"/>
                <w:b/>
                <w:bCs/>
              </w:rPr>
            </w:pPr>
            <w:r w:rsidRPr="004D3BCD">
              <w:rPr>
                <w:rFonts w:ascii="Arial" w:hAnsi="Arial" w:cs="Arial"/>
                <w:b/>
                <w:bCs/>
              </w:rPr>
              <w:t>06</w:t>
            </w:r>
          </w:p>
        </w:tc>
        <w:tc>
          <w:tcPr>
            <w:tcW w:w="994" w:type="dxa"/>
            <w:tcBorders>
              <w:top w:val="single" w:sz="4" w:space="0" w:color="auto"/>
              <w:left w:val="single" w:sz="4" w:space="0" w:color="auto"/>
              <w:bottom w:val="single" w:sz="4" w:space="0" w:color="auto"/>
              <w:right w:val="single" w:sz="4" w:space="0" w:color="auto"/>
            </w:tcBorders>
            <w:vAlign w:val="center"/>
          </w:tcPr>
          <w:p w14:paraId="30688172" w14:textId="77777777" w:rsidR="004D3BCD" w:rsidRPr="004D3BCD" w:rsidRDefault="004D3BCD" w:rsidP="004D3BCD">
            <w:pPr>
              <w:ind w:left="-108" w:right="-108"/>
              <w:jc w:val="center"/>
              <w:textAlignment w:val="baseline"/>
              <w:rPr>
                <w:rFonts w:ascii="Arial" w:hAnsi="Arial" w:cs="Arial"/>
                <w:b/>
                <w:bCs/>
              </w:rPr>
            </w:pPr>
            <w:r w:rsidRPr="004D3BCD">
              <w:rPr>
                <w:rFonts w:ascii="Arial" w:hAnsi="Arial" w:cs="Arial"/>
                <w:b/>
                <w:bCs/>
              </w:rPr>
              <w:t>UN</w:t>
            </w:r>
          </w:p>
        </w:tc>
        <w:tc>
          <w:tcPr>
            <w:tcW w:w="4526" w:type="dxa"/>
            <w:tcBorders>
              <w:top w:val="single" w:sz="4" w:space="0" w:color="auto"/>
              <w:left w:val="single" w:sz="4" w:space="0" w:color="auto"/>
              <w:bottom w:val="single" w:sz="4" w:space="0" w:color="auto"/>
              <w:right w:val="single" w:sz="4" w:space="0" w:color="auto"/>
            </w:tcBorders>
            <w:vAlign w:val="center"/>
          </w:tcPr>
          <w:p w14:paraId="343AC06A" w14:textId="77777777" w:rsidR="004D3BCD" w:rsidRPr="004D3BCD" w:rsidRDefault="004D3BCD" w:rsidP="004D3BCD">
            <w:pPr>
              <w:pStyle w:val="Ttulo1"/>
              <w:textAlignment w:val="baseline"/>
              <w:rPr>
                <w:rFonts w:ascii="Arial" w:hAnsi="Arial" w:cs="Arial"/>
                <w:b w:val="0"/>
                <w:bCs w:val="0"/>
                <w:color w:val="auto"/>
                <w:sz w:val="24"/>
                <w:szCs w:val="24"/>
              </w:rPr>
            </w:pPr>
            <w:r w:rsidRPr="004D3BCD">
              <w:rPr>
                <w:rFonts w:ascii="Arial" w:hAnsi="Arial" w:cs="Arial"/>
                <w:b w:val="0"/>
                <w:bCs w:val="0"/>
                <w:color w:val="auto"/>
                <w:sz w:val="24"/>
                <w:szCs w:val="24"/>
              </w:rPr>
              <w:t>Armário Escaninho 15 Portas Chave M293.  Organizador. Produto profissional,</w:t>
            </w:r>
            <w:r w:rsidRPr="004D3BCD">
              <w:rPr>
                <w:rFonts w:ascii="Arial" w:hAnsi="Arial" w:cs="Arial"/>
                <w:b w:val="0"/>
                <w:bCs w:val="0"/>
                <w:color w:val="auto"/>
                <w:sz w:val="24"/>
                <w:szCs w:val="24"/>
              </w:rPr>
              <w:br/>
              <w:t>Fabricado em 100% MDF,</w:t>
            </w:r>
            <w:r w:rsidRPr="004D3BCD">
              <w:rPr>
                <w:rFonts w:ascii="Arial" w:hAnsi="Arial" w:cs="Arial"/>
                <w:b w:val="0"/>
                <w:bCs w:val="0"/>
                <w:color w:val="auto"/>
                <w:sz w:val="24"/>
                <w:szCs w:val="24"/>
              </w:rPr>
              <w:br/>
              <w:t xml:space="preserve">Cor: Branco. </w:t>
            </w:r>
          </w:p>
          <w:p w14:paraId="4CF47FB8" w14:textId="77777777" w:rsidR="004D3BCD" w:rsidRPr="004D3BCD" w:rsidRDefault="004D3BCD" w:rsidP="004D3BCD">
            <w:pPr>
              <w:pStyle w:val="Ttulo1"/>
              <w:textAlignment w:val="baseline"/>
              <w:rPr>
                <w:rFonts w:ascii="Arial" w:hAnsi="Arial" w:cs="Arial"/>
                <w:b w:val="0"/>
                <w:bCs w:val="0"/>
                <w:color w:val="auto"/>
                <w:sz w:val="24"/>
                <w:szCs w:val="24"/>
              </w:rPr>
            </w:pPr>
            <w:r w:rsidRPr="004D3BCD">
              <w:rPr>
                <w:rFonts w:ascii="Arial" w:hAnsi="Arial" w:cs="Arial"/>
                <w:b w:val="0"/>
                <w:bCs w:val="0"/>
                <w:color w:val="auto"/>
                <w:sz w:val="24"/>
                <w:szCs w:val="24"/>
              </w:rPr>
              <w:t>Medidas do produto: 110 cm Largura x 176cm Altura x 40 cm Profundidade</w:t>
            </w:r>
            <w:r w:rsidRPr="004D3BCD">
              <w:rPr>
                <w:rFonts w:ascii="Arial" w:hAnsi="Arial" w:cs="Arial"/>
                <w:b w:val="0"/>
                <w:bCs w:val="0"/>
                <w:color w:val="auto"/>
                <w:sz w:val="24"/>
                <w:szCs w:val="24"/>
              </w:rPr>
              <w:br/>
              <w:t>Escaninho organizador ou guarda-volume - 15nichos com portas e fechadura</w:t>
            </w:r>
            <w:r w:rsidRPr="004D3BCD">
              <w:rPr>
                <w:rFonts w:ascii="Arial" w:hAnsi="Arial" w:cs="Arial"/>
                <w:b w:val="0"/>
                <w:bCs w:val="0"/>
                <w:color w:val="auto"/>
                <w:sz w:val="24"/>
                <w:szCs w:val="24"/>
              </w:rPr>
              <w:br/>
              <w:t>Medida dos nichos: 34 cm largura x 32 cm altura 40 x cm profundidade</w:t>
            </w:r>
          </w:p>
        </w:tc>
        <w:tc>
          <w:tcPr>
            <w:tcW w:w="1559" w:type="dxa"/>
            <w:tcBorders>
              <w:top w:val="single" w:sz="4" w:space="0" w:color="auto"/>
              <w:left w:val="single" w:sz="4" w:space="0" w:color="auto"/>
              <w:bottom w:val="single" w:sz="4" w:space="0" w:color="auto"/>
              <w:right w:val="single" w:sz="4" w:space="0" w:color="auto"/>
            </w:tcBorders>
            <w:vAlign w:val="center"/>
          </w:tcPr>
          <w:p w14:paraId="5AD48E2F" w14:textId="04CDD512" w:rsidR="004D3BCD" w:rsidRPr="004D3BCD" w:rsidRDefault="004D3BCD" w:rsidP="004D3BCD">
            <w:pPr>
              <w:jc w:val="center"/>
              <w:textAlignment w:val="baseline"/>
              <w:rPr>
                <w:rFonts w:ascii="Arial" w:hAnsi="Arial" w:cs="Arial"/>
                <w:b/>
                <w:bCs/>
              </w:rPr>
            </w:pPr>
          </w:p>
        </w:tc>
        <w:tc>
          <w:tcPr>
            <w:tcW w:w="993" w:type="dxa"/>
            <w:tcBorders>
              <w:top w:val="single" w:sz="4" w:space="0" w:color="auto"/>
              <w:left w:val="single" w:sz="4" w:space="0" w:color="auto"/>
              <w:bottom w:val="single" w:sz="4" w:space="0" w:color="auto"/>
              <w:right w:val="single" w:sz="4" w:space="0" w:color="auto"/>
            </w:tcBorders>
          </w:tcPr>
          <w:p w14:paraId="0119892F" w14:textId="6213437B" w:rsidR="004D3BCD" w:rsidRPr="004D3BCD" w:rsidRDefault="004D3BCD" w:rsidP="004D3BCD">
            <w:pPr>
              <w:jc w:val="center"/>
              <w:textAlignment w:val="baseline"/>
              <w:rPr>
                <w:rFonts w:ascii="Arial" w:hAnsi="Arial" w:cs="Arial"/>
                <w:b/>
                <w:bCs/>
              </w:rPr>
            </w:pPr>
          </w:p>
        </w:tc>
      </w:tr>
    </w:tbl>
    <w:p w14:paraId="4BA8616F" w14:textId="77777777" w:rsidR="004D3BCD" w:rsidRPr="004D3BCD" w:rsidRDefault="004D3BCD" w:rsidP="004D3BCD">
      <w:pPr>
        <w:spacing w:line="276" w:lineRule="auto"/>
        <w:jc w:val="both"/>
        <w:rPr>
          <w:rFonts w:ascii="Arial" w:eastAsia="Times New Roman" w:hAnsi="Arial" w:cs="Arial"/>
        </w:rPr>
      </w:pPr>
    </w:p>
    <w:p w14:paraId="0A5EE230" w14:textId="15AEB2F2" w:rsidR="00E17889" w:rsidRPr="004D3BCD" w:rsidRDefault="00E17889" w:rsidP="004D3BCD">
      <w:pPr>
        <w:pStyle w:val="Nivel2"/>
        <w:rPr>
          <w:color w:val="auto"/>
        </w:rPr>
      </w:pPr>
    </w:p>
    <w:p w14:paraId="383A24A9" w14:textId="77777777" w:rsidR="004D3BCD" w:rsidRPr="004D3BCD" w:rsidRDefault="004D3BCD" w:rsidP="004D3BCD"/>
    <w:p w14:paraId="09DC2C39" w14:textId="77777777" w:rsidR="004D3BCD" w:rsidRPr="004D3BCD" w:rsidRDefault="004D3BCD" w:rsidP="004D3BCD"/>
    <w:p w14:paraId="1D2B98FF" w14:textId="77777777" w:rsidR="00FF7B51" w:rsidRPr="00FF7B51" w:rsidRDefault="00FF7B51" w:rsidP="00FF7B51">
      <w:pPr>
        <w:rPr>
          <w:rFonts w:ascii="Arial" w:hAnsi="Arial" w:cs="Arial"/>
          <w:sz w:val="20"/>
          <w:szCs w:val="20"/>
        </w:rPr>
      </w:pPr>
    </w:p>
    <w:p w14:paraId="182A19E5" w14:textId="77777777" w:rsidR="00DC41DD" w:rsidRPr="00FF7B51" w:rsidRDefault="00DC41DD" w:rsidP="004E64AA">
      <w:pPr>
        <w:pStyle w:val="Nivel2"/>
      </w:pPr>
      <w:r w:rsidRPr="00FF7B51">
        <w:t>Vinculam esta contratação, independentemente de transcrição:</w:t>
      </w:r>
    </w:p>
    <w:p w14:paraId="22303445" w14:textId="77777777" w:rsidR="00DC41DD" w:rsidRPr="00FF7B51" w:rsidRDefault="00DC41DD" w:rsidP="004E64AA">
      <w:pPr>
        <w:pStyle w:val="Nivel3"/>
      </w:pPr>
      <w:r w:rsidRPr="00FF7B51">
        <w:t>O Termo de Referência;</w:t>
      </w:r>
    </w:p>
    <w:p w14:paraId="2E51F8E2" w14:textId="77777777" w:rsidR="00DC41DD" w:rsidRPr="00FF7B51" w:rsidRDefault="00DC41DD" w:rsidP="004E64AA">
      <w:pPr>
        <w:pStyle w:val="Nivel3"/>
      </w:pPr>
      <w:r w:rsidRPr="00FF7B51">
        <w:t>O Edital da Licitação;</w:t>
      </w:r>
    </w:p>
    <w:p w14:paraId="19C5CA53" w14:textId="77777777" w:rsidR="00DC41DD" w:rsidRPr="00FF7B51" w:rsidRDefault="00DC41DD" w:rsidP="004E64AA">
      <w:pPr>
        <w:pStyle w:val="Nivel3"/>
      </w:pPr>
      <w:r w:rsidRPr="00FF7B51">
        <w:t>A Proposta do contratado;</w:t>
      </w:r>
    </w:p>
    <w:p w14:paraId="53EF8BEC" w14:textId="280FC6A3" w:rsidR="00DC41DD" w:rsidRPr="00FF7B51" w:rsidRDefault="00DC41DD" w:rsidP="004E64AA">
      <w:pPr>
        <w:pStyle w:val="Nivel3"/>
      </w:pPr>
      <w:r w:rsidRPr="00FF7B51">
        <w:t>Eventuais anexos dos documentos supracitados.</w:t>
      </w:r>
    </w:p>
    <w:p w14:paraId="27D7B84C" w14:textId="1A7C9726" w:rsidR="00DC41DD" w:rsidRPr="00FF7B51" w:rsidRDefault="00DC41DD" w:rsidP="00F8329F">
      <w:pPr>
        <w:pStyle w:val="Nivel01"/>
        <w:rPr>
          <w:color w:val="FFFFFF" w:themeColor="background1"/>
        </w:rPr>
      </w:pPr>
      <w:r w:rsidRPr="00FF7B51">
        <w:t>CLÁUSULA SEGUNDA – VIGÊNCIA E PRORROGAÇÃO</w:t>
      </w:r>
    </w:p>
    <w:p w14:paraId="42E4ED91" w14:textId="781F5E42" w:rsidR="00DC41DD" w:rsidRPr="00FF7B51" w:rsidRDefault="00DC41DD" w:rsidP="004E64AA">
      <w:pPr>
        <w:pStyle w:val="Nvel2-Red"/>
        <w:rPr>
          <w:i w:val="0"/>
          <w:iCs w:val="0"/>
          <w:color w:val="auto"/>
        </w:rPr>
      </w:pPr>
      <w:r w:rsidRPr="00FF7B51">
        <w:rPr>
          <w:i w:val="0"/>
          <w:iCs w:val="0"/>
          <w:color w:val="auto"/>
        </w:rPr>
        <w:t xml:space="preserve">O prazo de vigência da contratação é </w:t>
      </w:r>
      <w:r w:rsidR="002865DF" w:rsidRPr="00FF7B51">
        <w:rPr>
          <w:i w:val="0"/>
          <w:iCs w:val="0"/>
          <w:color w:val="auto"/>
        </w:rPr>
        <w:t>até 31 de dezembro de 2024</w:t>
      </w:r>
      <w:r w:rsidR="00AB237C" w:rsidRPr="00FF7B51">
        <w:rPr>
          <w:i w:val="0"/>
          <w:iCs w:val="0"/>
          <w:color w:val="auto"/>
        </w:rPr>
        <w:t>,</w:t>
      </w:r>
      <w:r w:rsidRPr="00FF7B51">
        <w:rPr>
          <w:i w:val="0"/>
          <w:iCs w:val="0"/>
          <w:color w:val="auto"/>
        </w:rPr>
        <w:t xml:space="preserve"> contados d</w:t>
      </w:r>
      <w:r w:rsidR="00AB237C" w:rsidRPr="00FF7B51">
        <w:rPr>
          <w:i w:val="0"/>
          <w:iCs w:val="0"/>
          <w:color w:val="auto"/>
        </w:rPr>
        <w:t>a assinatura deste Termo</w:t>
      </w:r>
      <w:r w:rsidR="002865DF" w:rsidRPr="00FF7B51">
        <w:rPr>
          <w:i w:val="0"/>
          <w:iCs w:val="0"/>
          <w:color w:val="auto"/>
        </w:rPr>
        <w:t>.</w:t>
      </w:r>
    </w:p>
    <w:p w14:paraId="637AAE1D" w14:textId="393AB8D6" w:rsidR="00DC41DD" w:rsidRPr="00FF7B51" w:rsidRDefault="00DC41DD" w:rsidP="004E64AA">
      <w:pPr>
        <w:pStyle w:val="Nvel3-R"/>
        <w:rPr>
          <w:i w:val="0"/>
          <w:iCs w:val="0"/>
          <w:color w:val="auto"/>
        </w:rPr>
      </w:pPr>
      <w:r w:rsidRPr="00FF7B51">
        <w:rPr>
          <w:i w:val="0"/>
          <w:iCs w:val="0"/>
          <w:color w:val="auto"/>
        </w:rPr>
        <w:t>A prorrogação de que trata este item é condicionada ao ateste, pela autoridade competente, de que as condições e os preços permanecem vantajosos para a Administração, permitida a negociação com o contratado.</w:t>
      </w:r>
    </w:p>
    <w:p w14:paraId="1CD1C169" w14:textId="5F6212FE" w:rsidR="002E5082" w:rsidRPr="00FF7B51" w:rsidRDefault="002E5082" w:rsidP="004E64AA">
      <w:pPr>
        <w:pStyle w:val="Nvel2-Red"/>
        <w:rPr>
          <w:i w:val="0"/>
          <w:iCs w:val="0"/>
          <w:color w:val="auto"/>
        </w:rPr>
      </w:pPr>
      <w:r w:rsidRPr="00FF7B51">
        <w:rPr>
          <w:i w:val="0"/>
          <w:iCs w:val="0"/>
          <w:color w:val="auto"/>
        </w:rPr>
        <w:t>O contratado não tem direito subjetivo à prorrogação contratual.</w:t>
      </w:r>
    </w:p>
    <w:p w14:paraId="507F92AF" w14:textId="7F693F2F" w:rsidR="002E5082" w:rsidRPr="00FF7B51" w:rsidRDefault="002E5082" w:rsidP="004E64AA">
      <w:pPr>
        <w:pStyle w:val="Nvel2-Red"/>
        <w:rPr>
          <w:i w:val="0"/>
          <w:iCs w:val="0"/>
          <w:color w:val="auto"/>
        </w:rPr>
      </w:pPr>
      <w:r w:rsidRPr="00FF7B51">
        <w:rPr>
          <w:i w:val="0"/>
          <w:iCs w:val="0"/>
          <w:color w:val="auto"/>
        </w:rPr>
        <w:t>A prorrogação de contrato deverá ser promovida mediante celebração de termo aditivo.</w:t>
      </w:r>
    </w:p>
    <w:p w14:paraId="03A9E789" w14:textId="7D1EB2CE" w:rsidR="00DB5DAB" w:rsidRPr="00FF7B51" w:rsidRDefault="00DB5DAB" w:rsidP="004E64AA">
      <w:pPr>
        <w:pStyle w:val="Nvel2-Red"/>
        <w:rPr>
          <w:i w:val="0"/>
          <w:iCs w:val="0"/>
          <w:color w:val="auto"/>
        </w:rPr>
      </w:pPr>
      <w:r w:rsidRPr="00FF7B51">
        <w:rPr>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7EF08CA3" w14:textId="7B47F3AC" w:rsidR="00DC41DD" w:rsidRPr="00FF7B51" w:rsidRDefault="00DC41DD" w:rsidP="00F8329F">
      <w:pPr>
        <w:pStyle w:val="Nivel01"/>
        <w:rPr>
          <w:color w:val="FFFFFF" w:themeColor="background1"/>
        </w:rPr>
      </w:pPr>
      <w:r w:rsidRPr="00FF7B51">
        <w:t>CLÁUSULA TERCEIRA – MODELOS DE EXECUÇÃO E GESTÃO CONTRATUAIS (</w:t>
      </w:r>
      <w:hyperlink r:id="rId13" w:anchor="art92" w:history="1">
        <w:r w:rsidRPr="00FF7B51">
          <w:rPr>
            <w:rStyle w:val="Hyperlink"/>
          </w:rPr>
          <w:t>art. 92, IV, VII e XVIII)</w:t>
        </w:r>
      </w:hyperlink>
    </w:p>
    <w:p w14:paraId="6D5040DF" w14:textId="4C754908" w:rsidR="00DC41DD" w:rsidRPr="00FF7B51" w:rsidRDefault="00DC41DD" w:rsidP="004E64AA">
      <w:pPr>
        <w:pStyle w:val="Nivel2"/>
      </w:pPr>
      <w:r w:rsidRPr="00FF7B51">
        <w:t>O regime de execução contratual, os modelos de gestão e de execução, assim como os prazos e condições de conclusão, entrega, observação e recebimento do objeto constam no Termo de Referência, anexo a este Contrato.</w:t>
      </w:r>
    </w:p>
    <w:p w14:paraId="3A69D02B" w14:textId="2BCFD2ED" w:rsidR="008574D7" w:rsidRPr="00FF7B51" w:rsidRDefault="00DC41DD" w:rsidP="00F8329F">
      <w:pPr>
        <w:pStyle w:val="Nivel01"/>
        <w:rPr>
          <w:color w:val="FFFFFF" w:themeColor="background1"/>
        </w:rPr>
      </w:pPr>
      <w:r w:rsidRPr="00FF7B51">
        <w:lastRenderedPageBreak/>
        <w:t xml:space="preserve">CLÁUSULA QUARTA </w:t>
      </w:r>
      <w:r w:rsidR="008574D7" w:rsidRPr="00FF7B51">
        <w:t>–</w:t>
      </w:r>
      <w:r w:rsidRPr="00FF7B51">
        <w:t xml:space="preserve"> SUBCONTRATAÇÃO</w:t>
      </w:r>
    </w:p>
    <w:p w14:paraId="328EE94C" w14:textId="101D9BE7" w:rsidR="00DC41DD" w:rsidRPr="00FF7B51" w:rsidRDefault="00DC41DD" w:rsidP="004E64AA">
      <w:pPr>
        <w:pStyle w:val="Nvel2-Red"/>
        <w:rPr>
          <w:i w:val="0"/>
          <w:iCs w:val="0"/>
          <w:color w:val="auto"/>
        </w:rPr>
      </w:pPr>
      <w:r w:rsidRPr="00FF7B51">
        <w:rPr>
          <w:i w:val="0"/>
          <w:iCs w:val="0"/>
          <w:color w:val="auto"/>
        </w:rPr>
        <w:t>Não será admitida a subcontratação do objeto contratual.</w:t>
      </w:r>
    </w:p>
    <w:p w14:paraId="0F2E9E2E" w14:textId="125C0F1D" w:rsidR="00DC41DD" w:rsidRPr="00FF7B51" w:rsidRDefault="00DC41DD" w:rsidP="00F8329F">
      <w:pPr>
        <w:pStyle w:val="Nivel01"/>
        <w:rPr>
          <w:color w:val="FFFFFF" w:themeColor="background1"/>
        </w:rPr>
      </w:pPr>
      <w:r w:rsidRPr="00FF7B51">
        <w:t xml:space="preserve">CLÁUSULA QUINTA </w:t>
      </w:r>
      <w:r w:rsidR="00362E67" w:rsidRPr="00FF7B51">
        <w:t>–</w:t>
      </w:r>
      <w:r w:rsidRPr="00FF7B51">
        <w:t xml:space="preserve"> PREÇO</w:t>
      </w:r>
      <w:r w:rsidR="00362E67" w:rsidRPr="00FF7B51">
        <w:t xml:space="preserve"> (</w:t>
      </w:r>
      <w:hyperlink r:id="rId14" w:anchor="art92" w:history="1">
        <w:r w:rsidR="00362E67" w:rsidRPr="00FF7B51">
          <w:rPr>
            <w:rStyle w:val="Hyperlink"/>
          </w:rPr>
          <w:t>art. 92, V)</w:t>
        </w:r>
      </w:hyperlink>
    </w:p>
    <w:p w14:paraId="504BF298" w14:textId="77777777" w:rsidR="00DC41DD" w:rsidRPr="00FF7B51" w:rsidRDefault="00DC41DD" w:rsidP="004E64AA">
      <w:pPr>
        <w:pStyle w:val="Nvel2-Red"/>
        <w:rPr>
          <w:i w:val="0"/>
          <w:iCs w:val="0"/>
          <w:color w:val="auto"/>
        </w:rPr>
      </w:pPr>
      <w:r w:rsidRPr="00FF7B51">
        <w:rPr>
          <w:i w:val="0"/>
          <w:iCs w:val="0"/>
          <w:color w:val="auto"/>
        </w:rPr>
        <w:t>O valor total da contratação é de R$</w:t>
      </w:r>
      <w:r w:rsidRPr="00FF7B51">
        <w:rPr>
          <w:i w:val="0"/>
          <w:iCs w:val="0"/>
          <w:color w:val="auto"/>
          <w:highlight w:val="yellow"/>
        </w:rPr>
        <w:t>.......... (.....)</w:t>
      </w:r>
    </w:p>
    <w:p w14:paraId="6B7C7844" w14:textId="77777777" w:rsidR="00DC41DD" w:rsidRPr="00FF7B51" w:rsidRDefault="00DC41DD" w:rsidP="004E64AA">
      <w:pPr>
        <w:pStyle w:val="Nivel2"/>
      </w:pPr>
      <w:r w:rsidRPr="00FF7B51">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1EBF8B" w14:textId="34AB50A4" w:rsidR="00DC41DD" w:rsidRPr="00FF7B51" w:rsidRDefault="00DC41DD" w:rsidP="004E64AA">
      <w:pPr>
        <w:pStyle w:val="Nvel2-Red"/>
        <w:rPr>
          <w:i w:val="0"/>
          <w:iCs w:val="0"/>
          <w:color w:val="auto"/>
        </w:rPr>
      </w:pPr>
      <w:r w:rsidRPr="00FF7B51">
        <w:rPr>
          <w:i w:val="0"/>
          <w:iCs w:val="0"/>
          <w:color w:val="auto"/>
        </w:rPr>
        <w:t>O valor acima é meramente estimativo, de forma que os pagamentos devidos ao contratado dependerão dos quantitativos efetivamente fornecidos.</w:t>
      </w:r>
    </w:p>
    <w:p w14:paraId="260F9E71" w14:textId="70BC884D" w:rsidR="00DC41DD" w:rsidRPr="00FF7B51" w:rsidRDefault="00DC41DD" w:rsidP="00F8329F">
      <w:pPr>
        <w:pStyle w:val="Nivel01"/>
        <w:rPr>
          <w:color w:val="FFFFFF" w:themeColor="background1"/>
        </w:rPr>
      </w:pPr>
      <w:r w:rsidRPr="00FF7B51">
        <w:t>CLÁUSULA SEXTA - PAGAMENTO (</w:t>
      </w:r>
      <w:hyperlink r:id="rId15" w:anchor="art92" w:history="1">
        <w:r w:rsidRPr="00FF7B51">
          <w:rPr>
            <w:rStyle w:val="Hyperlink"/>
          </w:rPr>
          <w:t>art. 92, V e VI</w:t>
        </w:r>
      </w:hyperlink>
      <w:r w:rsidRPr="00FF7B51">
        <w:t>)</w:t>
      </w:r>
    </w:p>
    <w:p w14:paraId="403E1291" w14:textId="06285514" w:rsidR="00DC41DD" w:rsidRPr="00FF7B51" w:rsidRDefault="00DC41DD" w:rsidP="004E64AA">
      <w:pPr>
        <w:pStyle w:val="Nivel2"/>
      </w:pPr>
      <w:r w:rsidRPr="00FF7B51">
        <w:t xml:space="preserve">O prazo para pagamento </w:t>
      </w:r>
      <w:r w:rsidRPr="00FF7B51">
        <w:rPr>
          <w:color w:val="auto"/>
          <w:lang w:eastAsia="en-US"/>
        </w:rPr>
        <w:t>ao contratado</w:t>
      </w:r>
      <w:r w:rsidRPr="00FF7B51">
        <w:t xml:space="preserve"> e demais condições a ele referentes encontram-se definidos no Termo de Referência, anexo a este Contrato.</w:t>
      </w:r>
    </w:p>
    <w:p w14:paraId="285B2363" w14:textId="0BC5D7BB" w:rsidR="00DC41DD" w:rsidRPr="00FF7B51" w:rsidRDefault="00DC41DD" w:rsidP="00F8329F">
      <w:pPr>
        <w:pStyle w:val="Nivel01"/>
        <w:rPr>
          <w:color w:val="FFFFFF" w:themeColor="background1"/>
        </w:rPr>
      </w:pPr>
      <w:r w:rsidRPr="00FF7B51">
        <w:t>CLÁUSULA SÉTIMA - REAJUSTE (</w:t>
      </w:r>
      <w:hyperlink r:id="rId16" w:anchor="art92" w:history="1">
        <w:r w:rsidRPr="00FF7B51">
          <w:rPr>
            <w:rStyle w:val="Hyperlink"/>
          </w:rPr>
          <w:t>art. 92, V)</w:t>
        </w:r>
      </w:hyperlink>
    </w:p>
    <w:p w14:paraId="47CF2220" w14:textId="77777777" w:rsidR="00DC41DD" w:rsidRPr="00FF7B51" w:rsidRDefault="00DC41DD" w:rsidP="004E64AA">
      <w:pPr>
        <w:pStyle w:val="Nivel2"/>
      </w:pPr>
      <w:r w:rsidRPr="00FF7B51">
        <w:t xml:space="preserve">Os preços inicialmente contratados são fixos e irreajustáveis no prazo de um ano contado da data do orçamento estimado, em </w:t>
      </w:r>
      <w:r w:rsidRPr="00FF7B51">
        <w:rPr>
          <w:i/>
          <w:iCs/>
          <w:color w:val="FF0000"/>
        </w:rPr>
        <w:t>__/__/__ (DD/MM/AAAA)</w:t>
      </w:r>
      <w:r w:rsidRPr="00FF7B51">
        <w:t>.</w:t>
      </w:r>
    </w:p>
    <w:p w14:paraId="42C191C8" w14:textId="3FF1C7D2" w:rsidR="00DC41DD" w:rsidRPr="00FF7B51" w:rsidRDefault="00DC41DD" w:rsidP="00F8329F">
      <w:pPr>
        <w:pStyle w:val="Nivel01"/>
        <w:rPr>
          <w:color w:val="FFFFFF" w:themeColor="background1"/>
        </w:rPr>
      </w:pPr>
      <w:r w:rsidRPr="00FF7B51">
        <w:t>CLÁUSULA OITAVA - OBRIGAÇÕES DO CONTRATANTE (</w:t>
      </w:r>
      <w:hyperlink r:id="rId17" w:anchor="art92" w:history="1">
        <w:r w:rsidRPr="00FF7B51">
          <w:rPr>
            <w:rStyle w:val="Hyperlink"/>
          </w:rPr>
          <w:t>art. 92, X, XI e XIV</w:t>
        </w:r>
      </w:hyperlink>
      <w:r w:rsidRPr="00FF7B51">
        <w:t>)</w:t>
      </w:r>
    </w:p>
    <w:p w14:paraId="17026D71" w14:textId="77777777" w:rsidR="00DC41DD" w:rsidRPr="00FF7B51" w:rsidRDefault="00DC41DD" w:rsidP="004E64AA">
      <w:pPr>
        <w:pStyle w:val="Nivel2"/>
        <w:rPr>
          <w:b/>
          <w:bCs/>
        </w:rPr>
      </w:pPr>
      <w:r w:rsidRPr="00FF7B51">
        <w:t>São obrigações do Contratante:</w:t>
      </w:r>
    </w:p>
    <w:p w14:paraId="532D3BFA" w14:textId="77777777" w:rsidR="00DC41DD" w:rsidRPr="00FF7B51" w:rsidRDefault="00DC41DD" w:rsidP="004E64AA">
      <w:pPr>
        <w:pStyle w:val="Nivel2"/>
      </w:pPr>
      <w:r w:rsidRPr="00FF7B51">
        <w:t>Exigir o cumprimento de todas as obrigações assumidas pelo Contratado, de acordo com o contrato e seus anexos;</w:t>
      </w:r>
    </w:p>
    <w:p w14:paraId="0962BAF1" w14:textId="77777777" w:rsidR="00DC41DD" w:rsidRPr="00FF7B51" w:rsidRDefault="00DC41DD" w:rsidP="004E64AA">
      <w:pPr>
        <w:pStyle w:val="Nivel2"/>
      </w:pPr>
      <w:r w:rsidRPr="00FF7B51">
        <w:t>Receber o objeto no prazo e condições estabelecidas no Termo de Referência;</w:t>
      </w:r>
    </w:p>
    <w:p w14:paraId="2BAA7037" w14:textId="77777777" w:rsidR="00DC41DD" w:rsidRPr="00FF7B51" w:rsidRDefault="00DC41DD" w:rsidP="004E64AA">
      <w:pPr>
        <w:pStyle w:val="Nivel2"/>
      </w:pPr>
      <w:r w:rsidRPr="00FF7B51">
        <w:t>Notificar o Contratado, por escrito, sobre vícios, defeitos ou incorreções verificadas no objeto fornecido, para que seja por ele substituído, reparado ou corrigido, no total ou em parte, às suas expensas;</w:t>
      </w:r>
    </w:p>
    <w:p w14:paraId="449FBE74" w14:textId="77777777" w:rsidR="00DC41DD" w:rsidRPr="00FF7B51" w:rsidRDefault="00DC41DD" w:rsidP="004E64AA">
      <w:pPr>
        <w:pStyle w:val="Nivel2"/>
      </w:pPr>
      <w:r w:rsidRPr="00FF7B51">
        <w:t>Acompanhar e fiscalizar a execução do contrato e o cumprimento das obrigações pelo Contratado;</w:t>
      </w:r>
    </w:p>
    <w:p w14:paraId="3F5A4521" w14:textId="55835BF4" w:rsidR="00DC41DD" w:rsidRPr="00FF7B51" w:rsidRDefault="00DC41DD" w:rsidP="004E64AA">
      <w:pPr>
        <w:pStyle w:val="Nivel2"/>
      </w:pPr>
      <w:r w:rsidRPr="00FF7B51">
        <w:t>Efetuar o pagamento ao Contratado do valor correspondente ao fornecimento do objeto, no prazo, forma e condições estabelecidos no presente Contrato</w:t>
      </w:r>
      <w:r w:rsidR="006B071C" w:rsidRPr="00FF7B51">
        <w:t xml:space="preserve"> e no Termo de Referência.</w:t>
      </w:r>
    </w:p>
    <w:p w14:paraId="051AC66D" w14:textId="77777777" w:rsidR="00DC41DD" w:rsidRPr="00FF7B51" w:rsidRDefault="00DC41DD" w:rsidP="004E64AA">
      <w:pPr>
        <w:pStyle w:val="Nivel2"/>
      </w:pPr>
      <w:r w:rsidRPr="00FF7B51">
        <w:t xml:space="preserve">Aplicar ao Contratado as sanções previstas na lei e neste Contrato; </w:t>
      </w:r>
    </w:p>
    <w:p w14:paraId="6F3B095A" w14:textId="77777777" w:rsidR="00DC41DD" w:rsidRPr="00FF7B51" w:rsidRDefault="00DC41DD" w:rsidP="004E64AA">
      <w:pPr>
        <w:pStyle w:val="Nivel2"/>
      </w:pPr>
      <w:r w:rsidRPr="00FF7B51">
        <w:t>Cientificar o órgão de representação judicial da Advocacia-Geral da União para adoção das medidas cabíveis quando do descumprimento de obrigações pelo Contratado;</w:t>
      </w:r>
    </w:p>
    <w:p w14:paraId="46E2C605" w14:textId="77777777" w:rsidR="00DC41DD" w:rsidRPr="00FF7B51" w:rsidRDefault="00DC41DD" w:rsidP="004E64AA">
      <w:pPr>
        <w:pStyle w:val="Nivel2"/>
      </w:pPr>
      <w:r w:rsidRPr="00FF7B51">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D37F44" w14:textId="66700BFA" w:rsidR="00DC41DD" w:rsidRPr="00FF7B51" w:rsidRDefault="00DC41DD" w:rsidP="004E64AA">
      <w:pPr>
        <w:pStyle w:val="Nivel2"/>
        <w:rPr>
          <w:b/>
          <w:bCs/>
        </w:rPr>
      </w:pPr>
      <w:r w:rsidRPr="00FF7B51">
        <w:t xml:space="preserve">A Administração terá o prazo </w:t>
      </w:r>
      <w:r w:rsidRPr="00FF7B51">
        <w:rPr>
          <w:i/>
          <w:iCs/>
          <w:color w:val="auto"/>
        </w:rPr>
        <w:t xml:space="preserve">de </w:t>
      </w:r>
      <w:r w:rsidR="00AB237C" w:rsidRPr="00FF7B51">
        <w:rPr>
          <w:b/>
          <w:bCs/>
          <w:color w:val="auto"/>
        </w:rPr>
        <w:t>15 (quinze) dias</w:t>
      </w:r>
      <w:r w:rsidRPr="00FF7B51">
        <w:rPr>
          <w:color w:val="auto"/>
        </w:rPr>
        <w:t xml:space="preserve"> </w:t>
      </w:r>
      <w:r w:rsidRPr="00FF7B51">
        <w:t xml:space="preserve">a contar da data do protocolo do requerimento para decidir, admitida a prorrogação motivada, por igual período. </w:t>
      </w:r>
    </w:p>
    <w:p w14:paraId="0A9AC408" w14:textId="61FD94B7" w:rsidR="00DC41DD" w:rsidRPr="00FF7B51" w:rsidRDefault="00DC41DD" w:rsidP="004E64AA">
      <w:pPr>
        <w:pStyle w:val="Nivel2"/>
        <w:rPr>
          <w:color w:val="FF0000"/>
        </w:rPr>
      </w:pPr>
      <w:r w:rsidRPr="00FF7B51">
        <w:t xml:space="preserve">Responder eventuais pedidos de reestabelecimento do equilíbrio econômico-financeiro feitos pelo contratado no prazo máximo de </w:t>
      </w:r>
      <w:r w:rsidR="00AB237C" w:rsidRPr="00FF7B51">
        <w:rPr>
          <w:b/>
          <w:bCs/>
          <w:color w:val="auto"/>
        </w:rPr>
        <w:t>30 (trinta) dias</w:t>
      </w:r>
      <w:r w:rsidRPr="00FF7B51">
        <w:rPr>
          <w:b/>
          <w:bCs/>
          <w:color w:val="auto"/>
        </w:rPr>
        <w:t>.</w:t>
      </w:r>
    </w:p>
    <w:p w14:paraId="4F3C6D87" w14:textId="77777777" w:rsidR="00DC41DD" w:rsidRPr="00FF7B51" w:rsidRDefault="00DC41DD" w:rsidP="004E64AA">
      <w:pPr>
        <w:pStyle w:val="Nvel2-Red"/>
        <w:rPr>
          <w:i w:val="0"/>
          <w:iCs w:val="0"/>
          <w:color w:val="auto"/>
        </w:rPr>
      </w:pPr>
      <w:r w:rsidRPr="00FF7B51">
        <w:rPr>
          <w:i w:val="0"/>
          <w:iCs w:val="0"/>
          <w:color w:val="auto"/>
        </w:rPr>
        <w:t>Notificar os emitentes das garantias quanto ao início de processo administrativo para apuração de descumprimento de cláusulas contratuais.</w:t>
      </w:r>
    </w:p>
    <w:p w14:paraId="03EA963A" w14:textId="77777777" w:rsidR="00DC41DD" w:rsidRPr="00FF7B51" w:rsidRDefault="00DC41DD" w:rsidP="004E64AA">
      <w:pPr>
        <w:pStyle w:val="Nivel2"/>
      </w:pPr>
      <w:r w:rsidRPr="00FF7B51">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398BA78B" w:rsidR="00DC41DD" w:rsidRPr="00FF7B51" w:rsidRDefault="00DC41DD" w:rsidP="00F8329F">
      <w:pPr>
        <w:pStyle w:val="Nivel01"/>
        <w:rPr>
          <w:color w:val="FFFFFF" w:themeColor="background1"/>
        </w:rPr>
      </w:pPr>
      <w:r w:rsidRPr="00FF7B51">
        <w:t>CLÁUSULA NONA - OBRIGAÇÕES DO CONTRATADO (</w:t>
      </w:r>
      <w:hyperlink r:id="rId18" w:anchor="art92" w:history="1">
        <w:r w:rsidRPr="00FF7B51">
          <w:rPr>
            <w:rStyle w:val="Hyperlink"/>
          </w:rPr>
          <w:t>art. 92, XIV, XVI e XVII)</w:t>
        </w:r>
      </w:hyperlink>
    </w:p>
    <w:p w14:paraId="66D9B8F6" w14:textId="77777777" w:rsidR="00DC41DD" w:rsidRPr="00FF7B51" w:rsidRDefault="00DC41DD" w:rsidP="004E64AA">
      <w:pPr>
        <w:pStyle w:val="Nivel2"/>
      </w:pPr>
      <w:r w:rsidRPr="00FF7B51">
        <w:t>O Contratado deve cumprir todas as obrigações constantes deste Contrato e em seus anexos, assumindo como exclusivamente seus os riscos e as despesas decorrentes da boa e perfeita execução do objeto, observando, ainda, as obrigações a seguir dispostas:</w:t>
      </w:r>
    </w:p>
    <w:p w14:paraId="49999367" w14:textId="77777777" w:rsidR="00DC41DD" w:rsidRPr="00FF7B51" w:rsidRDefault="00DC41DD" w:rsidP="004E64AA">
      <w:pPr>
        <w:pStyle w:val="Nvel2-Red"/>
        <w:rPr>
          <w:i w:val="0"/>
          <w:iCs w:val="0"/>
          <w:color w:val="auto"/>
        </w:rPr>
      </w:pPr>
      <w:r w:rsidRPr="00FF7B51">
        <w:rPr>
          <w:i w:val="0"/>
          <w:iCs w:val="0"/>
          <w:color w:val="auto"/>
        </w:rPr>
        <w:t>Entregar o objeto acompanhado do manual do usuário, com uma versão em português, e da relação da rede de assistência técnica autorizada;</w:t>
      </w:r>
    </w:p>
    <w:p w14:paraId="23B8AEB0" w14:textId="3DA75AAF" w:rsidR="00DC41DD" w:rsidRPr="00FF7B51" w:rsidRDefault="00DC41DD" w:rsidP="004E64AA">
      <w:pPr>
        <w:pStyle w:val="Nivel2"/>
        <w:rPr>
          <w:color w:val="000000" w:themeColor="text1"/>
        </w:rPr>
      </w:pPr>
      <w:r w:rsidRPr="00FF7B51">
        <w:t>Responsabilizar-se pelos vícios e danos decorrentes do objeto, de acordo com o Código de Defesa do Consumidor (</w:t>
      </w:r>
      <w:hyperlink r:id="rId19" w:history="1">
        <w:r w:rsidRPr="00FF7B51">
          <w:rPr>
            <w:rStyle w:val="Hyperlink"/>
          </w:rPr>
          <w:t>Lei nº 8.078, de 1990</w:t>
        </w:r>
      </w:hyperlink>
      <w:r w:rsidRPr="00FF7B51">
        <w:t>);</w:t>
      </w:r>
    </w:p>
    <w:p w14:paraId="7F12485C" w14:textId="77777777" w:rsidR="00DC41DD" w:rsidRPr="00FF7B51" w:rsidRDefault="00DC41DD" w:rsidP="004E64AA">
      <w:pPr>
        <w:pStyle w:val="Nivel2"/>
      </w:pPr>
      <w:r w:rsidRPr="00FF7B51">
        <w:t>Comunicar ao contratante, no prazo máximo de 24 (vinte e quatro) horas que antecede a data da entrega, os motivos que impossibilitem o cumprimento do prazo previsto, com a devida comprovação;</w:t>
      </w:r>
    </w:p>
    <w:p w14:paraId="7B6EFAFD" w14:textId="584EC796" w:rsidR="00DC41DD" w:rsidRPr="00FF7B51" w:rsidRDefault="00DC41DD" w:rsidP="004E64AA">
      <w:pPr>
        <w:pStyle w:val="Nivel2"/>
        <w:rPr>
          <w:color w:val="000000" w:themeColor="text1"/>
        </w:rPr>
      </w:pPr>
      <w:r w:rsidRPr="00FF7B51">
        <w:rPr>
          <w:color w:val="000000" w:themeColor="text1"/>
        </w:rPr>
        <w:t xml:space="preserve">Atender </w:t>
      </w:r>
      <w:r w:rsidRPr="00FF7B51">
        <w:t>às</w:t>
      </w:r>
      <w:r w:rsidRPr="00FF7B51">
        <w:rPr>
          <w:color w:val="000000" w:themeColor="text1"/>
        </w:rPr>
        <w:t xml:space="preserve"> determinações regulares emitidas pelo fiscal ou gestor do contrato ou autoridade superior (</w:t>
      </w:r>
      <w:hyperlink r:id="rId20" w:anchor="art137" w:history="1">
        <w:r w:rsidRPr="00FF7B51">
          <w:rPr>
            <w:rStyle w:val="Hyperlink"/>
          </w:rPr>
          <w:t>art. 137, II, da Lei n.º 14.133, de 2021</w:t>
        </w:r>
      </w:hyperlink>
      <w:r w:rsidRPr="00FF7B51">
        <w:rPr>
          <w:color w:val="000000" w:themeColor="text1"/>
        </w:rPr>
        <w:t xml:space="preserve">) e </w:t>
      </w:r>
      <w:r w:rsidRPr="00FF7B51">
        <w:t>prestar todo esclarecimento ou informação por eles solicitados</w:t>
      </w:r>
      <w:r w:rsidRPr="00FF7B51">
        <w:rPr>
          <w:color w:val="000000" w:themeColor="text1"/>
        </w:rPr>
        <w:t>;</w:t>
      </w:r>
    </w:p>
    <w:p w14:paraId="6B9FA8A1" w14:textId="77777777" w:rsidR="00DC41DD" w:rsidRPr="00FF7B51" w:rsidRDefault="00DC41DD" w:rsidP="004E64AA">
      <w:pPr>
        <w:pStyle w:val="Nivel2"/>
      </w:pPr>
      <w:r w:rsidRPr="00FF7B51">
        <w:t>Reparar, corrigir, remover, reconstruir ou substituir, às suas expensas, no total ou em parte, no prazo fixado pelo fiscal do contrato, os bens nos quais se verificarem vícios, defeitos ou incorreções resultantes da execução ou dos materiais empregados;</w:t>
      </w:r>
    </w:p>
    <w:p w14:paraId="2F42FD05" w14:textId="77777777" w:rsidR="00DC41DD" w:rsidRPr="00FF7B51" w:rsidRDefault="00DC41DD" w:rsidP="004E64AA">
      <w:pPr>
        <w:pStyle w:val="Nivel2"/>
      </w:pPr>
      <w:r w:rsidRPr="00FF7B51">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F16536" w14:textId="21DEBEF3" w:rsidR="00DC41DD" w:rsidRPr="00FF7B51" w:rsidRDefault="00DC41DD" w:rsidP="00F8329F">
      <w:pPr>
        <w:pStyle w:val="Nivel2"/>
      </w:pPr>
      <w:r w:rsidRPr="00FF7B51">
        <w:t xml:space="preserve">Quando não for possível a verificação da regularidade no Sistema de Cadastro de Fornecedores – SICAF, </w:t>
      </w:r>
      <w:r w:rsidR="00062E0E" w:rsidRPr="00FF7B51">
        <w:t>o contratado</w:t>
      </w:r>
      <w:r w:rsidRPr="00FF7B51">
        <w:t xml:space="preserve">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C48B87" w14:textId="77777777" w:rsidR="00DC41DD" w:rsidRPr="00FF7B51" w:rsidRDefault="00DC41DD" w:rsidP="00F8329F">
      <w:pPr>
        <w:pStyle w:val="Nivel2"/>
      </w:pPr>
      <w:r w:rsidRPr="00FF7B51">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299BC1" w14:textId="15AC6186" w:rsidR="00DC41DD" w:rsidRPr="00FF7B51" w:rsidRDefault="00DC41DD" w:rsidP="00F8329F">
      <w:pPr>
        <w:pStyle w:val="Nivel2"/>
      </w:pPr>
      <w:r w:rsidRPr="00FF7B51">
        <w:t>Comunicar ao Fiscal do contrato, no prazo de 24 (vinte e quatro) horas, qualquer ocorrência anormal ou acidente que se verifique no local da execução do objeto contratual.</w:t>
      </w:r>
    </w:p>
    <w:p w14:paraId="1C48E932" w14:textId="77777777" w:rsidR="00DC41DD" w:rsidRPr="00FF7B51" w:rsidRDefault="00DC41DD" w:rsidP="00F8329F">
      <w:pPr>
        <w:pStyle w:val="Nivel2"/>
      </w:pPr>
      <w:r w:rsidRPr="00FF7B51">
        <w:t>Paralisar, por determinação do contratante, qualquer atividade que não esteja sendo executada de acordo com a boa técnica ou que ponha em risco a segurança de pessoas ou bens de terceiros.</w:t>
      </w:r>
    </w:p>
    <w:p w14:paraId="3426F1D7" w14:textId="77777777" w:rsidR="00DC41DD" w:rsidRPr="00FF7B51" w:rsidRDefault="00DC41DD" w:rsidP="00F8329F">
      <w:pPr>
        <w:pStyle w:val="Nivel2"/>
      </w:pPr>
      <w:r w:rsidRPr="00FF7B51">
        <w:t xml:space="preserve">Manter durante toda a vigência do contrato, em compatibilidade com as obrigações assumidas, todas as condições exigidas para habilitação na licitação; </w:t>
      </w:r>
    </w:p>
    <w:p w14:paraId="5518944E" w14:textId="614BA16D" w:rsidR="00DC41DD" w:rsidRPr="00FF7B51" w:rsidRDefault="00DC41DD" w:rsidP="00F8329F">
      <w:pPr>
        <w:pStyle w:val="Nivel2"/>
        <w:rPr>
          <w:b/>
          <w:bCs/>
        </w:rPr>
      </w:pPr>
      <w:r w:rsidRPr="00FF7B51">
        <w:t>Cumprir, durante todo o período de execução do contrato, a reserva de cargos prevista em lei para pessoa com deficiência, para reabilitado da Previdência Social ou para aprendiz, bem como as reservas de cargos previstas na legislação (</w:t>
      </w:r>
      <w:hyperlink r:id="rId21" w:anchor="art116" w:history="1">
        <w:r w:rsidRPr="00FF7B51">
          <w:rPr>
            <w:rStyle w:val="Hyperlink"/>
          </w:rPr>
          <w:t>art. 116, da Lei n.º 14.133, de 2021</w:t>
        </w:r>
      </w:hyperlink>
      <w:r w:rsidRPr="00FF7B51">
        <w:t>);</w:t>
      </w:r>
    </w:p>
    <w:p w14:paraId="2AFE4DF4" w14:textId="2D7CCDEE" w:rsidR="00DC41DD" w:rsidRPr="00FF7B51" w:rsidRDefault="00DC41DD" w:rsidP="00F8329F">
      <w:pPr>
        <w:pStyle w:val="Nivel2"/>
      </w:pPr>
      <w:r w:rsidRPr="00FF7B51">
        <w:t>Comprovar a reserva de cargos a que se refere a cláusula acima, no prazo fixado pelo fiscal do contrato, com a indicação dos empregados que preencheram as referidas vagas (</w:t>
      </w:r>
      <w:hyperlink r:id="rId22" w:anchor="art116" w:history="1">
        <w:r w:rsidRPr="00FF7B51">
          <w:rPr>
            <w:rStyle w:val="Hyperlink"/>
          </w:rPr>
          <w:t>art. 116, parágrafo único, da Lei n.º 14.133, de 2021</w:t>
        </w:r>
      </w:hyperlink>
      <w:r w:rsidRPr="00FF7B51">
        <w:t>);</w:t>
      </w:r>
    </w:p>
    <w:p w14:paraId="79014668" w14:textId="77777777" w:rsidR="00DC41DD" w:rsidRPr="00FF7B51" w:rsidRDefault="00DC41DD" w:rsidP="00F8329F">
      <w:pPr>
        <w:pStyle w:val="Nivel2"/>
      </w:pPr>
      <w:r w:rsidRPr="00FF7B51">
        <w:lastRenderedPageBreak/>
        <w:t xml:space="preserve">  Guardar sigilo sobre todas as informações obtidas em decorrência do cumprimento do contrato; </w:t>
      </w:r>
    </w:p>
    <w:p w14:paraId="40F6E989" w14:textId="27F4FC8D" w:rsidR="00DC41DD" w:rsidRPr="00FF7B51" w:rsidRDefault="00DC41DD" w:rsidP="00F8329F">
      <w:pPr>
        <w:pStyle w:val="Nivel2"/>
      </w:pPr>
      <w:r w:rsidRPr="00FF7B51">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3" w:anchor="art124" w:history="1">
        <w:r w:rsidRPr="00FF7B51">
          <w:rPr>
            <w:rStyle w:val="Hyperlink"/>
          </w:rPr>
          <w:t>art. 124, II, d, da Lei nº 14.133, de 2021.</w:t>
        </w:r>
      </w:hyperlink>
    </w:p>
    <w:p w14:paraId="5B69FA05" w14:textId="77777777" w:rsidR="00DC41DD" w:rsidRPr="00FF7B51" w:rsidRDefault="00DC41DD" w:rsidP="00F8329F">
      <w:pPr>
        <w:pStyle w:val="Nivel2"/>
      </w:pPr>
      <w:r w:rsidRPr="00FF7B51">
        <w:t>Cumprir, além dos postulados legais vigentes de âmbito federal, estadual ou municipal, as normas de segurança do contratante;</w:t>
      </w:r>
    </w:p>
    <w:p w14:paraId="0BA97613" w14:textId="77777777" w:rsidR="00DC41DD" w:rsidRPr="00FF7B51" w:rsidRDefault="00DC41DD" w:rsidP="00F8329F">
      <w:pPr>
        <w:pStyle w:val="Nvel2-Red"/>
        <w:rPr>
          <w:i w:val="0"/>
          <w:iCs w:val="0"/>
          <w:color w:val="auto"/>
        </w:rPr>
      </w:pPr>
      <w:bookmarkStart w:id="0" w:name="_Ref118293001"/>
      <w:r w:rsidRPr="00FF7B51">
        <w:rPr>
          <w:i w:val="0"/>
          <w:iCs w:val="0"/>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14:paraId="7F236BB9" w14:textId="77777777" w:rsidR="00DC41DD" w:rsidRPr="00FF7B51" w:rsidRDefault="00DC41DD" w:rsidP="00F8329F">
      <w:pPr>
        <w:pStyle w:val="Nvel2-Red"/>
        <w:rPr>
          <w:i w:val="0"/>
          <w:iCs w:val="0"/>
          <w:color w:val="auto"/>
        </w:rPr>
      </w:pPr>
      <w:r w:rsidRPr="00FF7B51">
        <w:rPr>
          <w:i w:val="0"/>
          <w:iCs w:val="0"/>
          <w:color w:val="auto"/>
        </w:rPr>
        <w:t>Orientar e treinar seus empregados sobre os deveres previstos na Lei nº 13.709, de 14 de agosto de 2018, adotando medidas eficazes para proteção de dados pessoais a que tenha acesso por força da execução deste contrato;</w:t>
      </w:r>
    </w:p>
    <w:p w14:paraId="0CE89A96" w14:textId="77777777" w:rsidR="00DC41DD" w:rsidRPr="00FF7B51" w:rsidRDefault="00DC41DD" w:rsidP="00F8329F">
      <w:pPr>
        <w:pStyle w:val="Nvel2-Red"/>
        <w:rPr>
          <w:i w:val="0"/>
          <w:iCs w:val="0"/>
          <w:color w:val="auto"/>
        </w:rPr>
      </w:pPr>
      <w:r w:rsidRPr="00FF7B51">
        <w:rPr>
          <w:i w:val="0"/>
          <w:iCs w:val="0"/>
          <w:color w:val="auto"/>
        </w:rPr>
        <w:t>Conduzir os trabalhos com estrita observância às normas da legislação pertinente, cumprindo as determinações dos Poderes Públicos, mantendo sempre limpo o local d</w:t>
      </w:r>
      <w:r w:rsidRPr="00FF7B51">
        <w:rPr>
          <w:i w:val="0"/>
          <w:iCs w:val="0"/>
          <w:color w:val="auto"/>
          <w:lang w:eastAsia="en-US"/>
        </w:rPr>
        <w:t>e execução do objeto</w:t>
      </w:r>
      <w:r w:rsidRPr="00FF7B51">
        <w:rPr>
          <w:i w:val="0"/>
          <w:iCs w:val="0"/>
          <w:color w:val="auto"/>
        </w:rPr>
        <w:t xml:space="preserve"> e nas melhores condições de segurança, higiene e disciplina.</w:t>
      </w:r>
    </w:p>
    <w:p w14:paraId="527F2211" w14:textId="77777777" w:rsidR="00DC41DD" w:rsidRPr="00FF7B51" w:rsidRDefault="00DC41DD" w:rsidP="00F8329F">
      <w:pPr>
        <w:pStyle w:val="Nvel2-Red"/>
        <w:rPr>
          <w:i w:val="0"/>
          <w:iCs w:val="0"/>
          <w:color w:val="auto"/>
        </w:rPr>
      </w:pPr>
      <w:r w:rsidRPr="00FF7B51">
        <w:rPr>
          <w:i w:val="0"/>
          <w:iCs w:val="0"/>
          <w:color w:val="auto"/>
        </w:rPr>
        <w:t>Submeter previamente, por escrito, ao contratante, para análise e aprovação, quaisquer mudanças nos métodos executivos que fujam às especificações do memorial descritivo ou instrumento congênere.</w:t>
      </w:r>
    </w:p>
    <w:p w14:paraId="724ABB24" w14:textId="77777777" w:rsidR="00DC41DD" w:rsidRPr="00FF7B51" w:rsidRDefault="00DC41DD" w:rsidP="00F8329F">
      <w:pPr>
        <w:pStyle w:val="Nvel2-Red"/>
        <w:rPr>
          <w:i w:val="0"/>
          <w:iCs w:val="0"/>
          <w:color w:val="auto"/>
        </w:rPr>
      </w:pPr>
      <w:bookmarkStart w:id="1" w:name="_Ref118293030"/>
      <w:r w:rsidRPr="00FF7B51">
        <w:rPr>
          <w:i w:val="0"/>
          <w:iCs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14:paraId="399FFBFE" w14:textId="7C8985EF" w:rsidR="00DC41DD" w:rsidRPr="00FF7B51" w:rsidRDefault="00DC41DD" w:rsidP="00142122">
      <w:pPr>
        <w:pStyle w:val="Nivel01"/>
        <w:rPr>
          <w:color w:val="FFFFFF" w:themeColor="background1"/>
        </w:rPr>
      </w:pPr>
      <w:r w:rsidRPr="00FF7B51">
        <w:t>CLÁUSULA DÉCIMA– GARANTIA DE EXECUÇÃO (</w:t>
      </w:r>
      <w:hyperlink r:id="rId24" w:anchor="art92" w:history="1">
        <w:r w:rsidRPr="00FF7B51">
          <w:rPr>
            <w:rStyle w:val="Hyperlink"/>
          </w:rPr>
          <w:t>art. 92, XII</w:t>
        </w:r>
      </w:hyperlink>
      <w:r w:rsidRPr="00FF7B51">
        <w:t>)</w:t>
      </w:r>
    </w:p>
    <w:p w14:paraId="2ABE84A4" w14:textId="77777777" w:rsidR="00DC41DD" w:rsidRPr="00FF7B51" w:rsidRDefault="00DC41DD" w:rsidP="00142122">
      <w:pPr>
        <w:pStyle w:val="Nvel2-Red"/>
        <w:rPr>
          <w:i w:val="0"/>
          <w:iCs w:val="0"/>
          <w:color w:val="auto"/>
        </w:rPr>
      </w:pPr>
      <w:r w:rsidRPr="00FF7B51">
        <w:t xml:space="preserve">  </w:t>
      </w:r>
      <w:r w:rsidRPr="00FF7B51">
        <w:rPr>
          <w:i w:val="0"/>
          <w:iCs w:val="0"/>
          <w:color w:val="auto"/>
        </w:rPr>
        <w:t>Não haverá exigência de garantia contratual da execução.</w:t>
      </w:r>
    </w:p>
    <w:p w14:paraId="48E93F9C" w14:textId="06373B47" w:rsidR="00DC41DD" w:rsidRPr="00FF7B51" w:rsidRDefault="00DC41DD" w:rsidP="00142122">
      <w:pPr>
        <w:pStyle w:val="Nivel01"/>
        <w:rPr>
          <w:color w:val="FFFFFF" w:themeColor="background1"/>
        </w:rPr>
      </w:pPr>
      <w:r w:rsidRPr="00FF7B51">
        <w:t>CLÁUSULA DÉCIMA PRIMEIRA – INFRAÇÕES E SANÇÕES ADMINISTRATIVAS (</w:t>
      </w:r>
      <w:hyperlink r:id="rId25" w:anchor="art92" w:history="1">
        <w:r w:rsidRPr="00FF7B51">
          <w:rPr>
            <w:rStyle w:val="Hyperlink"/>
          </w:rPr>
          <w:t>art. 92, XIV</w:t>
        </w:r>
      </w:hyperlink>
      <w:r w:rsidRPr="00FF7B51">
        <w:t>)</w:t>
      </w:r>
    </w:p>
    <w:p w14:paraId="491B3853" w14:textId="0FE9B51D" w:rsidR="00DC41DD" w:rsidRPr="00FF7B51" w:rsidRDefault="00DC41DD" w:rsidP="00142122">
      <w:pPr>
        <w:pStyle w:val="Nivel2"/>
      </w:pPr>
      <w:r w:rsidRPr="00FF7B51">
        <w:t xml:space="preserve">Comete infração administrativa, nos termos da </w:t>
      </w:r>
      <w:hyperlink r:id="rId26" w:history="1">
        <w:r w:rsidRPr="00FF7B51">
          <w:rPr>
            <w:rStyle w:val="Hyperlink"/>
          </w:rPr>
          <w:t>Lei nº 14.133, de 2021</w:t>
        </w:r>
      </w:hyperlink>
      <w:r w:rsidRPr="00FF7B51">
        <w:t>, o contratado que:</w:t>
      </w:r>
    </w:p>
    <w:p w14:paraId="344CAD75" w14:textId="77777777" w:rsidR="00DC41DD" w:rsidRPr="00FF7B51"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sz w:val="20"/>
          <w:szCs w:val="20"/>
        </w:rPr>
        <w:t>der causa à inexecução parcial do contrato;</w:t>
      </w:r>
    </w:p>
    <w:p w14:paraId="7CA72B28" w14:textId="77777777" w:rsidR="00DC41DD" w:rsidRPr="00FF7B51"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sz w:val="20"/>
          <w:szCs w:val="20"/>
        </w:rPr>
        <w:t>der causa à inexecução parcial do contrato que cause grave dano à Administração ou ao funcionamento dos serviços públicos ou ao interesse coletivo;</w:t>
      </w:r>
    </w:p>
    <w:p w14:paraId="342F8C93" w14:textId="77777777" w:rsidR="00DC41DD" w:rsidRPr="00FF7B51"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sz w:val="20"/>
          <w:szCs w:val="20"/>
        </w:rPr>
        <w:t>der causa à inexecução total do contrato;</w:t>
      </w:r>
    </w:p>
    <w:p w14:paraId="1F30C4BD" w14:textId="77777777" w:rsidR="00DC41DD" w:rsidRPr="00FF7B51"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sz w:val="20"/>
          <w:szCs w:val="20"/>
        </w:rPr>
        <w:t>ensejar o retardamento da execução ou da entrega do objeto da contratação sem motivo justificado;</w:t>
      </w:r>
    </w:p>
    <w:p w14:paraId="2CF83844" w14:textId="77777777" w:rsidR="00DC41DD" w:rsidRPr="00FF7B51"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sz w:val="20"/>
          <w:szCs w:val="20"/>
        </w:rPr>
        <w:t>apresentar documentação falsa ou prestar declaração falsa durante a execução do contrato;</w:t>
      </w:r>
    </w:p>
    <w:p w14:paraId="4993459F" w14:textId="77777777" w:rsidR="00DC41DD" w:rsidRPr="00FF7B51"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sz w:val="20"/>
          <w:szCs w:val="20"/>
        </w:rPr>
        <w:t>praticar ato fraudulento na execução do contrato;</w:t>
      </w:r>
    </w:p>
    <w:p w14:paraId="31E2B217" w14:textId="77777777" w:rsidR="00DC41DD" w:rsidRPr="00FF7B51"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sz w:val="20"/>
          <w:szCs w:val="20"/>
        </w:rPr>
        <w:t>comportar-se de modo inidôneo ou cometer fraude de qualquer natureza;</w:t>
      </w:r>
    </w:p>
    <w:p w14:paraId="60D6E137" w14:textId="13D5D45B" w:rsidR="00DC41DD" w:rsidRPr="00FF7B51"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sz w:val="20"/>
          <w:szCs w:val="20"/>
        </w:rPr>
        <w:t xml:space="preserve">praticar ato lesivo previsto no </w:t>
      </w:r>
      <w:hyperlink r:id="rId27" w:anchor="art5" w:history="1">
        <w:r w:rsidRPr="00FF7B51">
          <w:rPr>
            <w:rStyle w:val="Hyperlink"/>
            <w:rFonts w:ascii="Arial" w:eastAsia="Arial" w:hAnsi="Arial" w:cs="Arial"/>
            <w:sz w:val="20"/>
            <w:szCs w:val="20"/>
          </w:rPr>
          <w:t>art. 5º da Lei nº 12.846, de 1º de agosto de 2013</w:t>
        </w:r>
      </w:hyperlink>
      <w:r w:rsidRPr="00FF7B51">
        <w:rPr>
          <w:rFonts w:ascii="Arial" w:eastAsia="Arial" w:hAnsi="Arial" w:cs="Arial"/>
          <w:sz w:val="20"/>
          <w:szCs w:val="20"/>
        </w:rPr>
        <w:t>.</w:t>
      </w:r>
    </w:p>
    <w:p w14:paraId="2E8AD20C" w14:textId="77777777" w:rsidR="00DC41DD" w:rsidRPr="00FF7B51" w:rsidRDefault="00DC41DD" w:rsidP="00142122">
      <w:pPr>
        <w:pStyle w:val="Nivel2"/>
      </w:pPr>
      <w:r w:rsidRPr="00FF7B51">
        <w:t>Serão aplicadas ao contratado que incorrer nas infrações acima descritas as seguintes sanções:</w:t>
      </w:r>
    </w:p>
    <w:p w14:paraId="2C9CCA0E" w14:textId="0D407117" w:rsidR="00542A36" w:rsidRPr="00FF7B51"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b/>
          <w:bCs/>
          <w:sz w:val="20"/>
          <w:szCs w:val="20"/>
        </w:rPr>
        <w:t>Advertência</w:t>
      </w:r>
      <w:r w:rsidRPr="00FF7B51">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FF7B51">
          <w:rPr>
            <w:rStyle w:val="Hyperlink"/>
            <w:rFonts w:ascii="Arial" w:eastAsia="Arial" w:hAnsi="Arial" w:cs="Arial"/>
            <w:sz w:val="20"/>
            <w:szCs w:val="20"/>
          </w:rPr>
          <w:t xml:space="preserve">art. 156, §2º, da </w:t>
        </w:r>
        <w:bookmarkStart w:id="2" w:name="_Hlk114504069"/>
        <w:r w:rsidRPr="00FF7B51">
          <w:rPr>
            <w:rStyle w:val="Hyperlink"/>
            <w:rFonts w:ascii="Arial" w:eastAsia="Arial" w:hAnsi="Arial" w:cs="Arial"/>
            <w:sz w:val="20"/>
            <w:szCs w:val="20"/>
          </w:rPr>
          <w:t>Lei nº 14.133, de 2021</w:t>
        </w:r>
        <w:bookmarkEnd w:id="2"/>
      </w:hyperlink>
      <w:r w:rsidRPr="00FF7B51">
        <w:rPr>
          <w:rFonts w:ascii="Arial" w:eastAsia="Arial" w:hAnsi="Arial" w:cs="Arial"/>
          <w:sz w:val="20"/>
          <w:szCs w:val="20"/>
        </w:rPr>
        <w:t>);</w:t>
      </w:r>
    </w:p>
    <w:p w14:paraId="527561CD" w14:textId="7C3F4483" w:rsidR="00DC41DD" w:rsidRPr="00FF7B51"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b/>
          <w:bCs/>
          <w:sz w:val="20"/>
          <w:szCs w:val="20"/>
        </w:rPr>
        <w:lastRenderedPageBreak/>
        <w:t>Impedimento de licitar e contratar</w:t>
      </w:r>
      <w:r w:rsidRPr="00FF7B51">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FF7B51">
          <w:rPr>
            <w:rStyle w:val="Hyperlink"/>
            <w:rFonts w:ascii="Arial" w:eastAsia="Arial" w:hAnsi="Arial" w:cs="Arial"/>
            <w:sz w:val="20"/>
            <w:szCs w:val="20"/>
          </w:rPr>
          <w:t>art. 156, § 4º, da Lei nº 14.133, de 2021</w:t>
        </w:r>
      </w:hyperlink>
      <w:r w:rsidRPr="00FF7B51">
        <w:rPr>
          <w:rFonts w:ascii="Arial" w:eastAsia="Arial" w:hAnsi="Arial" w:cs="Arial"/>
          <w:sz w:val="20"/>
          <w:szCs w:val="20"/>
        </w:rPr>
        <w:t>);</w:t>
      </w:r>
    </w:p>
    <w:p w14:paraId="49D82C64" w14:textId="22344888" w:rsidR="00542A36" w:rsidRPr="00FF7B51"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b/>
          <w:bCs/>
          <w:sz w:val="20"/>
          <w:szCs w:val="20"/>
        </w:rPr>
        <w:t>Declaração de inidoneidade para licitar e contratar</w:t>
      </w:r>
      <w:r w:rsidRPr="00FF7B51">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FF7B51">
          <w:rPr>
            <w:rStyle w:val="Hyperlink"/>
            <w:rFonts w:ascii="Arial" w:eastAsia="Arial" w:hAnsi="Arial" w:cs="Arial"/>
            <w:sz w:val="20"/>
            <w:szCs w:val="20"/>
          </w:rPr>
          <w:t>art. 156, §5º, da Lei nº 14.133, de 2021</w:t>
        </w:r>
      </w:hyperlink>
      <w:r w:rsidRPr="00FF7B51">
        <w:rPr>
          <w:rFonts w:ascii="Arial" w:eastAsia="Arial" w:hAnsi="Arial" w:cs="Arial"/>
          <w:sz w:val="20"/>
          <w:szCs w:val="20"/>
        </w:rPr>
        <w:t>).</w:t>
      </w:r>
    </w:p>
    <w:p w14:paraId="2188F466" w14:textId="77777777" w:rsidR="00542A36" w:rsidRPr="00FF7B51"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FF7B51">
        <w:rPr>
          <w:rFonts w:ascii="Arial" w:eastAsia="Arial" w:hAnsi="Arial" w:cs="Arial"/>
          <w:b/>
          <w:bCs/>
          <w:sz w:val="20"/>
          <w:szCs w:val="20"/>
        </w:rPr>
        <w:t>Multa:</w:t>
      </w:r>
    </w:p>
    <w:p w14:paraId="759B5BDD" w14:textId="4B3CFCD5" w:rsidR="00542A36" w:rsidRPr="00FF7B51" w:rsidRDefault="002F447A" w:rsidP="00142122">
      <w:pPr>
        <w:pStyle w:val="PargrafodaLista"/>
        <w:numPr>
          <w:ilvl w:val="1"/>
          <w:numId w:val="32"/>
        </w:numPr>
        <w:suppressAutoHyphens/>
        <w:spacing w:before="120" w:after="120" w:line="276" w:lineRule="auto"/>
        <w:ind w:left="567" w:firstLine="0"/>
        <w:jc w:val="both"/>
        <w:rPr>
          <w:rFonts w:ascii="Arial" w:eastAsia="Arial" w:hAnsi="Arial" w:cs="Arial"/>
          <w:i/>
          <w:iCs/>
          <w:sz w:val="20"/>
          <w:szCs w:val="20"/>
        </w:rPr>
      </w:pPr>
      <w:r w:rsidRPr="00FF7B51">
        <w:rPr>
          <w:rFonts w:ascii="Arial" w:eastAsia="Arial" w:hAnsi="Arial" w:cs="Arial"/>
          <w:i/>
          <w:iCs/>
          <w:sz w:val="20"/>
          <w:szCs w:val="20"/>
        </w:rPr>
        <w:t>Moratória</w:t>
      </w:r>
      <w:r w:rsidR="00DC41DD" w:rsidRPr="00FF7B51">
        <w:rPr>
          <w:rFonts w:ascii="Arial" w:eastAsia="Arial" w:hAnsi="Arial" w:cs="Arial"/>
          <w:i/>
          <w:iCs/>
          <w:sz w:val="20"/>
          <w:szCs w:val="20"/>
        </w:rPr>
        <w:t xml:space="preserve"> de </w:t>
      </w:r>
      <w:r w:rsidR="00AB237C" w:rsidRPr="00FF7B51">
        <w:rPr>
          <w:rFonts w:ascii="Arial" w:eastAsia="Arial" w:hAnsi="Arial" w:cs="Arial"/>
          <w:i/>
          <w:iCs/>
          <w:sz w:val="20"/>
          <w:szCs w:val="20"/>
        </w:rPr>
        <w:t>0,0</w:t>
      </w:r>
      <w:r w:rsidR="00CB0587" w:rsidRPr="00FF7B51">
        <w:rPr>
          <w:rFonts w:ascii="Arial" w:eastAsia="Arial" w:hAnsi="Arial" w:cs="Arial"/>
          <w:i/>
          <w:iCs/>
          <w:sz w:val="20"/>
          <w:szCs w:val="20"/>
        </w:rPr>
        <w:t>5</w:t>
      </w:r>
      <w:r w:rsidR="00AB237C" w:rsidRPr="00FF7B51">
        <w:rPr>
          <w:rFonts w:ascii="Arial" w:eastAsia="Arial" w:hAnsi="Arial" w:cs="Arial"/>
          <w:i/>
          <w:iCs/>
          <w:sz w:val="20"/>
          <w:szCs w:val="20"/>
        </w:rPr>
        <w:t xml:space="preserve"> </w:t>
      </w:r>
      <w:r w:rsidR="00DC41DD" w:rsidRPr="00FF7B51">
        <w:rPr>
          <w:rFonts w:ascii="Arial" w:eastAsia="Arial" w:hAnsi="Arial" w:cs="Arial"/>
          <w:i/>
          <w:iCs/>
          <w:sz w:val="20"/>
          <w:szCs w:val="20"/>
        </w:rPr>
        <w:t>% (</w:t>
      </w:r>
      <w:r w:rsidR="00AB237C" w:rsidRPr="00FF7B51">
        <w:rPr>
          <w:rFonts w:ascii="Arial" w:eastAsia="Arial" w:hAnsi="Arial" w:cs="Arial"/>
          <w:i/>
          <w:iCs/>
          <w:sz w:val="20"/>
          <w:szCs w:val="20"/>
        </w:rPr>
        <w:t xml:space="preserve">zero virgula zero </w:t>
      </w:r>
      <w:r w:rsidR="00CB0587" w:rsidRPr="00FF7B51">
        <w:rPr>
          <w:rFonts w:ascii="Arial" w:eastAsia="Arial" w:hAnsi="Arial" w:cs="Arial"/>
          <w:i/>
          <w:iCs/>
          <w:sz w:val="20"/>
          <w:szCs w:val="20"/>
        </w:rPr>
        <w:t xml:space="preserve">cinco </w:t>
      </w:r>
      <w:r w:rsidR="00DC41DD" w:rsidRPr="00FF7B51">
        <w:rPr>
          <w:rFonts w:ascii="Arial" w:eastAsia="Arial" w:hAnsi="Arial" w:cs="Arial"/>
          <w:i/>
          <w:iCs/>
          <w:sz w:val="20"/>
          <w:szCs w:val="20"/>
        </w:rPr>
        <w:t>por cento) por dia de atraso injustificado sobre o valor da</w:t>
      </w:r>
      <w:r w:rsidR="007E2A27" w:rsidRPr="00FF7B51">
        <w:rPr>
          <w:rFonts w:ascii="Arial" w:eastAsia="Arial" w:hAnsi="Arial" w:cs="Arial"/>
          <w:i/>
          <w:iCs/>
          <w:sz w:val="20"/>
          <w:szCs w:val="20"/>
        </w:rPr>
        <w:t xml:space="preserve"> </w:t>
      </w:r>
      <w:r w:rsidR="00DC41DD" w:rsidRPr="00FF7B51">
        <w:rPr>
          <w:rFonts w:ascii="Arial" w:eastAsia="Arial" w:hAnsi="Arial" w:cs="Arial"/>
          <w:i/>
          <w:iCs/>
          <w:sz w:val="20"/>
          <w:szCs w:val="20"/>
        </w:rPr>
        <w:t xml:space="preserve">parcela inadimplida, até o limite de </w:t>
      </w:r>
      <w:r w:rsidR="00CB0587" w:rsidRPr="00FF7B51">
        <w:rPr>
          <w:rFonts w:ascii="Arial" w:eastAsia="Arial" w:hAnsi="Arial" w:cs="Arial"/>
          <w:i/>
          <w:iCs/>
          <w:sz w:val="20"/>
          <w:szCs w:val="20"/>
        </w:rPr>
        <w:t>30</w:t>
      </w:r>
      <w:r w:rsidR="00DC41DD" w:rsidRPr="00FF7B51">
        <w:rPr>
          <w:rFonts w:ascii="Arial" w:eastAsia="Arial" w:hAnsi="Arial" w:cs="Arial"/>
          <w:i/>
          <w:iCs/>
          <w:sz w:val="20"/>
          <w:szCs w:val="20"/>
        </w:rPr>
        <w:t xml:space="preserve"> (</w:t>
      </w:r>
      <w:r w:rsidR="00CB0587" w:rsidRPr="00FF7B51">
        <w:rPr>
          <w:rFonts w:ascii="Arial" w:eastAsia="Arial" w:hAnsi="Arial" w:cs="Arial"/>
          <w:i/>
          <w:iCs/>
          <w:sz w:val="20"/>
          <w:szCs w:val="20"/>
        </w:rPr>
        <w:t>trinta</w:t>
      </w:r>
      <w:r w:rsidR="00DC41DD" w:rsidRPr="00FF7B51">
        <w:rPr>
          <w:rFonts w:ascii="Arial" w:eastAsia="Arial" w:hAnsi="Arial" w:cs="Arial"/>
          <w:i/>
          <w:iCs/>
          <w:sz w:val="20"/>
          <w:szCs w:val="20"/>
        </w:rPr>
        <w:t>) dias;</w:t>
      </w:r>
    </w:p>
    <w:p w14:paraId="11494643" w14:textId="24196A78" w:rsidR="00DC41DD" w:rsidRPr="00FF7B51" w:rsidRDefault="00DC41DD" w:rsidP="00142122">
      <w:pPr>
        <w:pStyle w:val="PargrafodaLista"/>
        <w:numPr>
          <w:ilvl w:val="2"/>
          <w:numId w:val="32"/>
        </w:numPr>
        <w:suppressAutoHyphens/>
        <w:spacing w:before="120" w:after="120" w:line="276" w:lineRule="auto"/>
        <w:ind w:left="851" w:firstLine="0"/>
        <w:jc w:val="both"/>
        <w:rPr>
          <w:rFonts w:ascii="Arial" w:eastAsia="Arial" w:hAnsi="Arial" w:cs="Arial"/>
          <w:i/>
          <w:iCs/>
          <w:sz w:val="20"/>
          <w:szCs w:val="20"/>
        </w:rPr>
      </w:pPr>
      <w:r w:rsidRPr="00FF7B51">
        <w:rPr>
          <w:rFonts w:ascii="Arial" w:eastAsia="Arial" w:hAnsi="Arial" w:cs="Arial"/>
          <w:i/>
          <w:iCs/>
          <w:sz w:val="20"/>
          <w:szCs w:val="20"/>
        </w:rPr>
        <w:t xml:space="preserve">O atraso superior a </w:t>
      </w:r>
      <w:r w:rsidR="00CB0587" w:rsidRPr="00FF7B51">
        <w:rPr>
          <w:rFonts w:ascii="Arial" w:eastAsia="Arial" w:hAnsi="Arial" w:cs="Arial"/>
          <w:i/>
          <w:iCs/>
          <w:sz w:val="20"/>
          <w:szCs w:val="20"/>
        </w:rPr>
        <w:t xml:space="preserve">30 </w:t>
      </w:r>
      <w:r w:rsidRPr="00FF7B51">
        <w:rPr>
          <w:rFonts w:ascii="Arial" w:eastAsia="Arial" w:hAnsi="Arial" w:cs="Arial"/>
          <w:i/>
          <w:iCs/>
          <w:sz w:val="20"/>
          <w:szCs w:val="20"/>
        </w:rPr>
        <w:t xml:space="preserve">dias autoriza a Administração a promover a extinção do contrato por descumprimento ou cumprimento irregular de suas cláusulas, conforme dispõe o inciso I do art. 137 da Lei n. 14.133, de 2021. </w:t>
      </w:r>
    </w:p>
    <w:p w14:paraId="41A86501" w14:textId="6FACFC37" w:rsidR="00EA1F16" w:rsidRPr="00FF7B51" w:rsidRDefault="00EA1F16" w:rsidP="00142122">
      <w:pPr>
        <w:pStyle w:val="PargrafodaLista"/>
        <w:numPr>
          <w:ilvl w:val="1"/>
          <w:numId w:val="32"/>
        </w:numPr>
        <w:suppressAutoHyphens/>
        <w:spacing w:before="120" w:after="120" w:line="276" w:lineRule="auto"/>
        <w:ind w:left="567" w:firstLine="0"/>
        <w:jc w:val="both"/>
        <w:rPr>
          <w:rFonts w:ascii="Arial" w:eastAsia="Arial" w:hAnsi="Arial" w:cs="Arial"/>
          <w:sz w:val="20"/>
          <w:szCs w:val="20"/>
        </w:rPr>
      </w:pPr>
      <w:r w:rsidRPr="00FF7B51">
        <w:rPr>
          <w:rFonts w:ascii="Arial" w:eastAsia="Arial" w:hAnsi="Arial" w:cs="Arial"/>
          <w:sz w:val="20"/>
          <w:szCs w:val="20"/>
        </w:rPr>
        <w:t>Compensatória, para as infrações descritas nas alíneas “e” a “h” do subitem 1</w:t>
      </w:r>
      <w:r w:rsidR="00CB0587" w:rsidRPr="00FF7B51">
        <w:rPr>
          <w:rFonts w:ascii="Arial" w:eastAsia="Arial" w:hAnsi="Arial" w:cs="Arial"/>
          <w:sz w:val="20"/>
          <w:szCs w:val="20"/>
        </w:rPr>
        <w:t>1</w:t>
      </w:r>
      <w:r w:rsidRPr="00FF7B51">
        <w:rPr>
          <w:rFonts w:ascii="Arial" w:eastAsia="Arial" w:hAnsi="Arial" w:cs="Arial"/>
          <w:sz w:val="20"/>
          <w:szCs w:val="20"/>
        </w:rPr>
        <w:t xml:space="preserve">.1, de </w:t>
      </w:r>
      <w:r w:rsidR="00CB0587" w:rsidRPr="00FF7B51">
        <w:rPr>
          <w:rFonts w:ascii="Arial" w:eastAsia="Arial" w:hAnsi="Arial" w:cs="Arial"/>
          <w:sz w:val="20"/>
          <w:szCs w:val="20"/>
        </w:rPr>
        <w:t>0,5</w:t>
      </w:r>
      <w:r w:rsidRPr="00FF7B51">
        <w:rPr>
          <w:rFonts w:ascii="Arial" w:eastAsia="Arial" w:hAnsi="Arial" w:cs="Arial"/>
          <w:sz w:val="20"/>
          <w:szCs w:val="20"/>
        </w:rPr>
        <w:t xml:space="preserve">% a </w:t>
      </w:r>
      <w:r w:rsidR="00CB0587" w:rsidRPr="00FF7B51">
        <w:rPr>
          <w:rFonts w:ascii="Arial" w:eastAsia="Arial" w:hAnsi="Arial" w:cs="Arial"/>
          <w:sz w:val="20"/>
          <w:szCs w:val="20"/>
        </w:rPr>
        <w:t>5</w:t>
      </w:r>
      <w:r w:rsidRPr="00FF7B51">
        <w:rPr>
          <w:rFonts w:ascii="Arial" w:eastAsia="Arial" w:hAnsi="Arial" w:cs="Arial"/>
          <w:sz w:val="20"/>
          <w:szCs w:val="20"/>
        </w:rPr>
        <w:t>% do valor do Contrato.</w:t>
      </w:r>
    </w:p>
    <w:p w14:paraId="7437BE03" w14:textId="7FACB7F6" w:rsidR="00EA1F16" w:rsidRPr="00FF7B51" w:rsidRDefault="00EA1F16" w:rsidP="00142122">
      <w:pPr>
        <w:pStyle w:val="PargrafodaLista"/>
        <w:numPr>
          <w:ilvl w:val="1"/>
          <w:numId w:val="32"/>
        </w:numPr>
        <w:suppressAutoHyphens/>
        <w:spacing w:before="120" w:after="120" w:line="276" w:lineRule="auto"/>
        <w:ind w:left="567" w:firstLine="0"/>
        <w:jc w:val="both"/>
        <w:rPr>
          <w:rFonts w:ascii="Arial" w:eastAsia="Arial" w:hAnsi="Arial" w:cs="Arial"/>
          <w:sz w:val="20"/>
          <w:szCs w:val="20"/>
        </w:rPr>
      </w:pPr>
      <w:r w:rsidRPr="00FF7B51">
        <w:rPr>
          <w:rFonts w:ascii="Arial" w:eastAsia="Arial" w:hAnsi="Arial" w:cs="Arial"/>
          <w:sz w:val="20"/>
          <w:szCs w:val="20"/>
        </w:rPr>
        <w:t>Compensatória, para a inexecução total do contrato prevista na alínea “c” do subitem 1</w:t>
      </w:r>
      <w:r w:rsidR="00CB0587" w:rsidRPr="00FF7B51">
        <w:rPr>
          <w:rFonts w:ascii="Arial" w:eastAsia="Arial" w:hAnsi="Arial" w:cs="Arial"/>
          <w:sz w:val="20"/>
          <w:szCs w:val="20"/>
        </w:rPr>
        <w:t>1</w:t>
      </w:r>
      <w:r w:rsidRPr="00FF7B51">
        <w:rPr>
          <w:rFonts w:ascii="Arial" w:eastAsia="Arial" w:hAnsi="Arial" w:cs="Arial"/>
          <w:sz w:val="20"/>
          <w:szCs w:val="20"/>
        </w:rPr>
        <w:t xml:space="preserve">.1, de </w:t>
      </w:r>
      <w:r w:rsidR="00CB0587" w:rsidRPr="00FF7B51">
        <w:rPr>
          <w:rFonts w:ascii="Arial" w:eastAsia="Arial" w:hAnsi="Arial" w:cs="Arial"/>
          <w:sz w:val="20"/>
          <w:szCs w:val="20"/>
        </w:rPr>
        <w:t>10</w:t>
      </w:r>
      <w:r w:rsidRPr="00FF7B51">
        <w:rPr>
          <w:rFonts w:ascii="Arial" w:eastAsia="Arial" w:hAnsi="Arial" w:cs="Arial"/>
          <w:sz w:val="20"/>
          <w:szCs w:val="20"/>
        </w:rPr>
        <w:t xml:space="preserve">% a </w:t>
      </w:r>
      <w:r w:rsidR="00CB0587" w:rsidRPr="00FF7B51">
        <w:rPr>
          <w:rFonts w:ascii="Arial" w:eastAsia="Arial" w:hAnsi="Arial" w:cs="Arial"/>
          <w:sz w:val="20"/>
          <w:szCs w:val="20"/>
        </w:rPr>
        <w:t>30</w:t>
      </w:r>
      <w:proofErr w:type="gramStart"/>
      <w:r w:rsidRPr="00FF7B51">
        <w:rPr>
          <w:rFonts w:ascii="Arial" w:eastAsia="Arial" w:hAnsi="Arial" w:cs="Arial"/>
          <w:sz w:val="20"/>
          <w:szCs w:val="20"/>
        </w:rPr>
        <w:t>%  do</w:t>
      </w:r>
      <w:proofErr w:type="gramEnd"/>
      <w:r w:rsidRPr="00FF7B51">
        <w:rPr>
          <w:rFonts w:ascii="Arial" w:eastAsia="Arial" w:hAnsi="Arial" w:cs="Arial"/>
          <w:sz w:val="20"/>
          <w:szCs w:val="20"/>
        </w:rPr>
        <w:t xml:space="preserve"> valor do Contrato. </w:t>
      </w:r>
    </w:p>
    <w:p w14:paraId="19817373" w14:textId="16EFFBBC" w:rsidR="00EA1F16" w:rsidRPr="00FF7B51" w:rsidRDefault="00EA1F16" w:rsidP="00142122">
      <w:pPr>
        <w:pStyle w:val="PargrafodaLista"/>
        <w:numPr>
          <w:ilvl w:val="1"/>
          <w:numId w:val="32"/>
        </w:numPr>
        <w:suppressAutoHyphens/>
        <w:spacing w:before="120" w:after="120" w:line="276" w:lineRule="auto"/>
        <w:ind w:left="567" w:firstLine="0"/>
        <w:jc w:val="both"/>
        <w:rPr>
          <w:rFonts w:ascii="Arial" w:eastAsia="Arial" w:hAnsi="Arial" w:cs="Arial"/>
          <w:sz w:val="20"/>
          <w:szCs w:val="20"/>
        </w:rPr>
      </w:pPr>
      <w:r w:rsidRPr="00FF7B51">
        <w:rPr>
          <w:rFonts w:ascii="Arial" w:eastAsia="Arial" w:hAnsi="Arial" w:cs="Arial"/>
          <w:sz w:val="20"/>
          <w:szCs w:val="20"/>
        </w:rPr>
        <w:t>Para infração descrita na alínea “b” do subitem 1</w:t>
      </w:r>
      <w:r w:rsidR="00CB0587" w:rsidRPr="00FF7B51">
        <w:rPr>
          <w:rFonts w:ascii="Arial" w:eastAsia="Arial" w:hAnsi="Arial" w:cs="Arial"/>
          <w:sz w:val="20"/>
          <w:szCs w:val="20"/>
        </w:rPr>
        <w:t>1</w:t>
      </w:r>
      <w:r w:rsidRPr="00FF7B51">
        <w:rPr>
          <w:rFonts w:ascii="Arial" w:eastAsia="Arial" w:hAnsi="Arial" w:cs="Arial"/>
          <w:sz w:val="20"/>
          <w:szCs w:val="20"/>
        </w:rPr>
        <w:t xml:space="preserve">.1, a multa será de </w:t>
      </w:r>
      <w:r w:rsidR="00CB0587" w:rsidRPr="00FF7B51">
        <w:rPr>
          <w:rFonts w:ascii="Arial" w:eastAsia="Arial" w:hAnsi="Arial" w:cs="Arial"/>
          <w:sz w:val="20"/>
          <w:szCs w:val="20"/>
        </w:rPr>
        <w:t>0,5</w:t>
      </w:r>
      <w:r w:rsidRPr="00FF7B51">
        <w:rPr>
          <w:rFonts w:ascii="Arial" w:eastAsia="Arial" w:hAnsi="Arial" w:cs="Arial"/>
          <w:sz w:val="20"/>
          <w:szCs w:val="20"/>
        </w:rPr>
        <w:t xml:space="preserve">% a </w:t>
      </w:r>
      <w:r w:rsidR="00CB0587" w:rsidRPr="00FF7B51">
        <w:rPr>
          <w:rFonts w:ascii="Arial" w:eastAsia="Arial" w:hAnsi="Arial" w:cs="Arial"/>
          <w:sz w:val="20"/>
          <w:szCs w:val="20"/>
        </w:rPr>
        <w:t>10</w:t>
      </w:r>
      <w:proofErr w:type="gramStart"/>
      <w:r w:rsidRPr="00FF7B51">
        <w:rPr>
          <w:rFonts w:ascii="Arial" w:eastAsia="Arial" w:hAnsi="Arial" w:cs="Arial"/>
          <w:sz w:val="20"/>
          <w:szCs w:val="20"/>
        </w:rPr>
        <w:t>%  do</w:t>
      </w:r>
      <w:proofErr w:type="gramEnd"/>
      <w:r w:rsidRPr="00FF7B51">
        <w:rPr>
          <w:rFonts w:ascii="Arial" w:eastAsia="Arial" w:hAnsi="Arial" w:cs="Arial"/>
          <w:sz w:val="20"/>
          <w:szCs w:val="20"/>
        </w:rPr>
        <w:t xml:space="preserve"> valor do Contrato.</w:t>
      </w:r>
    </w:p>
    <w:p w14:paraId="1636CE15" w14:textId="130D0A41" w:rsidR="00EA1F16" w:rsidRPr="00FF7B51" w:rsidRDefault="00EA1F16" w:rsidP="00142122">
      <w:pPr>
        <w:pStyle w:val="PargrafodaLista"/>
        <w:numPr>
          <w:ilvl w:val="1"/>
          <w:numId w:val="32"/>
        </w:numPr>
        <w:suppressAutoHyphens/>
        <w:spacing w:before="120" w:after="120" w:line="276" w:lineRule="auto"/>
        <w:ind w:left="567" w:firstLine="0"/>
        <w:jc w:val="both"/>
        <w:rPr>
          <w:rFonts w:ascii="Arial" w:eastAsia="Arial" w:hAnsi="Arial" w:cs="Arial"/>
          <w:sz w:val="20"/>
          <w:szCs w:val="20"/>
        </w:rPr>
      </w:pPr>
      <w:r w:rsidRPr="00FF7B51">
        <w:rPr>
          <w:rFonts w:ascii="Arial" w:eastAsia="Arial" w:hAnsi="Arial" w:cs="Arial"/>
          <w:sz w:val="20"/>
          <w:szCs w:val="20"/>
        </w:rPr>
        <w:t>Para infrações descritas na alínea “d” do subitem 1</w:t>
      </w:r>
      <w:r w:rsidR="00CB0587" w:rsidRPr="00FF7B51">
        <w:rPr>
          <w:rFonts w:ascii="Arial" w:eastAsia="Arial" w:hAnsi="Arial" w:cs="Arial"/>
          <w:sz w:val="20"/>
          <w:szCs w:val="20"/>
        </w:rPr>
        <w:t>1</w:t>
      </w:r>
      <w:r w:rsidRPr="00FF7B51">
        <w:rPr>
          <w:rFonts w:ascii="Arial" w:eastAsia="Arial" w:hAnsi="Arial" w:cs="Arial"/>
          <w:sz w:val="20"/>
          <w:szCs w:val="20"/>
        </w:rPr>
        <w:t xml:space="preserve">.1, a multa será de </w:t>
      </w:r>
      <w:r w:rsidR="00CB0587" w:rsidRPr="00FF7B51">
        <w:rPr>
          <w:rFonts w:ascii="Arial" w:eastAsia="Arial" w:hAnsi="Arial" w:cs="Arial"/>
          <w:sz w:val="20"/>
          <w:szCs w:val="20"/>
        </w:rPr>
        <w:t xml:space="preserve">0,5 </w:t>
      </w:r>
      <w:r w:rsidRPr="00FF7B51">
        <w:rPr>
          <w:rFonts w:ascii="Arial" w:eastAsia="Arial" w:hAnsi="Arial" w:cs="Arial"/>
          <w:sz w:val="20"/>
          <w:szCs w:val="20"/>
        </w:rPr>
        <w:t xml:space="preserve">% a </w:t>
      </w:r>
      <w:r w:rsidR="00CB0587" w:rsidRPr="00FF7B51">
        <w:rPr>
          <w:rFonts w:ascii="Arial" w:eastAsia="Arial" w:hAnsi="Arial" w:cs="Arial"/>
          <w:sz w:val="20"/>
          <w:szCs w:val="20"/>
        </w:rPr>
        <w:t>5</w:t>
      </w:r>
      <w:proofErr w:type="gramStart"/>
      <w:r w:rsidRPr="00FF7B51">
        <w:rPr>
          <w:rFonts w:ascii="Arial" w:eastAsia="Arial" w:hAnsi="Arial" w:cs="Arial"/>
          <w:sz w:val="20"/>
          <w:szCs w:val="20"/>
        </w:rPr>
        <w:t>%  do</w:t>
      </w:r>
      <w:proofErr w:type="gramEnd"/>
      <w:r w:rsidRPr="00FF7B51">
        <w:rPr>
          <w:rFonts w:ascii="Arial" w:eastAsia="Arial" w:hAnsi="Arial" w:cs="Arial"/>
          <w:sz w:val="20"/>
          <w:szCs w:val="20"/>
        </w:rPr>
        <w:t xml:space="preserve"> valor do Contrato.</w:t>
      </w:r>
    </w:p>
    <w:p w14:paraId="4F8CC429" w14:textId="14358480" w:rsidR="00EA1F16" w:rsidRPr="00FF7B51" w:rsidRDefault="00EA1F16" w:rsidP="00142122">
      <w:pPr>
        <w:pStyle w:val="PargrafodaLista"/>
        <w:numPr>
          <w:ilvl w:val="1"/>
          <w:numId w:val="32"/>
        </w:numPr>
        <w:suppressAutoHyphens/>
        <w:spacing w:before="120" w:after="120" w:line="276" w:lineRule="auto"/>
        <w:ind w:left="567" w:firstLine="0"/>
        <w:jc w:val="both"/>
        <w:rPr>
          <w:rFonts w:ascii="Arial" w:eastAsia="Arial" w:hAnsi="Arial" w:cs="Arial"/>
          <w:sz w:val="20"/>
          <w:szCs w:val="20"/>
        </w:rPr>
      </w:pPr>
      <w:r w:rsidRPr="00FF7B51">
        <w:rPr>
          <w:rFonts w:ascii="Arial" w:eastAsia="Arial" w:hAnsi="Arial" w:cs="Arial"/>
          <w:sz w:val="20"/>
          <w:szCs w:val="20"/>
        </w:rPr>
        <w:t>Para a infração descrita na alínea “a” do subitem 1</w:t>
      </w:r>
      <w:r w:rsidR="00CB0587" w:rsidRPr="00FF7B51">
        <w:rPr>
          <w:rFonts w:ascii="Arial" w:eastAsia="Arial" w:hAnsi="Arial" w:cs="Arial"/>
          <w:sz w:val="20"/>
          <w:szCs w:val="20"/>
        </w:rPr>
        <w:t>1</w:t>
      </w:r>
      <w:r w:rsidRPr="00FF7B51">
        <w:rPr>
          <w:rFonts w:ascii="Arial" w:eastAsia="Arial" w:hAnsi="Arial" w:cs="Arial"/>
          <w:sz w:val="20"/>
          <w:szCs w:val="20"/>
        </w:rPr>
        <w:t xml:space="preserve">.1, a multa será de </w:t>
      </w:r>
      <w:r w:rsidR="00CB0587" w:rsidRPr="00FF7B51">
        <w:rPr>
          <w:rFonts w:ascii="Arial" w:eastAsia="Arial" w:hAnsi="Arial" w:cs="Arial"/>
          <w:sz w:val="20"/>
          <w:szCs w:val="20"/>
        </w:rPr>
        <w:t>0,5</w:t>
      </w:r>
      <w:r w:rsidRPr="00FF7B51">
        <w:rPr>
          <w:rFonts w:ascii="Arial" w:eastAsia="Arial" w:hAnsi="Arial" w:cs="Arial"/>
          <w:sz w:val="20"/>
          <w:szCs w:val="20"/>
        </w:rPr>
        <w:t xml:space="preserve">% a </w:t>
      </w:r>
      <w:r w:rsidR="00CB0587" w:rsidRPr="00FF7B51">
        <w:rPr>
          <w:rFonts w:ascii="Arial" w:eastAsia="Arial" w:hAnsi="Arial" w:cs="Arial"/>
          <w:sz w:val="20"/>
          <w:szCs w:val="20"/>
        </w:rPr>
        <w:t>5</w:t>
      </w:r>
      <w:r w:rsidRPr="00FF7B51">
        <w:rPr>
          <w:rFonts w:ascii="Arial" w:eastAsia="Arial" w:hAnsi="Arial" w:cs="Arial"/>
          <w:sz w:val="20"/>
          <w:szCs w:val="20"/>
        </w:rPr>
        <w:t>% do valor do Contrato, ressalvadas as seguintes infrações:</w:t>
      </w:r>
    </w:p>
    <w:p w14:paraId="29B8CA5B" w14:textId="4ACF5575" w:rsidR="00DC41DD" w:rsidRPr="00FF7B51" w:rsidRDefault="00DC41DD" w:rsidP="00F61CE2">
      <w:pPr>
        <w:pStyle w:val="Nivel2"/>
      </w:pPr>
      <w:r w:rsidRPr="00FF7B51">
        <w:t>A aplicação das sanções previstas neste Contrato não exclui, em hipótese alguma, a obrigação de reparação integral do dano causado ao Contratante (</w:t>
      </w:r>
      <w:hyperlink r:id="rId31" w:anchor="art156§9" w:history="1">
        <w:r w:rsidRPr="00FF7B51">
          <w:rPr>
            <w:rStyle w:val="Hyperlink"/>
          </w:rPr>
          <w:t>art. 156, §9º, da Lei nº 14.133, de 2021</w:t>
        </w:r>
      </w:hyperlink>
      <w:r w:rsidRPr="00FF7B51">
        <w:t>)</w:t>
      </w:r>
    </w:p>
    <w:p w14:paraId="3137DB4D" w14:textId="0F0E515C" w:rsidR="00DC41DD" w:rsidRPr="00FF7B51" w:rsidRDefault="00DC41DD" w:rsidP="00F61CE2">
      <w:pPr>
        <w:pStyle w:val="Nivel3"/>
      </w:pPr>
      <w:r w:rsidRPr="00FF7B51">
        <w:t>Todas as sanções previstas neste Contrato poderão ser aplicadas cumulativamente com a multa (</w:t>
      </w:r>
      <w:hyperlink r:id="rId32" w:anchor="art156§7" w:history="1">
        <w:r w:rsidRPr="00FF7B51">
          <w:rPr>
            <w:rStyle w:val="Hyperlink"/>
          </w:rPr>
          <w:t>art. 156, §7º, da Lei nº 14.133, de 2021</w:t>
        </w:r>
      </w:hyperlink>
      <w:r w:rsidRPr="00FF7B51">
        <w:t>).</w:t>
      </w:r>
    </w:p>
    <w:p w14:paraId="46E4F56F" w14:textId="3353E075" w:rsidR="00DC41DD" w:rsidRPr="00FF7B51" w:rsidRDefault="00DC41DD" w:rsidP="00F61CE2">
      <w:pPr>
        <w:pStyle w:val="Nivel3"/>
      </w:pPr>
      <w:r w:rsidRPr="00FF7B51">
        <w:t>Antes da aplicação da multa será facultada a defesa do interessado no prazo de 15 (quinze) dias úteis, contado da data de sua intimação (</w:t>
      </w:r>
      <w:hyperlink r:id="rId33" w:anchor="art157" w:history="1">
        <w:r w:rsidRPr="00FF7B51">
          <w:rPr>
            <w:rStyle w:val="Hyperlink"/>
          </w:rPr>
          <w:t>art. 157, da Lei nº 14.133, de 2021</w:t>
        </w:r>
      </w:hyperlink>
      <w:r w:rsidRPr="00FF7B51">
        <w:t>)</w:t>
      </w:r>
    </w:p>
    <w:p w14:paraId="58A882B5" w14:textId="33D6BE86" w:rsidR="00DC41DD" w:rsidRPr="00FF7B51" w:rsidRDefault="00DC41DD" w:rsidP="00F61CE2">
      <w:pPr>
        <w:pStyle w:val="Nivel3"/>
      </w:pPr>
      <w:r w:rsidRPr="00FF7B51">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Pr="00FF7B51">
          <w:rPr>
            <w:rStyle w:val="Hyperlink"/>
          </w:rPr>
          <w:t>art. 156, §8º, da Lei nº 14.133, de 2021</w:t>
        </w:r>
      </w:hyperlink>
      <w:r w:rsidRPr="00FF7B51">
        <w:t>).</w:t>
      </w:r>
    </w:p>
    <w:p w14:paraId="53AB3C5C" w14:textId="64833607" w:rsidR="00DC41DD" w:rsidRPr="00FF7B51" w:rsidRDefault="00DC41DD" w:rsidP="00F61CE2">
      <w:pPr>
        <w:pStyle w:val="Nivel3"/>
      </w:pPr>
      <w:r w:rsidRPr="00FF7B51">
        <w:t xml:space="preserve">Previamente ao encaminhamento à cobrança judicial, a multa poderá ser recolhida administrativamente no prazo máximo </w:t>
      </w:r>
      <w:r w:rsidRPr="00FF7B51">
        <w:rPr>
          <w:b/>
          <w:bCs/>
          <w:i/>
          <w:iCs/>
          <w:color w:val="auto"/>
        </w:rPr>
        <w:t xml:space="preserve">de </w:t>
      </w:r>
      <w:r w:rsidR="00CB0587" w:rsidRPr="00FF7B51">
        <w:rPr>
          <w:b/>
          <w:bCs/>
          <w:i/>
          <w:iCs/>
          <w:color w:val="auto"/>
        </w:rPr>
        <w:t>30</w:t>
      </w:r>
      <w:r w:rsidRPr="00FF7B51">
        <w:rPr>
          <w:b/>
          <w:bCs/>
          <w:i/>
          <w:iCs/>
          <w:color w:val="auto"/>
        </w:rPr>
        <w:t xml:space="preserve"> (</w:t>
      </w:r>
      <w:r w:rsidR="00CB0587" w:rsidRPr="00FF7B51">
        <w:rPr>
          <w:b/>
          <w:bCs/>
          <w:i/>
          <w:iCs/>
          <w:color w:val="auto"/>
        </w:rPr>
        <w:t>trinta</w:t>
      </w:r>
      <w:r w:rsidRPr="00FF7B51">
        <w:rPr>
          <w:b/>
          <w:bCs/>
          <w:i/>
          <w:iCs/>
          <w:color w:val="auto"/>
        </w:rPr>
        <w:t>) dias</w:t>
      </w:r>
      <w:r w:rsidRPr="00FF7B51">
        <w:t>, a contar da data do recebimento da comunicação enviada pela autoridade competente.</w:t>
      </w:r>
      <w:bookmarkStart w:id="3" w:name="_Hlk78351618"/>
      <w:bookmarkEnd w:id="3"/>
    </w:p>
    <w:p w14:paraId="6B3770C2" w14:textId="5057E23C" w:rsidR="00DC41DD" w:rsidRPr="00FF7B51" w:rsidRDefault="00DC41DD" w:rsidP="00F61CE2">
      <w:pPr>
        <w:pStyle w:val="Nivel2"/>
      </w:pPr>
      <w:r w:rsidRPr="00FF7B51">
        <w:t xml:space="preserve">A aplicação das sanções realizar-se-á em processo administrativo que assegure o contraditório e a ampla defesa ao Contratado, observando-se o procedimento previsto no </w:t>
      </w:r>
      <w:r w:rsidRPr="00FF7B51">
        <w:rPr>
          <w:b/>
          <w:bCs/>
        </w:rPr>
        <w:t xml:space="preserve">caput </w:t>
      </w:r>
      <w:r w:rsidRPr="00FF7B51">
        <w:t xml:space="preserve">e parágrafos do </w:t>
      </w:r>
      <w:hyperlink r:id="rId35" w:anchor="art158" w:history="1">
        <w:r w:rsidRPr="00FF7B51">
          <w:rPr>
            <w:rStyle w:val="Hyperlink"/>
          </w:rPr>
          <w:t>art. 158 da Lei nº 14.133, de 2021</w:t>
        </w:r>
      </w:hyperlink>
      <w:r w:rsidRPr="00FF7B51">
        <w:t>, para as penalidades de impedimento de licitar e contratar e de declaração de inidoneidade para licitar ou contratar.</w:t>
      </w:r>
    </w:p>
    <w:p w14:paraId="48EDAC6D" w14:textId="568F038B" w:rsidR="00DC41DD" w:rsidRPr="00FF7B51" w:rsidRDefault="00DC41DD" w:rsidP="00F61CE2">
      <w:pPr>
        <w:pStyle w:val="Nivel2"/>
      </w:pPr>
      <w:r w:rsidRPr="00FF7B51">
        <w:t>Na aplicação das sanções serão considerados (</w:t>
      </w:r>
      <w:hyperlink r:id="rId36" w:anchor="art156§1" w:history="1">
        <w:r w:rsidRPr="00FF7B51">
          <w:rPr>
            <w:rStyle w:val="Hyperlink"/>
          </w:rPr>
          <w:t>art. 156, §1º, da Lei nº 14.133, de 2021</w:t>
        </w:r>
      </w:hyperlink>
      <w:r w:rsidRPr="00FF7B51">
        <w:t>):</w:t>
      </w:r>
    </w:p>
    <w:p w14:paraId="60FCA571" w14:textId="77777777" w:rsidR="00DC41DD" w:rsidRPr="00FF7B51"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FF7B51">
        <w:rPr>
          <w:rFonts w:ascii="Arial" w:eastAsia="Arial" w:hAnsi="Arial" w:cs="Arial"/>
          <w:sz w:val="20"/>
          <w:szCs w:val="20"/>
        </w:rPr>
        <w:t>a natureza e a gravidade da infração cometida;</w:t>
      </w:r>
    </w:p>
    <w:p w14:paraId="5763C3B4" w14:textId="77777777" w:rsidR="00DC41DD" w:rsidRPr="00FF7B51"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FF7B51">
        <w:rPr>
          <w:rFonts w:ascii="Arial" w:eastAsia="Arial" w:hAnsi="Arial" w:cs="Arial"/>
          <w:sz w:val="20"/>
          <w:szCs w:val="20"/>
        </w:rPr>
        <w:t>as peculiaridades do caso concreto;</w:t>
      </w:r>
    </w:p>
    <w:p w14:paraId="2957C08F" w14:textId="77777777" w:rsidR="00DC41DD" w:rsidRPr="00FF7B51"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FF7B51">
        <w:rPr>
          <w:rFonts w:ascii="Arial" w:eastAsia="Arial" w:hAnsi="Arial" w:cs="Arial"/>
          <w:sz w:val="20"/>
          <w:szCs w:val="20"/>
        </w:rPr>
        <w:t>as circunstâncias agravantes ou atenuantes;</w:t>
      </w:r>
    </w:p>
    <w:p w14:paraId="26830491" w14:textId="77777777" w:rsidR="00DC41DD" w:rsidRPr="00FF7B51"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FF7B51">
        <w:rPr>
          <w:rFonts w:ascii="Arial" w:eastAsia="Arial" w:hAnsi="Arial" w:cs="Arial"/>
          <w:sz w:val="20"/>
          <w:szCs w:val="20"/>
        </w:rPr>
        <w:t>os danos que dela provierem para o Contratante;</w:t>
      </w:r>
    </w:p>
    <w:p w14:paraId="0B53079F" w14:textId="77777777" w:rsidR="00DC41DD" w:rsidRPr="00FF7B51"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FF7B51">
        <w:rPr>
          <w:rFonts w:ascii="Arial" w:eastAsia="Arial" w:hAnsi="Arial" w:cs="Arial"/>
          <w:sz w:val="20"/>
          <w:szCs w:val="20"/>
        </w:rPr>
        <w:t>a implantação ou o aperfeiçoamento de programa de integridade, conforme normas e orientações dos órgãos de controle.</w:t>
      </w:r>
    </w:p>
    <w:p w14:paraId="0B58032E" w14:textId="15572C3F" w:rsidR="00DC41DD" w:rsidRPr="00FF7B51" w:rsidRDefault="00DC41DD" w:rsidP="00F61CE2">
      <w:pPr>
        <w:pStyle w:val="Nivel2"/>
      </w:pPr>
      <w:r w:rsidRPr="00FF7B51">
        <w:t xml:space="preserve">Os atos previstos como infrações administrativas na </w:t>
      </w:r>
      <w:hyperlink r:id="rId37" w:history="1">
        <w:r w:rsidRPr="00FF7B51">
          <w:rPr>
            <w:rStyle w:val="Hyperlink"/>
          </w:rPr>
          <w:t>Lei nº 14.133, de 2021</w:t>
        </w:r>
      </w:hyperlink>
      <w:r w:rsidRPr="00FF7B51">
        <w:t xml:space="preserve">, ou em outras leis de licitações e contratos da Administração Pública que também sejam tipificados como atos lesivos na </w:t>
      </w:r>
      <w:hyperlink r:id="rId38" w:history="1">
        <w:r w:rsidRPr="00FF7B51">
          <w:rPr>
            <w:rStyle w:val="Hyperlink"/>
          </w:rPr>
          <w:t>Lei nº 12.846, de 2013</w:t>
        </w:r>
      </w:hyperlink>
      <w:r w:rsidRPr="00FF7B51">
        <w:t>, serão apurados e julgados conjuntamente, nos mesmos autos, observados o rito procedimental e autoridade competente definidos na referida Lei (</w:t>
      </w:r>
      <w:hyperlink r:id="rId39" w:history="1">
        <w:r w:rsidRPr="00FF7B51">
          <w:rPr>
            <w:rStyle w:val="Hyperlink"/>
          </w:rPr>
          <w:t>art. 159</w:t>
        </w:r>
      </w:hyperlink>
      <w:r w:rsidRPr="00FF7B51">
        <w:t>).</w:t>
      </w:r>
    </w:p>
    <w:p w14:paraId="4A7EB9D4" w14:textId="4C493AF6" w:rsidR="00DC41DD" w:rsidRPr="00FF7B51" w:rsidRDefault="00DC41DD" w:rsidP="00F61CE2">
      <w:pPr>
        <w:pStyle w:val="Nivel2"/>
        <w:rPr>
          <w:i/>
          <w:iCs/>
        </w:rPr>
      </w:pPr>
      <w:r w:rsidRPr="00FF7B51">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Pr="00FF7B51">
          <w:rPr>
            <w:rStyle w:val="Hyperlink"/>
          </w:rPr>
          <w:t>art. 160, da Lei nº 14.133, de 2021</w:t>
        </w:r>
      </w:hyperlink>
      <w:r w:rsidRPr="00FF7B51">
        <w:t>)</w:t>
      </w:r>
      <w:r w:rsidR="000F1778" w:rsidRPr="00FF7B51">
        <w:t>.</w:t>
      </w:r>
    </w:p>
    <w:p w14:paraId="7AABC3BE" w14:textId="3067D38C" w:rsidR="00DC41DD" w:rsidRPr="00FF7B51" w:rsidRDefault="00DC41DD" w:rsidP="00F61CE2">
      <w:pPr>
        <w:pStyle w:val="Nivel2"/>
        <w:rPr>
          <w:i/>
          <w:iCs/>
        </w:rPr>
      </w:pPr>
      <w:r w:rsidRPr="00FF7B51">
        <w:t xml:space="preserve"> O Contratante deverá, no prazo máximo </w:t>
      </w:r>
      <w:r w:rsidR="0031067A" w:rsidRPr="00FF7B51">
        <w:t xml:space="preserve">de </w:t>
      </w:r>
      <w:r w:rsidRPr="00FF7B51">
        <w:t>15 (quinze) dias úteis, contado da data de aplicação da sanção, informar e manter atualizados os dados relativos às sanções por ela aplicadas, para fins de publicidade no Cadastro Nacional de Empresas Inidôneas e Suspensas (</w:t>
      </w:r>
      <w:proofErr w:type="spellStart"/>
      <w:r w:rsidRPr="00FF7B51">
        <w:t>Ceis</w:t>
      </w:r>
      <w:proofErr w:type="spellEnd"/>
      <w:r w:rsidRPr="00FF7B51">
        <w:t>) e no Cadastro Nacional de Empresas Punidas (</w:t>
      </w:r>
      <w:proofErr w:type="spellStart"/>
      <w:r w:rsidRPr="00FF7B51">
        <w:t>Cnep</w:t>
      </w:r>
      <w:proofErr w:type="spellEnd"/>
      <w:r w:rsidRPr="00FF7B51">
        <w:t>), instituídos no âmbito do Poder Executivo Federal. (</w:t>
      </w:r>
      <w:hyperlink r:id="rId41" w:anchor="art161" w:history="1">
        <w:r w:rsidRPr="00FF7B51">
          <w:rPr>
            <w:rStyle w:val="Hyperlink"/>
          </w:rPr>
          <w:t>Art. 161, da Lei nº 14.133, de 2021</w:t>
        </w:r>
      </w:hyperlink>
      <w:r w:rsidRPr="00FF7B51">
        <w:t>)</w:t>
      </w:r>
      <w:r w:rsidR="000F1778" w:rsidRPr="00FF7B51">
        <w:t>.</w:t>
      </w:r>
    </w:p>
    <w:p w14:paraId="2A81460A" w14:textId="1A2B7615" w:rsidR="00DC41DD" w:rsidRPr="00FF7B51" w:rsidRDefault="00DC41DD" w:rsidP="00F61CE2">
      <w:pPr>
        <w:pStyle w:val="Nivel2"/>
        <w:rPr>
          <w:i/>
          <w:iCs/>
        </w:rPr>
      </w:pPr>
      <w:r w:rsidRPr="00FF7B51">
        <w:t xml:space="preserve">As sanções de impedimento de licitar e contratar e declaração de inidoneidade para licitar ou contratar são passíveis de reabilitação na forma do </w:t>
      </w:r>
      <w:hyperlink r:id="rId42" w:anchor="163" w:history="1">
        <w:r w:rsidRPr="00FF7B51">
          <w:rPr>
            <w:rStyle w:val="Hyperlink"/>
          </w:rPr>
          <w:t>art. 163 da Lei nº 14.133/21</w:t>
        </w:r>
      </w:hyperlink>
      <w:r w:rsidRPr="00FF7B51">
        <w:t>.</w:t>
      </w:r>
    </w:p>
    <w:p w14:paraId="3C68A468" w14:textId="105DBD67" w:rsidR="00DC41DD" w:rsidRPr="00FF7B51" w:rsidRDefault="00DC41DD" w:rsidP="00F61CE2">
      <w:pPr>
        <w:pStyle w:val="Nivel2"/>
      </w:pPr>
      <w:r w:rsidRPr="00FF7B51">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3" w:history="1">
        <w:r w:rsidRPr="00FF7B51">
          <w:rPr>
            <w:rStyle w:val="Hyperlink"/>
          </w:rPr>
          <w:t>Normativa SEGES/ME nº 26, de 13 de abril de 2022</w:t>
        </w:r>
      </w:hyperlink>
      <w:r w:rsidRPr="00FF7B51">
        <w:t xml:space="preserve">. </w:t>
      </w:r>
    </w:p>
    <w:p w14:paraId="1577FB28" w14:textId="7737CD9D" w:rsidR="00DC41DD" w:rsidRPr="00FF7B51" w:rsidRDefault="00DC41DD" w:rsidP="00142122">
      <w:pPr>
        <w:pStyle w:val="Nivel01"/>
        <w:rPr>
          <w:color w:val="FFFFFF" w:themeColor="background1"/>
        </w:rPr>
      </w:pPr>
      <w:r w:rsidRPr="00FF7B51">
        <w:t>CLÁUSULA DÉCIMA SEGUNDA– DA EXTINÇÃO CONTRATUAL (</w:t>
      </w:r>
      <w:hyperlink r:id="rId44" w:anchor="art92" w:history="1">
        <w:r w:rsidRPr="00FF7B51">
          <w:rPr>
            <w:rStyle w:val="Hyperlink"/>
          </w:rPr>
          <w:t>art. 92, XIX</w:t>
        </w:r>
      </w:hyperlink>
      <w:r w:rsidRPr="00FF7B51">
        <w:t>)</w:t>
      </w:r>
    </w:p>
    <w:p w14:paraId="757BD93E" w14:textId="2D3C40C1" w:rsidR="00DC41DD" w:rsidRPr="00FF7B51" w:rsidRDefault="00DC41DD" w:rsidP="00216690">
      <w:pPr>
        <w:pStyle w:val="Nvel2-Red"/>
        <w:rPr>
          <w:i w:val="0"/>
          <w:iCs w:val="0"/>
          <w:color w:val="auto"/>
        </w:rPr>
      </w:pPr>
      <w:r w:rsidRPr="00FF7B51">
        <w:rPr>
          <w:i w:val="0"/>
          <w:iCs w:val="0"/>
          <w:color w:val="auto"/>
        </w:rPr>
        <w:t xml:space="preserve">O contrato </w:t>
      </w:r>
      <w:r w:rsidR="00B53F7A" w:rsidRPr="00FF7B51">
        <w:rPr>
          <w:i w:val="0"/>
          <w:iCs w:val="0"/>
          <w:color w:val="auto"/>
        </w:rPr>
        <w:t xml:space="preserve">será extinto </w:t>
      </w:r>
      <w:r w:rsidRPr="00FF7B51">
        <w:rPr>
          <w:i w:val="0"/>
          <w:iCs w:val="0"/>
          <w:color w:val="auto"/>
        </w:rPr>
        <w:t>quando vencido o prazo nele estipulado, independentemente de terem sido cumpridas ou não as obrigações de ambas as partes contraentes.</w:t>
      </w:r>
    </w:p>
    <w:p w14:paraId="2B4A0787" w14:textId="7B8CFF81" w:rsidR="00DC41DD" w:rsidRPr="00FF7B51" w:rsidRDefault="00DC41DD" w:rsidP="00216690">
      <w:pPr>
        <w:pStyle w:val="Nvel3-R"/>
        <w:rPr>
          <w:i w:val="0"/>
          <w:iCs w:val="0"/>
          <w:color w:val="auto"/>
        </w:rPr>
      </w:pPr>
      <w:r w:rsidRPr="00FF7B51">
        <w:rPr>
          <w:i w:val="0"/>
          <w:iCs w:val="0"/>
          <w:color w:val="auto"/>
        </w:rPr>
        <w:t>O contrato pode</w:t>
      </w:r>
      <w:r w:rsidR="00B53F7A" w:rsidRPr="00FF7B51">
        <w:rPr>
          <w:i w:val="0"/>
          <w:iCs w:val="0"/>
          <w:color w:val="auto"/>
        </w:rPr>
        <w:t>rá</w:t>
      </w:r>
      <w:r w:rsidRPr="00FF7B51">
        <w:rPr>
          <w:i w:val="0"/>
          <w:iCs w:val="0"/>
          <w:color w:val="auto"/>
        </w:rPr>
        <w:t xml:space="preserve"> ser extinto antes do prazo nele fixado, sem ônus para o Contratante, quando est</w:t>
      </w:r>
      <w:r w:rsidR="00B53F7A" w:rsidRPr="00FF7B51">
        <w:rPr>
          <w:i w:val="0"/>
          <w:iCs w:val="0"/>
          <w:color w:val="auto"/>
        </w:rPr>
        <w:t>e</w:t>
      </w:r>
      <w:r w:rsidRPr="00FF7B51">
        <w:rPr>
          <w:i w:val="0"/>
          <w:iCs w:val="0"/>
          <w:color w:val="auto"/>
        </w:rPr>
        <w:t xml:space="preserve"> não dispuser de créditos orçamentários para sua continuidade ou quando entender que o contrato não mais lhe oferece vantagem.</w:t>
      </w:r>
    </w:p>
    <w:p w14:paraId="520F7E03" w14:textId="77777777" w:rsidR="00DC41DD" w:rsidRPr="00FF7B51" w:rsidRDefault="00DC41DD" w:rsidP="00216690">
      <w:pPr>
        <w:pStyle w:val="Nvel3-R"/>
        <w:rPr>
          <w:i w:val="0"/>
          <w:iCs w:val="0"/>
          <w:color w:val="auto"/>
        </w:rPr>
      </w:pPr>
      <w:r w:rsidRPr="00FF7B51">
        <w:rPr>
          <w:i w:val="0"/>
          <w:iCs w:val="0"/>
          <w:color w:val="auto"/>
        </w:rPr>
        <w:t>A extinção nesta hipótese ocorrerá na próxima data de aniversário do contrato, desde que haja a notificação do contratado pelo contratante nesse sentido com pelo menos 2 (dois) meses de antecedência desse dia.</w:t>
      </w:r>
    </w:p>
    <w:p w14:paraId="37622D3B" w14:textId="77777777" w:rsidR="00DC41DD" w:rsidRPr="00FF7B51" w:rsidRDefault="00DC41DD" w:rsidP="00216690">
      <w:pPr>
        <w:pStyle w:val="Nvel3-R"/>
        <w:rPr>
          <w:i w:val="0"/>
          <w:iCs w:val="0"/>
          <w:color w:val="auto"/>
        </w:rPr>
      </w:pPr>
      <w:r w:rsidRPr="00FF7B51">
        <w:rPr>
          <w:i w:val="0"/>
          <w:iCs w:val="0"/>
          <w:color w:val="auto"/>
        </w:rPr>
        <w:t>Caso a notificação da não-continuidade do contrato de que trata este subitem ocorra com menos de 2 (dois) meses da data de aniversário, a extinção contratual ocorrerá após 2 (dois) meses da data da comunicação.</w:t>
      </w:r>
    </w:p>
    <w:p w14:paraId="02E1B7B5" w14:textId="32D7FEE4" w:rsidR="00DC41DD" w:rsidRPr="00FF7B51" w:rsidRDefault="00DC41DD" w:rsidP="00216690">
      <w:pPr>
        <w:pStyle w:val="Nivel2"/>
      </w:pPr>
      <w:r w:rsidRPr="00FF7B51">
        <w:t>O contrato pode</w:t>
      </w:r>
      <w:r w:rsidR="00B53F7A" w:rsidRPr="00FF7B51">
        <w:t>rá</w:t>
      </w:r>
      <w:r w:rsidRPr="00FF7B51">
        <w:t xml:space="preserve"> ser extinto antes de cumpridas as obrigações nele estipuladas, ou antes do prazo nele fixado, por algum dos motivos previstos no </w:t>
      </w:r>
      <w:hyperlink r:id="rId45" w:anchor="art137" w:history="1">
        <w:r w:rsidRPr="00FF7B51">
          <w:rPr>
            <w:rStyle w:val="Hyperlink"/>
          </w:rPr>
          <w:t>artigo 137 da Lei nº 14.133/21</w:t>
        </w:r>
      </w:hyperlink>
      <w:r w:rsidRPr="00FF7B51">
        <w:t xml:space="preserve">, bem como amigavelmente, </w:t>
      </w:r>
      <w:r w:rsidRPr="00FF7B51">
        <w:rPr>
          <w:color w:val="000000" w:themeColor="text1"/>
        </w:rPr>
        <w:t>assegurados o contraditório e a ampla defesa</w:t>
      </w:r>
      <w:r w:rsidRPr="00FF7B51">
        <w:t>.</w:t>
      </w:r>
    </w:p>
    <w:p w14:paraId="285144F1" w14:textId="235A383D" w:rsidR="00DC41DD" w:rsidRPr="00FF7B51" w:rsidRDefault="00DC41DD" w:rsidP="00216690">
      <w:pPr>
        <w:pStyle w:val="Nivel3"/>
      </w:pPr>
      <w:r w:rsidRPr="00FF7B51">
        <w:t xml:space="preserve">Nesta hipótese, aplicam-se também os </w:t>
      </w:r>
      <w:hyperlink r:id="rId46" w:anchor="art138" w:history="1">
        <w:r w:rsidRPr="00FF7B51">
          <w:rPr>
            <w:rStyle w:val="Hyperlink"/>
          </w:rPr>
          <w:t>artigos 138 e 139 da mesma Lei</w:t>
        </w:r>
      </w:hyperlink>
      <w:r w:rsidRPr="00FF7B51">
        <w:t>.</w:t>
      </w:r>
    </w:p>
    <w:p w14:paraId="50CE8F25" w14:textId="6B32FE6F" w:rsidR="00DC41DD" w:rsidRPr="00FF7B51" w:rsidRDefault="00DC41DD" w:rsidP="00216690">
      <w:pPr>
        <w:pStyle w:val="Nivel3"/>
      </w:pPr>
      <w:r w:rsidRPr="00FF7B51">
        <w:t xml:space="preserve">A alteração social ou a modificação da finalidade ou da estrutura da empresa não ensejará a </w:t>
      </w:r>
      <w:r w:rsidR="009E743C" w:rsidRPr="00FF7B51">
        <w:t>extinção</w:t>
      </w:r>
      <w:r w:rsidRPr="00FF7B51">
        <w:t xml:space="preserve"> se não restringir sua capacidade de concluir o contrato.</w:t>
      </w:r>
    </w:p>
    <w:p w14:paraId="1F5654C3" w14:textId="77777777" w:rsidR="00DC41DD" w:rsidRPr="00FF7B51" w:rsidRDefault="00DC41DD" w:rsidP="00216690">
      <w:pPr>
        <w:pStyle w:val="Nivel4"/>
      </w:pPr>
      <w:r w:rsidRPr="00FF7B51">
        <w:rPr>
          <w:color w:val="000000" w:themeColor="text1"/>
        </w:rPr>
        <w:t xml:space="preserve">Se a </w:t>
      </w:r>
      <w:r w:rsidRPr="00FF7B51">
        <w:t>operação</w:t>
      </w:r>
      <w:r w:rsidRPr="00FF7B51">
        <w:rPr>
          <w:color w:val="000000" w:themeColor="text1"/>
        </w:rPr>
        <w:t xml:space="preserve"> </w:t>
      </w:r>
      <w:r w:rsidRPr="00FF7B51">
        <w:t>implicar mudança da pessoa jurídica contratada, deverá ser formalizado termo aditivo para alteração subjetiva.</w:t>
      </w:r>
    </w:p>
    <w:p w14:paraId="4DFE79E8" w14:textId="1E57CADB" w:rsidR="00DC41DD" w:rsidRPr="00FF7B51" w:rsidRDefault="00DC41DD" w:rsidP="00216690">
      <w:pPr>
        <w:pStyle w:val="Nivel2"/>
      </w:pPr>
      <w:r w:rsidRPr="00FF7B51">
        <w:t xml:space="preserve">O termo de </w:t>
      </w:r>
      <w:r w:rsidR="00B53F7A" w:rsidRPr="00FF7B51">
        <w:t>extinção</w:t>
      </w:r>
      <w:r w:rsidRPr="00FF7B51">
        <w:t>, sempre que possível, será precedido:</w:t>
      </w:r>
    </w:p>
    <w:p w14:paraId="3697948B" w14:textId="77777777" w:rsidR="00DC41DD" w:rsidRPr="00FF7B51" w:rsidRDefault="00DC41DD" w:rsidP="00216690">
      <w:pPr>
        <w:pStyle w:val="Nivel3"/>
      </w:pPr>
      <w:r w:rsidRPr="00FF7B51">
        <w:t>Balanço dos eventos contratuais já cumpridos ou parcialmente cumpridos;</w:t>
      </w:r>
    </w:p>
    <w:p w14:paraId="702A7B79" w14:textId="77777777" w:rsidR="00DC41DD" w:rsidRPr="00FF7B51" w:rsidRDefault="00DC41DD" w:rsidP="00216690">
      <w:pPr>
        <w:pStyle w:val="Nivel3"/>
      </w:pPr>
      <w:r w:rsidRPr="00FF7B51">
        <w:t>Relação dos pagamentos já efetuados e ainda devidos;</w:t>
      </w:r>
    </w:p>
    <w:p w14:paraId="28CFCF23" w14:textId="77777777" w:rsidR="00DC41DD" w:rsidRPr="00FF7B51" w:rsidRDefault="00DC41DD" w:rsidP="00216690">
      <w:pPr>
        <w:pStyle w:val="Nivel3"/>
      </w:pPr>
      <w:r w:rsidRPr="00FF7B51">
        <w:t>Indenizações e multas.</w:t>
      </w:r>
    </w:p>
    <w:p w14:paraId="474A470F" w14:textId="572C339B" w:rsidR="00DC41DD" w:rsidRPr="00FF7B51" w:rsidRDefault="00DC41DD" w:rsidP="00216690">
      <w:pPr>
        <w:pStyle w:val="Nivel2"/>
      </w:pPr>
      <w:r w:rsidRPr="00FF7B51">
        <w:t>A extinção do contrato não configura óbice para o reconhecimento do desequilíbrio econômico-financeiro, hipótese em que será concedida indenização por meio de termo indenizatório (</w:t>
      </w:r>
      <w:hyperlink r:id="rId47" w:anchor="art131">
        <w:r w:rsidRPr="00FF7B51">
          <w:rPr>
            <w:rStyle w:val="Hyperlink"/>
          </w:rPr>
          <w:t xml:space="preserve">art. 131, </w:t>
        </w:r>
        <w:r w:rsidRPr="00FF7B51">
          <w:rPr>
            <w:rStyle w:val="Hyperlink"/>
            <w:i/>
            <w:iCs/>
          </w:rPr>
          <w:t xml:space="preserve">caput, </w:t>
        </w:r>
        <w:r w:rsidRPr="00FF7B51">
          <w:rPr>
            <w:rStyle w:val="Hyperlink"/>
          </w:rPr>
          <w:t>da Lei n.º 14.133, de 2021</w:t>
        </w:r>
      </w:hyperlink>
      <w:r w:rsidRPr="00FF7B51">
        <w:t xml:space="preserve">). </w:t>
      </w:r>
    </w:p>
    <w:p w14:paraId="06BE3D43" w14:textId="79DA0B30" w:rsidR="534D768A" w:rsidRPr="00FF7B51" w:rsidRDefault="534D768A" w:rsidP="00216690">
      <w:pPr>
        <w:pStyle w:val="Nivel2"/>
      </w:pPr>
      <w:r w:rsidRPr="00FF7B51">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794E005" w14:textId="55C4AB08" w:rsidR="00DC41DD" w:rsidRPr="00FF7B51" w:rsidRDefault="00DC41DD" w:rsidP="00142122">
      <w:pPr>
        <w:pStyle w:val="Nivel01"/>
        <w:rPr>
          <w:color w:val="FFFFFF" w:themeColor="background1"/>
        </w:rPr>
      </w:pPr>
      <w:r w:rsidRPr="00FF7B51">
        <w:t>CLÁUSULA DÉCIMA TERCEIRA – DOTAÇÃO ORÇAMENTÁRIA (</w:t>
      </w:r>
      <w:hyperlink r:id="rId48" w:anchor="art92" w:history="1">
        <w:r w:rsidRPr="00FF7B51">
          <w:rPr>
            <w:rStyle w:val="Hyperlink"/>
          </w:rPr>
          <w:t>art. 92, VIII</w:t>
        </w:r>
      </w:hyperlink>
      <w:r w:rsidRPr="00FF7B51">
        <w:t>)</w:t>
      </w:r>
    </w:p>
    <w:p w14:paraId="7562E3EC" w14:textId="5C7A5A22" w:rsidR="00DC41DD" w:rsidRPr="00FF7B51" w:rsidRDefault="00DC41DD" w:rsidP="00216690">
      <w:pPr>
        <w:pStyle w:val="Nivel2"/>
        <w:rPr>
          <w:highlight w:val="yellow"/>
        </w:rPr>
      </w:pPr>
      <w:r w:rsidRPr="00FF7B51">
        <w:rPr>
          <w:highlight w:val="yellow"/>
        </w:rPr>
        <w:t xml:space="preserve">As despesas decorrentes da presente contratação correrão à conta de recursos específicos consignados no Orçamento Geral </w:t>
      </w:r>
      <w:r w:rsidR="00CB0587" w:rsidRPr="00FF7B51">
        <w:rPr>
          <w:highlight w:val="yellow"/>
        </w:rPr>
        <w:t>do Fundo</w:t>
      </w:r>
      <w:r w:rsidRPr="00FF7B51">
        <w:rPr>
          <w:highlight w:val="yellow"/>
        </w:rPr>
        <w:t xml:space="preserve"> deste exercício, na dotação abaixo discriminada:</w:t>
      </w:r>
    </w:p>
    <w:p w14:paraId="128EA482" w14:textId="77777777" w:rsidR="00FF7B51" w:rsidRPr="00FF7B51" w:rsidRDefault="00FF7B51" w:rsidP="00FF7B51">
      <w:pPr>
        <w:pStyle w:val="Nivel01"/>
        <w:numPr>
          <w:ilvl w:val="0"/>
          <w:numId w:val="0"/>
        </w:numPr>
        <w:pBdr>
          <w:top w:val="single" w:sz="4" w:space="1" w:color="auto"/>
          <w:left w:val="single" w:sz="4" w:space="4" w:color="auto"/>
          <w:bottom w:val="single" w:sz="4" w:space="1" w:color="auto"/>
          <w:right w:val="single" w:sz="4" w:space="4" w:color="auto"/>
        </w:pBdr>
        <w:rPr>
          <w:b w:val="0"/>
          <w:bCs w:val="0"/>
        </w:rPr>
      </w:pPr>
      <w:r w:rsidRPr="00FF7B51">
        <w:rPr>
          <w:b w:val="0"/>
          <w:bCs w:val="0"/>
        </w:rPr>
        <w:t xml:space="preserve">Entidade: PREFEITURA MUNICIPAL DE VARGEM BONITA </w:t>
      </w:r>
    </w:p>
    <w:p w14:paraId="0549D823" w14:textId="77777777" w:rsidR="00FF7B51" w:rsidRPr="00FF7B51" w:rsidRDefault="00FF7B51" w:rsidP="00FF7B51">
      <w:pPr>
        <w:pStyle w:val="Nivel01"/>
        <w:numPr>
          <w:ilvl w:val="0"/>
          <w:numId w:val="0"/>
        </w:numPr>
        <w:pBdr>
          <w:top w:val="single" w:sz="4" w:space="1" w:color="auto"/>
          <w:left w:val="single" w:sz="4" w:space="4" w:color="auto"/>
          <w:bottom w:val="single" w:sz="4" w:space="1" w:color="auto"/>
          <w:right w:val="single" w:sz="4" w:space="4" w:color="auto"/>
        </w:pBdr>
        <w:rPr>
          <w:b w:val="0"/>
          <w:bCs w:val="0"/>
        </w:rPr>
      </w:pPr>
      <w:r w:rsidRPr="00FF7B51">
        <w:rPr>
          <w:b w:val="0"/>
          <w:bCs w:val="0"/>
        </w:rPr>
        <w:t>05.001 - SECRETARIA DE EDUCAÇÃO E CULTURA / SECRETARIA DE EDUCAÇÃO 356.704,12 10 - EDUCAÇÃO PARA TODOS</w:t>
      </w:r>
    </w:p>
    <w:p w14:paraId="7CF56012" w14:textId="77777777" w:rsidR="00FF7B51" w:rsidRPr="00FF7B51" w:rsidRDefault="00FF7B51" w:rsidP="00FF7B51">
      <w:pPr>
        <w:pStyle w:val="Nivel01"/>
        <w:numPr>
          <w:ilvl w:val="0"/>
          <w:numId w:val="0"/>
        </w:numPr>
        <w:pBdr>
          <w:top w:val="single" w:sz="4" w:space="1" w:color="auto"/>
          <w:left w:val="single" w:sz="4" w:space="4" w:color="auto"/>
          <w:bottom w:val="single" w:sz="4" w:space="1" w:color="auto"/>
          <w:right w:val="single" w:sz="4" w:space="4" w:color="auto"/>
        </w:pBdr>
        <w:rPr>
          <w:b w:val="0"/>
          <w:bCs w:val="0"/>
        </w:rPr>
      </w:pPr>
      <w:r w:rsidRPr="00FF7B51">
        <w:rPr>
          <w:b w:val="0"/>
          <w:bCs w:val="0"/>
        </w:rPr>
        <w:t xml:space="preserve">12.361 - Educação / Ensino Fundamental </w:t>
      </w:r>
    </w:p>
    <w:p w14:paraId="6C739CEE" w14:textId="77777777" w:rsidR="00FF7B51" w:rsidRPr="00FF7B51" w:rsidRDefault="00FF7B51" w:rsidP="00FF7B51">
      <w:pPr>
        <w:pStyle w:val="Nivel01"/>
        <w:numPr>
          <w:ilvl w:val="0"/>
          <w:numId w:val="0"/>
        </w:numPr>
        <w:pBdr>
          <w:top w:val="single" w:sz="4" w:space="1" w:color="auto"/>
          <w:left w:val="single" w:sz="4" w:space="4" w:color="auto"/>
          <w:bottom w:val="single" w:sz="4" w:space="1" w:color="auto"/>
          <w:right w:val="single" w:sz="4" w:space="4" w:color="auto"/>
        </w:pBdr>
        <w:rPr>
          <w:b w:val="0"/>
          <w:bCs w:val="0"/>
        </w:rPr>
      </w:pPr>
      <w:r w:rsidRPr="00FF7B51">
        <w:rPr>
          <w:b w:val="0"/>
          <w:bCs w:val="0"/>
        </w:rPr>
        <w:t xml:space="preserve">2.012 - MANUTENÇÃO DO ENSINO FUNDAMENTAL </w:t>
      </w:r>
    </w:p>
    <w:p w14:paraId="2A58432F" w14:textId="77777777" w:rsidR="00FF7B51" w:rsidRPr="00FF7B51" w:rsidRDefault="00FF7B51" w:rsidP="00FF7B51">
      <w:pPr>
        <w:pStyle w:val="Nivel01"/>
        <w:numPr>
          <w:ilvl w:val="0"/>
          <w:numId w:val="0"/>
        </w:numPr>
        <w:pBdr>
          <w:top w:val="single" w:sz="4" w:space="1" w:color="auto"/>
          <w:left w:val="single" w:sz="4" w:space="4" w:color="auto"/>
          <w:bottom w:val="single" w:sz="4" w:space="1" w:color="auto"/>
          <w:right w:val="single" w:sz="4" w:space="4" w:color="auto"/>
        </w:pBdr>
        <w:rPr>
          <w:b w:val="0"/>
          <w:bCs w:val="0"/>
        </w:rPr>
      </w:pPr>
      <w:r w:rsidRPr="00FF7B51">
        <w:rPr>
          <w:b w:val="0"/>
          <w:bCs w:val="0"/>
        </w:rPr>
        <w:t xml:space="preserve">36 - 4.4.90.00.00.00.00.00 - APLICACOES DIRETAS </w:t>
      </w:r>
    </w:p>
    <w:p w14:paraId="17162B22" w14:textId="77777777" w:rsidR="00FF7B51" w:rsidRPr="00FF7B51" w:rsidRDefault="00FF7B51" w:rsidP="00FF7B51">
      <w:pPr>
        <w:pStyle w:val="Nivel01"/>
        <w:numPr>
          <w:ilvl w:val="0"/>
          <w:numId w:val="0"/>
        </w:numPr>
        <w:pBdr>
          <w:top w:val="single" w:sz="4" w:space="1" w:color="auto"/>
          <w:left w:val="single" w:sz="4" w:space="4" w:color="auto"/>
          <w:bottom w:val="single" w:sz="4" w:space="1" w:color="auto"/>
          <w:right w:val="single" w:sz="4" w:space="4" w:color="auto"/>
        </w:pBdr>
        <w:rPr>
          <w:b w:val="0"/>
          <w:bCs w:val="0"/>
        </w:rPr>
      </w:pPr>
      <w:r w:rsidRPr="00FF7B51">
        <w:rPr>
          <w:b w:val="0"/>
          <w:bCs w:val="0"/>
        </w:rPr>
        <w:t xml:space="preserve">1.500.1001.0001 - RECURSOS DE IMPOSTOS - 25% EDUCAÇÃO 10.000,00 </w:t>
      </w:r>
    </w:p>
    <w:p w14:paraId="48816EA6" w14:textId="77777777" w:rsidR="00FF7B51" w:rsidRPr="00FF7B51" w:rsidRDefault="00FF7B51" w:rsidP="00FF7B51">
      <w:pPr>
        <w:pStyle w:val="Nivel01"/>
        <w:numPr>
          <w:ilvl w:val="0"/>
          <w:numId w:val="0"/>
        </w:numPr>
        <w:pBdr>
          <w:top w:val="single" w:sz="4" w:space="1" w:color="auto"/>
          <w:left w:val="single" w:sz="4" w:space="4" w:color="auto"/>
          <w:bottom w:val="single" w:sz="4" w:space="1" w:color="auto"/>
          <w:right w:val="single" w:sz="4" w:space="4" w:color="auto"/>
        </w:pBdr>
        <w:rPr>
          <w:b w:val="0"/>
          <w:bCs w:val="0"/>
        </w:rPr>
      </w:pPr>
      <w:r w:rsidRPr="00FF7B51">
        <w:rPr>
          <w:b w:val="0"/>
          <w:bCs w:val="0"/>
        </w:rPr>
        <w:t xml:space="preserve">36 - 4.4.90.00.00.00.00.00 - APLICACOES DIRETAS </w:t>
      </w:r>
    </w:p>
    <w:p w14:paraId="287EB218" w14:textId="77777777" w:rsidR="00FF7B51" w:rsidRPr="00FF7B51" w:rsidRDefault="00FF7B51" w:rsidP="00FF7B51">
      <w:pPr>
        <w:pStyle w:val="Nivel01"/>
        <w:numPr>
          <w:ilvl w:val="0"/>
          <w:numId w:val="0"/>
        </w:numPr>
        <w:pBdr>
          <w:top w:val="single" w:sz="4" w:space="1" w:color="auto"/>
          <w:left w:val="single" w:sz="4" w:space="4" w:color="auto"/>
          <w:bottom w:val="single" w:sz="4" w:space="1" w:color="auto"/>
          <w:right w:val="single" w:sz="4" w:space="4" w:color="auto"/>
        </w:pBdr>
        <w:rPr>
          <w:b w:val="0"/>
          <w:bCs w:val="0"/>
        </w:rPr>
      </w:pPr>
      <w:r w:rsidRPr="00FF7B51">
        <w:rPr>
          <w:b w:val="0"/>
          <w:bCs w:val="0"/>
        </w:rPr>
        <w:t xml:space="preserve">1.755.7001.0087 - ALIENAÇÃO DE BENS DESTINADOS A PROGRAMAS DA EDUCAÇÃO </w:t>
      </w:r>
    </w:p>
    <w:p w14:paraId="1F8309C1" w14:textId="77777777" w:rsidR="00FF7B51" w:rsidRPr="00FF7B51" w:rsidRDefault="00FF7B51" w:rsidP="00FF7B51">
      <w:pPr>
        <w:pStyle w:val="Nivel01"/>
        <w:numPr>
          <w:ilvl w:val="0"/>
          <w:numId w:val="0"/>
        </w:numPr>
        <w:pBdr>
          <w:top w:val="single" w:sz="4" w:space="1" w:color="auto"/>
          <w:left w:val="single" w:sz="4" w:space="4" w:color="auto"/>
          <w:bottom w:val="single" w:sz="4" w:space="1" w:color="auto"/>
          <w:right w:val="single" w:sz="4" w:space="4" w:color="auto"/>
        </w:pBdr>
        <w:rPr>
          <w:b w:val="0"/>
          <w:bCs w:val="0"/>
        </w:rPr>
      </w:pPr>
      <w:r w:rsidRPr="00FF7B51">
        <w:rPr>
          <w:b w:val="0"/>
          <w:bCs w:val="0"/>
        </w:rPr>
        <w:t xml:space="preserve">36 - 4.4.90.00.00.00.00.00 - APLICACOES DIRETAS </w:t>
      </w:r>
    </w:p>
    <w:p w14:paraId="0119EC16" w14:textId="77777777" w:rsidR="00FF7B51" w:rsidRPr="00FF7B51" w:rsidRDefault="00FF7B51" w:rsidP="00FF7B51">
      <w:pPr>
        <w:pStyle w:val="Nivel01"/>
        <w:numPr>
          <w:ilvl w:val="0"/>
          <w:numId w:val="0"/>
        </w:numPr>
        <w:pBdr>
          <w:top w:val="single" w:sz="4" w:space="1" w:color="auto"/>
          <w:left w:val="single" w:sz="4" w:space="4" w:color="auto"/>
          <w:bottom w:val="single" w:sz="4" w:space="1" w:color="auto"/>
          <w:right w:val="single" w:sz="4" w:space="4" w:color="auto"/>
        </w:pBdr>
        <w:rPr>
          <w:b w:val="0"/>
          <w:bCs w:val="0"/>
          <w:color w:val="FF0000"/>
        </w:rPr>
      </w:pPr>
      <w:r w:rsidRPr="00FF7B51">
        <w:rPr>
          <w:b w:val="0"/>
          <w:bCs w:val="0"/>
        </w:rPr>
        <w:t>2.710.3210.0079 - SF EMENDAS PARLAMENTARES IMPOSITIVAS - TRANSF. DO ESTADO</w:t>
      </w:r>
      <w:r w:rsidRPr="00FF7B51">
        <w:rPr>
          <w:b w:val="0"/>
          <w:bCs w:val="0"/>
          <w:color w:val="FF0000"/>
        </w:rPr>
        <w:t>.</w:t>
      </w:r>
    </w:p>
    <w:p w14:paraId="5A82B998" w14:textId="77777777" w:rsidR="00FF7B51" w:rsidRPr="00BA6A39" w:rsidRDefault="00FF7B51" w:rsidP="00FF7B51">
      <w:pPr>
        <w:pStyle w:val="Nivel01"/>
      </w:pPr>
    </w:p>
    <w:p w14:paraId="7E6E1250" w14:textId="77777777" w:rsidR="001653FF" w:rsidRPr="00FF7B51" w:rsidRDefault="001653FF" w:rsidP="001653FF">
      <w:pPr>
        <w:rPr>
          <w:rFonts w:ascii="Arial" w:hAnsi="Arial" w:cs="Arial"/>
          <w:sz w:val="20"/>
          <w:szCs w:val="20"/>
        </w:rPr>
      </w:pPr>
    </w:p>
    <w:p w14:paraId="40F873DB" w14:textId="77777777" w:rsidR="00DC41DD" w:rsidRPr="00FF7B51" w:rsidRDefault="00DC41DD" w:rsidP="00216690">
      <w:pPr>
        <w:pStyle w:val="Nvel2-Red"/>
        <w:rPr>
          <w:i w:val="0"/>
          <w:iCs w:val="0"/>
          <w:color w:val="auto"/>
        </w:rPr>
      </w:pPr>
      <w:r w:rsidRPr="00FF7B51">
        <w:rPr>
          <w:i w:val="0"/>
          <w:iCs w:val="0"/>
          <w:color w:val="auto"/>
        </w:rPr>
        <w:t>A dotação relativa aos exercícios financeiros subsequentes será indicada após aprovação da Lei Orçamentária respectiva e liberação dos créditos correspondentes, mediante apostilamento.</w:t>
      </w:r>
    </w:p>
    <w:p w14:paraId="7FFD19FD" w14:textId="74E2370E" w:rsidR="00DC41DD" w:rsidRPr="00FF7B51" w:rsidRDefault="00DC41DD" w:rsidP="00142122">
      <w:pPr>
        <w:pStyle w:val="Nivel01"/>
        <w:rPr>
          <w:color w:val="FFFFFF" w:themeColor="background1"/>
        </w:rPr>
      </w:pPr>
      <w:r w:rsidRPr="00FF7B51">
        <w:t>CLÁUSULA DÉCIMA QUARTA – DOS CASOS OMISSOS (</w:t>
      </w:r>
      <w:hyperlink r:id="rId49" w:anchor="art92" w:history="1">
        <w:r w:rsidRPr="00FF7B51">
          <w:rPr>
            <w:rStyle w:val="Hyperlink"/>
          </w:rPr>
          <w:t>art. 92, III</w:t>
        </w:r>
      </w:hyperlink>
      <w:r w:rsidRPr="00FF7B51">
        <w:t>)</w:t>
      </w:r>
    </w:p>
    <w:p w14:paraId="2BDB01E3" w14:textId="7FBE5E66" w:rsidR="00DC41DD" w:rsidRPr="00FF7B51" w:rsidRDefault="00DC41DD" w:rsidP="00216690">
      <w:pPr>
        <w:pStyle w:val="Nivel2"/>
      </w:pPr>
      <w:r w:rsidRPr="00FF7B51">
        <w:t xml:space="preserve">Os casos omissos serão decididos pelo contratante, segundo as disposições contidas na Lei </w:t>
      </w:r>
      <w:hyperlink r:id="rId50" w:history="1">
        <w:r w:rsidRPr="00FF7B51">
          <w:rPr>
            <w:rStyle w:val="Hyperlink"/>
          </w:rPr>
          <w:t>nº 14.133, de 2021</w:t>
        </w:r>
      </w:hyperlink>
      <w:r w:rsidRPr="00FF7B51">
        <w:t xml:space="preserve">, e demais normas federais aplicáveis e, subsidiariamente, segundo as disposições contidas na </w:t>
      </w:r>
      <w:hyperlink r:id="rId51" w:history="1">
        <w:r w:rsidRPr="00FF7B51">
          <w:rPr>
            <w:rStyle w:val="Hyperlink"/>
          </w:rPr>
          <w:t>Lei nº 8.078, de 1990 – Código de Defesa do Consumidor</w:t>
        </w:r>
      </w:hyperlink>
      <w:r w:rsidRPr="00FF7B51">
        <w:t xml:space="preserve"> – e normas e princípios gerais dos contratos.</w:t>
      </w:r>
    </w:p>
    <w:p w14:paraId="63B176AB" w14:textId="77777777" w:rsidR="00DC41DD" w:rsidRPr="00FF7B51" w:rsidRDefault="00DC41DD" w:rsidP="00142122">
      <w:pPr>
        <w:pStyle w:val="Nivel01"/>
        <w:rPr>
          <w:color w:val="FFFFFF" w:themeColor="background1"/>
        </w:rPr>
      </w:pPr>
      <w:r w:rsidRPr="00FF7B51">
        <w:t>CLÁUSULA DÉCIMA QUINTA – ALTERAÇÕES</w:t>
      </w:r>
    </w:p>
    <w:p w14:paraId="2A226107" w14:textId="45387CD2" w:rsidR="00DC41DD" w:rsidRPr="00FF7B51" w:rsidRDefault="00DC41DD" w:rsidP="00216690">
      <w:pPr>
        <w:pStyle w:val="Nivel2"/>
      </w:pPr>
      <w:r w:rsidRPr="00FF7B51">
        <w:t xml:space="preserve">Eventuais alterações contratuais reger-se-ão pela disciplina dos </w:t>
      </w:r>
      <w:hyperlink r:id="rId52" w:anchor="art124" w:history="1">
        <w:proofErr w:type="spellStart"/>
        <w:r w:rsidRPr="00FF7B51">
          <w:rPr>
            <w:rStyle w:val="Hyperlink"/>
          </w:rPr>
          <w:t>arts</w:t>
        </w:r>
        <w:proofErr w:type="spellEnd"/>
        <w:r w:rsidR="00FC0BCA" w:rsidRPr="00FF7B51">
          <w:rPr>
            <w:rStyle w:val="Hyperlink"/>
          </w:rPr>
          <w:t>.</w:t>
        </w:r>
        <w:r w:rsidRPr="00FF7B51">
          <w:rPr>
            <w:rStyle w:val="Hyperlink"/>
          </w:rPr>
          <w:t xml:space="preserve"> 124 e seguintes da Lei nº 14.133, de 2021</w:t>
        </w:r>
      </w:hyperlink>
      <w:r w:rsidRPr="00FF7B51">
        <w:t>.</w:t>
      </w:r>
    </w:p>
    <w:p w14:paraId="02D863AC" w14:textId="77777777" w:rsidR="00B53F7A" w:rsidRPr="00FF7B51" w:rsidRDefault="00DC41DD" w:rsidP="00216690">
      <w:pPr>
        <w:pStyle w:val="Nivel2"/>
      </w:pPr>
      <w:r w:rsidRPr="00FF7B51">
        <w:t>O contratado é obrigado a aceitar, nas mesmas condições contratuais, os acréscimos ou supressões que se fizerem necessários, até o limite de 25% (vinte e cinco por cento) do valor inicial atualizado do contrato.</w:t>
      </w:r>
    </w:p>
    <w:p w14:paraId="137EEA0D" w14:textId="467EA04C" w:rsidR="00B53F7A" w:rsidRPr="00FF7B51" w:rsidRDefault="00B53F7A" w:rsidP="00216690">
      <w:pPr>
        <w:pStyle w:val="Nivel2"/>
      </w:pPr>
      <w:r w:rsidRPr="00FF7B51">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38E47CB" w14:textId="2319513E" w:rsidR="00DC41DD" w:rsidRPr="00FF7B51" w:rsidRDefault="00DC41DD" w:rsidP="00216690">
      <w:pPr>
        <w:pStyle w:val="Nivel2"/>
      </w:pPr>
      <w:r w:rsidRPr="00FF7B51">
        <w:t xml:space="preserve">Registros que não caracterizam alteração do contrato podem ser realizados por simples apostila, dispensada a celebração de termo aditivo, na forma do </w:t>
      </w:r>
      <w:hyperlink r:id="rId53" w:anchor="art136" w:history="1">
        <w:r w:rsidRPr="00FF7B51">
          <w:rPr>
            <w:rStyle w:val="Hyperlink"/>
          </w:rPr>
          <w:t>art. 136 da Lei nº 14.133, de 2021</w:t>
        </w:r>
      </w:hyperlink>
      <w:r w:rsidRPr="00FF7B51">
        <w:t>.</w:t>
      </w:r>
    </w:p>
    <w:p w14:paraId="14650BF1" w14:textId="77777777" w:rsidR="00DC41DD" w:rsidRPr="00FF7B51" w:rsidRDefault="00DC41DD" w:rsidP="00142122">
      <w:pPr>
        <w:pStyle w:val="Nivel01"/>
        <w:rPr>
          <w:color w:val="FFFFFF" w:themeColor="background1"/>
        </w:rPr>
      </w:pPr>
      <w:r w:rsidRPr="00FF7B51">
        <w:t>CLÁUSULA DÉCIMA SEXTA – PUBLICAÇÃO</w:t>
      </w:r>
    </w:p>
    <w:p w14:paraId="0387E430" w14:textId="4122F75E" w:rsidR="00DC41DD" w:rsidRPr="00FF7B51" w:rsidRDefault="00DC41DD" w:rsidP="00216690">
      <w:pPr>
        <w:pStyle w:val="Nivel2"/>
      </w:pPr>
      <w:r w:rsidRPr="00FF7B51">
        <w:t xml:space="preserve">Incumbirá ao contratante divulgar o presente instrumento no Portal Nacional de Contratações Públicas (PNCP), na forma prevista no </w:t>
      </w:r>
      <w:hyperlink r:id="rId54" w:anchor="art94" w:history="1">
        <w:r w:rsidRPr="00FF7B51">
          <w:rPr>
            <w:rStyle w:val="Hyperlink"/>
          </w:rPr>
          <w:t>art. 94 da Lei 14.133, de 2021</w:t>
        </w:r>
      </w:hyperlink>
      <w:r w:rsidRPr="00FF7B51">
        <w:t xml:space="preserve">, bem como no respectivo sítio oficial na Internet, em atenção </w:t>
      </w:r>
      <w:r w:rsidR="00C87F98" w:rsidRPr="00FF7B51">
        <w:t xml:space="preserve">ao art. 91, </w:t>
      </w:r>
      <w:r w:rsidR="00C87F98" w:rsidRPr="00FF7B51">
        <w:rPr>
          <w:i/>
        </w:rPr>
        <w:t>caput,</w:t>
      </w:r>
      <w:r w:rsidR="00C87F98" w:rsidRPr="00FF7B51">
        <w:t xml:space="preserve"> da Lei n.º 14.133, de 2021, e </w:t>
      </w:r>
      <w:r w:rsidRPr="00FF7B51">
        <w:t xml:space="preserve">ao </w:t>
      </w:r>
      <w:hyperlink r:id="rId55" w:anchor="art8§2" w:history="1">
        <w:r w:rsidRPr="00FF7B51">
          <w:rPr>
            <w:rStyle w:val="Hyperlink"/>
          </w:rPr>
          <w:t>art. 8º, §2º, da Lei n. 12.527, de 2011</w:t>
        </w:r>
      </w:hyperlink>
      <w:r w:rsidRPr="00FF7B51">
        <w:t xml:space="preserve">, c/c </w:t>
      </w:r>
      <w:hyperlink r:id="rId56" w:anchor="art7§3" w:history="1">
        <w:r w:rsidRPr="00FF7B51">
          <w:rPr>
            <w:rStyle w:val="Hyperlink"/>
          </w:rPr>
          <w:t>art. 7º, §3º, inciso V, do Decreto n. 7.724, de 2012</w:t>
        </w:r>
      </w:hyperlink>
      <w:r w:rsidRPr="00FF7B51">
        <w:t>.</w:t>
      </w:r>
    </w:p>
    <w:p w14:paraId="0F49AB6E" w14:textId="7578BB2B" w:rsidR="00DC41DD" w:rsidRPr="00FF7B51" w:rsidRDefault="00DC41DD" w:rsidP="00142122">
      <w:pPr>
        <w:pStyle w:val="Nivel01"/>
        <w:rPr>
          <w:color w:val="FFFFFF" w:themeColor="background1"/>
        </w:rPr>
      </w:pPr>
      <w:r w:rsidRPr="00FF7B51">
        <w:t>CLÁUSULA DÉCIMA SÉTIMA– FORO (</w:t>
      </w:r>
      <w:hyperlink r:id="rId57" w:anchor="art92§1" w:history="1">
        <w:r w:rsidRPr="00FF7B51">
          <w:rPr>
            <w:rStyle w:val="Hyperlink"/>
          </w:rPr>
          <w:t>art. 92, §1º</w:t>
        </w:r>
      </w:hyperlink>
      <w:r w:rsidRPr="00FF7B51">
        <w:t>)</w:t>
      </w:r>
    </w:p>
    <w:p w14:paraId="184251F6" w14:textId="16861BB6" w:rsidR="00DC41DD" w:rsidRPr="00FF7B51" w:rsidRDefault="00DC41DD" w:rsidP="00216690">
      <w:pPr>
        <w:pStyle w:val="Nivel2"/>
      </w:pPr>
      <w:r w:rsidRPr="00FF7B51">
        <w:rPr>
          <w:color w:val="auto"/>
          <w:lang w:eastAsia="en-US"/>
        </w:rPr>
        <w:t xml:space="preserve">Fica eleito o Foro da </w:t>
      </w:r>
      <w:r w:rsidR="00CB0587" w:rsidRPr="00FF7B51">
        <w:rPr>
          <w:color w:val="auto"/>
          <w:lang w:eastAsia="en-US"/>
        </w:rPr>
        <w:t>Comarca de Catanduvas, SC,</w:t>
      </w:r>
      <w:r w:rsidRPr="00FF7B51">
        <w:t xml:space="preserve"> para dirimir os litígios que decorrerem da execução deste Termo de Contrato que não puderem ser compostos pela conciliação, conforme </w:t>
      </w:r>
      <w:hyperlink r:id="rId58" w:anchor="art92§1" w:history="1">
        <w:r w:rsidRPr="00FF7B51">
          <w:rPr>
            <w:rStyle w:val="Hyperlink"/>
          </w:rPr>
          <w:t>art. 92, §1º, da Lei nº 14.133/21</w:t>
        </w:r>
      </w:hyperlink>
      <w:r w:rsidRPr="00FF7B51">
        <w:t>.</w:t>
      </w:r>
    </w:p>
    <w:p w14:paraId="721C1BC9" w14:textId="2AFFE608" w:rsidR="00EA7386" w:rsidRPr="00FF7B51" w:rsidRDefault="00CB0587" w:rsidP="00D01ED2">
      <w:pPr>
        <w:pStyle w:val="Nivel2"/>
        <w:numPr>
          <w:ilvl w:val="0"/>
          <w:numId w:val="0"/>
        </w:numPr>
        <w:spacing w:afterLines="120" w:after="288" w:line="312" w:lineRule="auto"/>
        <w:ind w:firstLine="567"/>
        <w:rPr>
          <w:color w:val="auto"/>
        </w:rPr>
      </w:pPr>
      <w:r w:rsidRPr="00FF7B51">
        <w:rPr>
          <w:color w:val="auto"/>
        </w:rPr>
        <w:t xml:space="preserve">Vargem Bonita, ___ de _____ </w:t>
      </w:r>
      <w:proofErr w:type="spellStart"/>
      <w:r w:rsidRPr="00FF7B51">
        <w:rPr>
          <w:color w:val="auto"/>
        </w:rPr>
        <w:t>de</w:t>
      </w:r>
      <w:proofErr w:type="spellEnd"/>
      <w:r w:rsidRPr="00FF7B51">
        <w:rPr>
          <w:color w:val="auto"/>
        </w:rPr>
        <w:t xml:space="preserve"> 2024.</w:t>
      </w:r>
    </w:p>
    <w:p w14:paraId="47D7887B" w14:textId="2A2BC154" w:rsidR="00CB0587" w:rsidRPr="00FF7B51" w:rsidRDefault="007F44F1" w:rsidP="00CB0587">
      <w:pPr>
        <w:spacing w:line="360" w:lineRule="auto"/>
        <w:jc w:val="center"/>
        <w:rPr>
          <w:rFonts w:ascii="Arial" w:hAnsi="Arial" w:cs="Arial"/>
          <w:b/>
          <w:bCs/>
          <w:sz w:val="20"/>
          <w:szCs w:val="20"/>
        </w:rPr>
      </w:pPr>
      <w:bookmarkStart w:id="4" w:name="_Hlk156202331"/>
      <w:r w:rsidRPr="00FF7B51">
        <w:rPr>
          <w:rFonts w:ascii="Arial" w:hAnsi="Arial" w:cs="Arial"/>
          <w:b/>
          <w:bCs/>
          <w:sz w:val="20"/>
          <w:szCs w:val="20"/>
        </w:rPr>
        <w:t>ROSAMÁRCIA HETKOWISKI ROMAN</w:t>
      </w:r>
    </w:p>
    <w:bookmarkEnd w:id="4"/>
    <w:p w14:paraId="0F3F1B4C" w14:textId="33858426" w:rsidR="00DC41DD" w:rsidRPr="00FF7B51" w:rsidRDefault="007F44F1" w:rsidP="00CB0587">
      <w:pPr>
        <w:spacing w:line="360" w:lineRule="auto"/>
        <w:jc w:val="center"/>
        <w:rPr>
          <w:rFonts w:ascii="Arial" w:hAnsi="Arial" w:cs="Arial"/>
          <w:b/>
          <w:bCs/>
          <w:sz w:val="20"/>
          <w:szCs w:val="20"/>
        </w:rPr>
      </w:pPr>
      <w:r w:rsidRPr="00FF7B51">
        <w:rPr>
          <w:rFonts w:ascii="Arial" w:hAnsi="Arial" w:cs="Arial"/>
          <w:b/>
          <w:bCs/>
          <w:sz w:val="20"/>
          <w:szCs w:val="20"/>
        </w:rPr>
        <w:t>Prefeita Municipal</w:t>
      </w:r>
    </w:p>
    <w:p w14:paraId="0306F872" w14:textId="74341E3C" w:rsidR="00DC41DD" w:rsidRPr="00FF7B51" w:rsidRDefault="00DC41DD" w:rsidP="00CB0587">
      <w:pPr>
        <w:spacing w:line="360" w:lineRule="auto"/>
        <w:jc w:val="center"/>
        <w:rPr>
          <w:rFonts w:ascii="Arial" w:hAnsi="Arial" w:cs="Arial"/>
          <w:bCs/>
          <w:sz w:val="20"/>
          <w:szCs w:val="20"/>
        </w:rPr>
      </w:pPr>
      <w:r w:rsidRPr="00FF7B51">
        <w:rPr>
          <w:rFonts w:ascii="Arial" w:hAnsi="Arial" w:cs="Arial"/>
          <w:bCs/>
          <w:sz w:val="20"/>
          <w:szCs w:val="20"/>
        </w:rPr>
        <w:t>CONTRATANTE</w:t>
      </w:r>
    </w:p>
    <w:p w14:paraId="3D75EBFB" w14:textId="1F687717" w:rsidR="00DC41DD" w:rsidRPr="00FF7B51" w:rsidRDefault="00DC41DD" w:rsidP="00CB0587">
      <w:pPr>
        <w:spacing w:afterLines="120" w:after="288" w:line="360" w:lineRule="auto"/>
        <w:ind w:firstLine="567"/>
        <w:jc w:val="center"/>
        <w:rPr>
          <w:rFonts w:ascii="Arial" w:hAnsi="Arial" w:cs="Arial"/>
          <w:sz w:val="20"/>
          <w:szCs w:val="20"/>
        </w:rPr>
      </w:pPr>
      <w:r w:rsidRPr="00FF7B51">
        <w:rPr>
          <w:rFonts w:ascii="Arial" w:hAnsi="Arial" w:cs="Arial"/>
          <w:sz w:val="20"/>
          <w:szCs w:val="20"/>
        </w:rPr>
        <w:t>_________________________</w:t>
      </w:r>
    </w:p>
    <w:p w14:paraId="6FEAC95C" w14:textId="77777777" w:rsidR="00DC41DD" w:rsidRPr="00FF7B51" w:rsidRDefault="00DC41DD" w:rsidP="00CB0587">
      <w:pPr>
        <w:spacing w:afterLines="120" w:after="288" w:line="360" w:lineRule="auto"/>
        <w:ind w:firstLine="567"/>
        <w:jc w:val="center"/>
        <w:rPr>
          <w:rFonts w:ascii="Arial" w:hAnsi="Arial" w:cs="Arial"/>
          <w:sz w:val="20"/>
          <w:szCs w:val="20"/>
        </w:rPr>
      </w:pPr>
      <w:r w:rsidRPr="00FF7B51">
        <w:rPr>
          <w:rFonts w:ascii="Arial" w:hAnsi="Arial" w:cs="Arial"/>
          <w:bCs/>
          <w:sz w:val="20"/>
          <w:szCs w:val="20"/>
        </w:rPr>
        <w:t>Representante</w:t>
      </w:r>
      <w:r w:rsidRPr="00FF7B51">
        <w:rPr>
          <w:rFonts w:ascii="Arial" w:hAnsi="Arial" w:cs="Arial"/>
          <w:sz w:val="20"/>
          <w:szCs w:val="20"/>
        </w:rPr>
        <w:t xml:space="preserve"> legal do CONTRATADO</w:t>
      </w:r>
    </w:p>
    <w:p w14:paraId="1D3BC2B7" w14:textId="6AC13682" w:rsidR="00DC41DD" w:rsidRPr="00FF7B51" w:rsidRDefault="00DC41DD" w:rsidP="00CB0587">
      <w:pPr>
        <w:spacing w:afterLines="120" w:after="288" w:line="360" w:lineRule="auto"/>
        <w:ind w:firstLine="567"/>
        <w:jc w:val="both"/>
        <w:rPr>
          <w:rFonts w:ascii="Arial" w:hAnsi="Arial" w:cs="Arial"/>
          <w:sz w:val="20"/>
          <w:szCs w:val="20"/>
        </w:rPr>
      </w:pPr>
      <w:r w:rsidRPr="00FF7B51">
        <w:rPr>
          <w:rFonts w:ascii="Arial" w:hAnsi="Arial" w:cs="Arial"/>
          <w:sz w:val="20"/>
          <w:szCs w:val="20"/>
        </w:rPr>
        <w:t>TESTEMUNHAS:</w:t>
      </w:r>
    </w:p>
    <w:p w14:paraId="18A9965D" w14:textId="77777777" w:rsidR="00DC41DD" w:rsidRPr="00FF7B51" w:rsidRDefault="00DC41DD" w:rsidP="00CB0587">
      <w:pPr>
        <w:spacing w:afterLines="120" w:after="288" w:line="360" w:lineRule="auto"/>
        <w:ind w:firstLine="567"/>
        <w:rPr>
          <w:rFonts w:ascii="Arial" w:hAnsi="Arial" w:cs="Arial"/>
          <w:sz w:val="20"/>
          <w:szCs w:val="20"/>
        </w:rPr>
      </w:pPr>
      <w:r w:rsidRPr="00FF7B51">
        <w:rPr>
          <w:rFonts w:ascii="Arial" w:hAnsi="Arial" w:cs="Arial"/>
          <w:sz w:val="20"/>
          <w:szCs w:val="20"/>
        </w:rPr>
        <w:t>1-</w:t>
      </w:r>
    </w:p>
    <w:p w14:paraId="633F747C" w14:textId="39F3A2FD" w:rsidR="00DC41DD" w:rsidRPr="00FF7B51" w:rsidRDefault="00DC41DD" w:rsidP="00CB0587">
      <w:pPr>
        <w:spacing w:afterLines="120" w:after="288" w:line="360" w:lineRule="auto"/>
        <w:ind w:firstLine="567"/>
        <w:rPr>
          <w:rFonts w:ascii="Arial" w:hAnsi="Arial" w:cs="Arial"/>
          <w:sz w:val="20"/>
          <w:szCs w:val="20"/>
        </w:rPr>
      </w:pPr>
      <w:r w:rsidRPr="00FF7B51">
        <w:rPr>
          <w:rFonts w:ascii="Arial" w:hAnsi="Arial" w:cs="Arial"/>
          <w:sz w:val="20"/>
          <w:szCs w:val="20"/>
        </w:rPr>
        <w:t xml:space="preserve">2- </w:t>
      </w:r>
    </w:p>
    <w:sectPr w:rsidR="00DC41DD" w:rsidRPr="00FF7B51" w:rsidSect="00B104E0">
      <w:headerReference w:type="default" r:id="rId59"/>
      <w:footerReference w:type="default" r:id="rId60"/>
      <w:pgSz w:w="11906" w:h="16838" w:code="9"/>
      <w:pgMar w:top="1843"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BAB1F" w14:textId="77777777" w:rsidR="00B104E0" w:rsidRDefault="00B104E0">
      <w:r>
        <w:separator/>
      </w:r>
    </w:p>
  </w:endnote>
  <w:endnote w:type="continuationSeparator" w:id="0">
    <w:p w14:paraId="1D0ACB46" w14:textId="77777777" w:rsidR="00B104E0" w:rsidRDefault="00B104E0">
      <w:r>
        <w:continuationSeparator/>
      </w:r>
    </w:p>
  </w:endnote>
  <w:endnote w:type="continuationNotice" w:id="1">
    <w:p w14:paraId="1F05DE18" w14:textId="77777777" w:rsidR="00B104E0" w:rsidRDefault="00B104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43FF3526" w:rsidR="002F2F20" w:rsidRPr="007B5385" w:rsidRDefault="002F2F2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1188EC82" w:rsidR="002F2F20" w:rsidRPr="00821C09" w:rsidRDefault="002F2F2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391312">
          <w:rPr>
            <w:rFonts w:ascii="Arial" w:hAnsi="Arial" w:cs="Arial"/>
            <w:noProof/>
            <w:color w:val="595959" w:themeColor="text1" w:themeTint="A6"/>
            <w:sz w:val="18"/>
            <w:szCs w:val="18"/>
          </w:rPr>
          <w:t>14</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391312">
          <w:rPr>
            <w:rFonts w:ascii="Arial" w:hAnsi="Arial" w:cs="Arial"/>
            <w:noProof/>
            <w:color w:val="595959" w:themeColor="text1" w:themeTint="A6"/>
            <w:sz w:val="18"/>
            <w:szCs w:val="18"/>
          </w:rPr>
          <w:t>16</w:t>
        </w:r>
        <w:r w:rsidRPr="00821C09">
          <w:rPr>
            <w:rFonts w:ascii="Arial" w:hAnsi="Arial" w:cs="Arial"/>
            <w:color w:val="595959" w:themeColor="text1" w:themeTint="A6"/>
            <w:sz w:val="18"/>
            <w:szCs w:val="18"/>
          </w:rPr>
          <w:fldChar w:fldCharType="end"/>
        </w:r>
      </w:p>
      <w:p w14:paraId="239342FA" w14:textId="104148A5" w:rsidR="002F2F20" w:rsidRPr="00821C09" w:rsidRDefault="004D3BCD" w:rsidP="00EF4A41">
        <w:pPr>
          <w:pStyle w:val="Rodap"/>
          <w:rPr>
            <w:rFonts w:ascii="Arial" w:hAnsi="Arial" w:cs="Arial"/>
            <w:sz w:val="14"/>
            <w:szCs w:val="14"/>
          </w:rPr>
        </w:pPr>
      </w:p>
    </w:sdtContent>
  </w:sdt>
  <w:p w14:paraId="7E6308F2" w14:textId="73E1414E" w:rsidR="002F2F20" w:rsidRPr="00842420" w:rsidRDefault="002F2F20"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252117" w14:textId="77777777" w:rsidR="00B104E0" w:rsidRDefault="00B104E0">
      <w:r>
        <w:separator/>
      </w:r>
    </w:p>
  </w:footnote>
  <w:footnote w:type="continuationSeparator" w:id="0">
    <w:p w14:paraId="650E7464" w14:textId="77777777" w:rsidR="00B104E0" w:rsidRDefault="00B104E0">
      <w:r>
        <w:continuationSeparator/>
      </w:r>
    </w:p>
  </w:footnote>
  <w:footnote w:type="continuationNotice" w:id="1">
    <w:p w14:paraId="2716481B" w14:textId="77777777" w:rsidR="00B104E0" w:rsidRDefault="00B104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CB9AA" w14:textId="77777777" w:rsidR="005F6B24" w:rsidRDefault="005F6B24" w:rsidP="005F6B24">
    <w:pPr>
      <w:keepNext/>
      <w:widowControl w:val="0"/>
      <w:jc w:val="center"/>
      <w:outlineLvl w:val="2"/>
      <w:rPr>
        <w:rFonts w:ascii="Monotype Corsiva" w:hAnsi="Monotype Corsiva"/>
        <w:sz w:val="36"/>
      </w:rPr>
    </w:pPr>
    <w:r>
      <w:rPr>
        <w:noProof/>
      </w:rPr>
      <w:drawing>
        <wp:anchor distT="0" distB="0" distL="114300" distR="114300" simplePos="0" relativeHeight="251659264" behindDoc="0" locked="0" layoutInCell="1" allowOverlap="1" wp14:anchorId="16E4B2C9" wp14:editId="5EAB8B08">
          <wp:simplePos x="0" y="0"/>
          <wp:positionH relativeFrom="column">
            <wp:posOffset>-32385</wp:posOffset>
          </wp:positionH>
          <wp:positionV relativeFrom="paragraph">
            <wp:posOffset>-97155</wp:posOffset>
          </wp:positionV>
          <wp:extent cx="598805" cy="695325"/>
          <wp:effectExtent l="0" t="0" r="0" b="9525"/>
          <wp:wrapSquare wrapText="bothSides"/>
          <wp:docPr id="851675989" name="Imagem 2" descr="Descrição: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6953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6018CB7" wp14:editId="34804E61">
          <wp:simplePos x="0" y="0"/>
          <wp:positionH relativeFrom="column">
            <wp:posOffset>5224145</wp:posOffset>
          </wp:positionH>
          <wp:positionV relativeFrom="paragraph">
            <wp:posOffset>-76200</wp:posOffset>
          </wp:positionV>
          <wp:extent cx="581025" cy="673100"/>
          <wp:effectExtent l="0" t="0" r="9525" b="0"/>
          <wp:wrapSquare wrapText="bothSides"/>
          <wp:docPr id="510908976" name="Imagem 1" descr="Descrição: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escrição: 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673100"/>
                  </a:xfrm>
                  <a:prstGeom prst="rect">
                    <a:avLst/>
                  </a:prstGeom>
                  <a:noFill/>
                </pic:spPr>
              </pic:pic>
            </a:graphicData>
          </a:graphic>
          <wp14:sizeRelH relativeFrom="page">
            <wp14:pctWidth>0</wp14:pctWidth>
          </wp14:sizeRelH>
          <wp14:sizeRelV relativeFrom="page">
            <wp14:pctHeight>0</wp14:pctHeight>
          </wp14:sizeRelV>
        </wp:anchor>
      </w:drawing>
    </w:r>
    <w:r>
      <w:rPr>
        <w:rFonts w:ascii="Monotype Corsiva" w:hAnsi="Monotype Corsiva"/>
        <w:sz w:val="36"/>
      </w:rPr>
      <w:t>Estado De Santa Catarina</w:t>
    </w:r>
  </w:p>
  <w:p w14:paraId="14DBA4D9" w14:textId="77777777" w:rsidR="005F6B24" w:rsidRDefault="005F6B24" w:rsidP="005F6B24">
    <w:pPr>
      <w:pStyle w:val="Cabealho"/>
      <w:pBdr>
        <w:bottom w:val="single" w:sz="12" w:space="1" w:color="auto"/>
      </w:pBdr>
      <w:jc w:val="center"/>
      <w:rPr>
        <w:rFonts w:ascii="Monotype Corsiva" w:hAnsi="Monotype Corsiva"/>
        <w:sz w:val="40"/>
      </w:rPr>
    </w:pPr>
    <w:r>
      <w:rPr>
        <w:rFonts w:ascii="Monotype Corsiva" w:hAnsi="Monotype Corsiva"/>
        <w:sz w:val="40"/>
      </w:rPr>
      <w:t>Município De Vargem Bonita</w:t>
    </w:r>
  </w:p>
  <w:p w14:paraId="2CCE8DAC" w14:textId="77777777" w:rsidR="005F6B24" w:rsidRDefault="005F6B2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5"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E5D79D9"/>
    <w:multiLevelType w:val="multilevel"/>
    <w:tmpl w:val="9C8C41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06026504">
    <w:abstractNumId w:val="6"/>
  </w:num>
  <w:num w:numId="2" w16cid:durableId="1990985445">
    <w:abstractNumId w:val="0"/>
  </w:num>
  <w:num w:numId="3" w16cid:durableId="1125544186">
    <w:abstractNumId w:val="20"/>
  </w:num>
  <w:num w:numId="4" w16cid:durableId="300767402">
    <w:abstractNumId w:val="21"/>
  </w:num>
  <w:num w:numId="5" w16cid:durableId="1777289360">
    <w:abstractNumId w:val="12"/>
  </w:num>
  <w:num w:numId="6" w16cid:durableId="2049067172">
    <w:abstractNumId w:val="9"/>
  </w:num>
  <w:num w:numId="7" w16cid:durableId="1862477675">
    <w:abstractNumId w:val="16"/>
  </w:num>
  <w:num w:numId="8" w16cid:durableId="696542643">
    <w:abstractNumId w:val="18"/>
  </w:num>
  <w:num w:numId="9" w16cid:durableId="2085954890">
    <w:abstractNumId w:val="6"/>
    <w:lvlOverride w:ilvl="0"/>
    <w:lvlOverride w:ilvl="1">
      <w:startOverride w:val="2"/>
    </w:lvlOverride>
    <w:lvlOverride w:ilvl="2"/>
    <w:lvlOverride w:ilvl="3"/>
    <w:lvlOverride w:ilvl="4"/>
    <w:lvlOverride w:ilvl="5"/>
    <w:lvlOverride w:ilvl="6"/>
    <w:lvlOverride w:ilvl="7"/>
    <w:lvlOverride w:ilvl="8"/>
  </w:num>
  <w:num w:numId="10" w16cid:durableId="1884170947">
    <w:abstractNumId w:val="6"/>
    <w:lvlOverride w:ilvl="0"/>
    <w:lvlOverride w:ilvl="1">
      <w:startOverride w:val="2"/>
    </w:lvlOverride>
    <w:lvlOverride w:ilvl="2"/>
    <w:lvlOverride w:ilvl="3"/>
    <w:lvlOverride w:ilvl="4"/>
    <w:lvlOverride w:ilvl="5"/>
    <w:lvlOverride w:ilvl="6"/>
    <w:lvlOverride w:ilvl="7"/>
    <w:lvlOverride w:ilvl="8"/>
  </w:num>
  <w:num w:numId="11" w16cid:durableId="1379161116">
    <w:abstractNumId w:val="6"/>
    <w:lvlOverride w:ilvl="0"/>
    <w:lvlOverride w:ilvl="1">
      <w:startOverride w:val="2"/>
    </w:lvlOverride>
    <w:lvlOverride w:ilvl="2"/>
    <w:lvlOverride w:ilvl="3"/>
    <w:lvlOverride w:ilvl="4"/>
    <w:lvlOverride w:ilvl="5"/>
    <w:lvlOverride w:ilvl="6"/>
    <w:lvlOverride w:ilvl="7"/>
    <w:lvlOverride w:ilvl="8"/>
  </w:num>
  <w:num w:numId="12" w16cid:durableId="1443263973">
    <w:abstractNumId w:val="11"/>
  </w:num>
  <w:num w:numId="13" w16cid:durableId="1154100253">
    <w:abstractNumId w:val="8"/>
  </w:num>
  <w:num w:numId="14" w16cid:durableId="119496979">
    <w:abstractNumId w:val="5"/>
  </w:num>
  <w:num w:numId="15" w16cid:durableId="16140979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7712619">
    <w:abstractNumId w:val="1"/>
  </w:num>
  <w:num w:numId="17" w16cid:durableId="211963729">
    <w:abstractNumId w:val="2"/>
  </w:num>
  <w:num w:numId="18" w16cid:durableId="1419790893">
    <w:abstractNumId w:val="3"/>
  </w:num>
  <w:num w:numId="19" w16cid:durableId="16591064">
    <w:abstractNumId w:val="23"/>
  </w:num>
  <w:num w:numId="20" w16cid:durableId="1657689004">
    <w:abstractNumId w:val="23"/>
  </w:num>
  <w:num w:numId="21" w16cid:durableId="564221337">
    <w:abstractNumId w:val="17"/>
  </w:num>
  <w:num w:numId="22" w16cid:durableId="487943659">
    <w:abstractNumId w:val="17"/>
  </w:num>
  <w:num w:numId="23" w16cid:durableId="10039004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0616946">
    <w:abstractNumId w:val="15"/>
  </w:num>
  <w:num w:numId="25" w16cid:durableId="342174254">
    <w:abstractNumId w:val="13"/>
  </w:num>
  <w:num w:numId="26" w16cid:durableId="1811091326">
    <w:abstractNumId w:val="14"/>
  </w:num>
  <w:num w:numId="27" w16cid:durableId="2130196075">
    <w:abstractNumId w:val="19"/>
  </w:num>
  <w:num w:numId="28" w16cid:durableId="1626738587">
    <w:abstractNumId w:val="6"/>
  </w:num>
  <w:num w:numId="29" w16cid:durableId="1358921456">
    <w:abstractNumId w:val="6"/>
  </w:num>
  <w:num w:numId="30" w16cid:durableId="1839540183">
    <w:abstractNumId w:val="6"/>
  </w:num>
  <w:num w:numId="31" w16cid:durableId="725492053">
    <w:abstractNumId w:val="6"/>
  </w:num>
  <w:num w:numId="32" w16cid:durableId="886330868">
    <w:abstractNumId w:val="4"/>
  </w:num>
  <w:num w:numId="33" w16cid:durableId="933705702">
    <w:abstractNumId w:val="6"/>
  </w:num>
  <w:num w:numId="34" w16cid:durableId="12633013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91449595">
    <w:abstractNumId w:val="7"/>
  </w:num>
  <w:num w:numId="36" w16cid:durableId="3657140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21255655">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AE6"/>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3FF"/>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76"/>
    <w:rsid w:val="00216492"/>
    <w:rsid w:val="00216690"/>
    <w:rsid w:val="0021698A"/>
    <w:rsid w:val="00216AA5"/>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5DF"/>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CF2"/>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64B"/>
    <w:rsid w:val="002B50AB"/>
    <w:rsid w:val="002B5E72"/>
    <w:rsid w:val="002B60CC"/>
    <w:rsid w:val="002B7727"/>
    <w:rsid w:val="002B7EB0"/>
    <w:rsid w:val="002C006A"/>
    <w:rsid w:val="002C1258"/>
    <w:rsid w:val="002C17A8"/>
    <w:rsid w:val="002C2C44"/>
    <w:rsid w:val="002C4E86"/>
    <w:rsid w:val="002C54C1"/>
    <w:rsid w:val="002C5E97"/>
    <w:rsid w:val="002C608F"/>
    <w:rsid w:val="002C6278"/>
    <w:rsid w:val="002C661C"/>
    <w:rsid w:val="002C6793"/>
    <w:rsid w:val="002C6ABC"/>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67A"/>
    <w:rsid w:val="003109E1"/>
    <w:rsid w:val="00310B4A"/>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2847"/>
    <w:rsid w:val="003629E4"/>
    <w:rsid w:val="00362E67"/>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0AA"/>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3BCD"/>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C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B24"/>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475"/>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470"/>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579"/>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71C"/>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09"/>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4F1"/>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94"/>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5252"/>
    <w:rsid w:val="009E5B74"/>
    <w:rsid w:val="009E644A"/>
    <w:rsid w:val="009E6E9A"/>
    <w:rsid w:val="009E743C"/>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6CEB"/>
    <w:rsid w:val="00A374EB"/>
    <w:rsid w:val="00A3768F"/>
    <w:rsid w:val="00A40131"/>
    <w:rsid w:val="00A402A1"/>
    <w:rsid w:val="00A41D8A"/>
    <w:rsid w:val="00A4274E"/>
    <w:rsid w:val="00A4355A"/>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0E05"/>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6B3"/>
    <w:rsid w:val="00AB1EFA"/>
    <w:rsid w:val="00AB1F1A"/>
    <w:rsid w:val="00AB237C"/>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4E0"/>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87305"/>
    <w:rsid w:val="00C87F98"/>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0587"/>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DAB"/>
    <w:rsid w:val="00DB5F2D"/>
    <w:rsid w:val="00DB64F4"/>
    <w:rsid w:val="00DB77A1"/>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610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0AC4"/>
    <w:rsid w:val="00E11290"/>
    <w:rsid w:val="00E113B7"/>
    <w:rsid w:val="00E114C5"/>
    <w:rsid w:val="00E12316"/>
    <w:rsid w:val="00E1277F"/>
    <w:rsid w:val="00E12E73"/>
    <w:rsid w:val="00E132BF"/>
    <w:rsid w:val="00E139D5"/>
    <w:rsid w:val="00E14042"/>
    <w:rsid w:val="00E14CA5"/>
    <w:rsid w:val="00E15202"/>
    <w:rsid w:val="00E152DF"/>
    <w:rsid w:val="00E15505"/>
    <w:rsid w:val="00E15611"/>
    <w:rsid w:val="00E162B5"/>
    <w:rsid w:val="00E17141"/>
    <w:rsid w:val="00E17889"/>
    <w:rsid w:val="00E17D3D"/>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CE2"/>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29F"/>
    <w:rsid w:val="00F83362"/>
    <w:rsid w:val="00F84101"/>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0516"/>
    <w:rsid w:val="00FF1B0B"/>
    <w:rsid w:val="00FF1FBA"/>
    <w:rsid w:val="00FF23E0"/>
    <w:rsid w:val="00FF2773"/>
    <w:rsid w:val="00FF2B42"/>
    <w:rsid w:val="00FF322C"/>
    <w:rsid w:val="00FF3EF8"/>
    <w:rsid w:val="00FF454E"/>
    <w:rsid w:val="00FF507F"/>
    <w:rsid w:val="00FF5D4D"/>
    <w:rsid w:val="00FF634E"/>
    <w:rsid w:val="00FF649E"/>
    <w:rsid w:val="00FF6FE3"/>
    <w:rsid w:val="00FF7B51"/>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Alpha"/>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216690"/>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1669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Alph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216690"/>
    <w:pPr>
      <w:ind w:left="851"/>
    </w:pPr>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numPr>
        <w:numId w:val="0"/>
      </w:numPr>
      <w:outlineLvl w:val="1"/>
    </w:pPr>
    <w:rPr>
      <w:color w:val="FF0000"/>
    </w:rPr>
  </w:style>
  <w:style w:type="character" w:customStyle="1" w:styleId="Nvel4-RChar">
    <w:name w:val="Nível 4-R Char"/>
    <w:basedOn w:val="Nivel4Char"/>
    <w:link w:val="Nvel4-R"/>
    <w:rsid w:val="00216690"/>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table" w:customStyle="1" w:styleId="TableNormal">
    <w:name w:val="Table Normal"/>
    <w:uiPriority w:val="2"/>
    <w:semiHidden/>
    <w:unhideWhenUsed/>
    <w:qFormat/>
    <w:rsid w:val="002865DF"/>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65DF"/>
    <w:pPr>
      <w:widowControl w:val="0"/>
      <w:autoSpaceDE w:val="0"/>
      <w:autoSpaceDN w:val="0"/>
    </w:pPr>
    <w:rPr>
      <w:rFonts w:ascii="Calibri" w:eastAsia="Calibri" w:hAnsi="Calibri" w:cs="Calibri"/>
      <w:sz w:val="22"/>
      <w:szCs w:val="22"/>
      <w:lang w:val="pt-PT" w:eastAsia="en-US"/>
    </w:rPr>
  </w:style>
  <w:style w:type="character" w:customStyle="1" w:styleId="fontstyle01">
    <w:name w:val="fontstyle01"/>
    <w:basedOn w:val="Fontepargpadro"/>
    <w:rsid w:val="00A36CEB"/>
    <w:rPr>
      <w:rFonts w:ascii="TimesNewRomanPSMT" w:hAnsi="TimesNewRomanPSMT" w:hint="default"/>
      <w:b w:val="0"/>
      <w:bCs w:val="0"/>
      <w:i w:val="0"/>
      <w:iCs w:val="0"/>
      <w:color w:val="000000"/>
      <w:sz w:val="24"/>
      <w:szCs w:val="24"/>
    </w:rPr>
  </w:style>
  <w:style w:type="paragraph" w:customStyle="1" w:styleId="TableContents">
    <w:name w:val="Table Contents"/>
    <w:basedOn w:val="Normal"/>
    <w:rsid w:val="00FF7B51"/>
    <w:pPr>
      <w:widowControl w:val="0"/>
      <w:suppressLineNumbers/>
      <w:suppressAutoHyphens/>
      <w:autoSpaceDN w:val="0"/>
      <w:textAlignment w:val="baseline"/>
    </w:pPr>
    <w:rPr>
      <w:rFonts w:ascii="Liberation Serif" w:eastAsia="NSimSun" w:hAnsi="Liberation Serif" w:cs="Lucida Sans"/>
      <w:kern w:val="3"/>
      <w:lang w:eastAsia="zh-CN" w:bidi="hi-IN"/>
    </w:rPr>
  </w:style>
  <w:style w:type="character" w:customStyle="1" w:styleId="cav--c-gnpphv">
    <w:name w:val="cav--c-gnpphv"/>
    <w:basedOn w:val="Fontepargpadro"/>
    <w:rsid w:val="004D3B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planalto.gov.br/ccivil_03/leis/l8078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26-de-13-de-abril-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8" Type="http://schemas.openxmlformats.org/officeDocument/2006/relationships/webSettings" Target="webSettings.xml"/><Relationship Id="rId5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A6281F-F501-4A26-942D-3F29B17D0A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7E682F-C583-4FEF-BD6F-9FCB50021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3C395A-1379-4711-86F5-83F12FA430D1}">
  <ds:schemaRefs>
    <ds:schemaRef ds:uri="http://schemas.openxmlformats.org/officeDocument/2006/bibliography"/>
  </ds:schemaRefs>
</ds:datastoreItem>
</file>

<file path=customXml/itemProps4.xml><?xml version="1.0" encoding="utf-8"?>
<ds:datastoreItem xmlns:ds="http://schemas.openxmlformats.org/officeDocument/2006/customXml" ds:itemID="{562A9DA6-E237-46B8-B3B7-2A1DBC99D4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5181</Words>
  <Characters>27983</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2024-01-15T15:06:00Z</dcterms:created>
  <dcterms:modified xsi:type="dcterms:W3CDTF">2024-06-04T18:04:00Z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