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D1D70" w14:textId="77777777" w:rsidR="00A01577" w:rsidRPr="0034064D" w:rsidRDefault="00A01577" w:rsidP="00A01577">
      <w:pPr>
        <w:spacing w:after="0" w:line="360" w:lineRule="auto"/>
        <w:rPr>
          <w:rFonts w:ascii="Times New Roman" w:hAnsi="Times New Roman" w:cs="Times New Roman"/>
          <w:b/>
          <w:bCs/>
          <w:sz w:val="24"/>
          <w:szCs w:val="24"/>
        </w:rPr>
      </w:pPr>
      <w:r>
        <w:br/>
      </w:r>
      <w:r w:rsidRPr="0034064D">
        <w:rPr>
          <w:rFonts w:ascii="Times New Roman" w:hAnsi="Times New Roman" w:cs="Times New Roman"/>
          <w:b/>
          <w:bCs/>
          <w:sz w:val="24"/>
          <w:szCs w:val="24"/>
        </w:rPr>
        <w:t>MINUTA DE RESPOSTA AO PEDIDO DE ESCLARECIMENTOS</w:t>
      </w:r>
    </w:p>
    <w:p w14:paraId="0E6F1EA4" w14:textId="77777777" w:rsidR="00A01577" w:rsidRPr="0034064D" w:rsidRDefault="00A01577" w:rsidP="00A01577">
      <w:pPr>
        <w:spacing w:after="0" w:line="360" w:lineRule="auto"/>
        <w:rPr>
          <w:rFonts w:ascii="Times New Roman" w:hAnsi="Times New Roman" w:cs="Times New Roman"/>
          <w:b/>
          <w:bCs/>
          <w:sz w:val="24"/>
          <w:szCs w:val="24"/>
        </w:rPr>
      </w:pPr>
      <w:r w:rsidRPr="0034064D">
        <w:rPr>
          <w:rFonts w:ascii="Times New Roman" w:hAnsi="Times New Roman" w:cs="Times New Roman"/>
          <w:b/>
          <w:bCs/>
          <w:sz w:val="24"/>
          <w:szCs w:val="24"/>
        </w:rPr>
        <w:t>MUNICÍPIO DE VARGEM BONITA – SC</w:t>
      </w:r>
      <w:r w:rsidRPr="0034064D">
        <w:rPr>
          <w:rFonts w:ascii="Times New Roman" w:hAnsi="Times New Roman" w:cs="Times New Roman"/>
          <w:b/>
          <w:bCs/>
          <w:sz w:val="24"/>
          <w:szCs w:val="24"/>
        </w:rPr>
        <w:br/>
        <w:t>PROCESSO ADMINISTRATIVO Nº 143/2026</w:t>
      </w:r>
      <w:r w:rsidRPr="0034064D">
        <w:rPr>
          <w:rFonts w:ascii="Times New Roman" w:hAnsi="Times New Roman" w:cs="Times New Roman"/>
          <w:b/>
          <w:bCs/>
          <w:sz w:val="24"/>
          <w:szCs w:val="24"/>
        </w:rPr>
        <w:br/>
        <w:t>PREGÃO ELETRÔNICO Nº 060/2026</w:t>
      </w:r>
    </w:p>
    <w:p w14:paraId="57F741F5" w14:textId="0A22986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sz w:val="24"/>
          <w:szCs w:val="24"/>
        </w:rPr>
        <w:t xml:space="preserve">Assunto: </w:t>
      </w:r>
      <w:r w:rsidRPr="0034064D">
        <w:rPr>
          <w:rFonts w:ascii="Times New Roman" w:hAnsi="Times New Roman" w:cs="Times New Roman"/>
          <w:b/>
          <w:bCs/>
          <w:sz w:val="24"/>
          <w:szCs w:val="24"/>
        </w:rPr>
        <w:t xml:space="preserve">Resposta ao pedido de esclarecimentos </w:t>
      </w:r>
      <w:r w:rsidR="00F31941">
        <w:rPr>
          <w:rFonts w:ascii="Times New Roman" w:hAnsi="Times New Roman" w:cs="Times New Roman"/>
          <w:b/>
          <w:bCs/>
          <w:sz w:val="24"/>
          <w:szCs w:val="24"/>
        </w:rPr>
        <w:t xml:space="preserve">- </w:t>
      </w:r>
      <w:r w:rsidRPr="0034064D">
        <w:rPr>
          <w:rFonts w:ascii="Times New Roman" w:hAnsi="Times New Roman" w:cs="Times New Roman"/>
          <w:b/>
          <w:bCs/>
          <w:sz w:val="24"/>
          <w:szCs w:val="24"/>
        </w:rPr>
        <w:t>Locação de grupo gerador de 150 kVA para o Festival Municipal de Música “Vargem Bonita Em Canto”.</w:t>
      </w:r>
    </w:p>
    <w:p w14:paraId="43AA3FAD"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Em atenção ao pedido de esclarecimentos apresentado por empresa interessada em participar do Pregão Eletrônico nº 060/2026, cujo objeto consiste na contratação de empresa especializada para prestação de serviços de locação de 01 (um) grupo gerador de energia elétrica com potência de 150 kVA, destinado ao Festival Municipal de Música “Vargem Bonita Em Canto”, a ser realizado nos dias 13 e 14 de novembro de 2026, no Centro de Eventos Jacson Rafael Casara, apresentamos os esclarecimentos individualizados:</w:t>
      </w:r>
    </w:p>
    <w:p w14:paraId="7559AA5C"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1. Horário de utilização</w:t>
      </w:r>
    </w:p>
    <w:p w14:paraId="0BE97573"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Conforme previsto no Edital e no Termo de Referência, a contratação contempla 02 (duas) diárias, com previsão de utilização de até 10 (dez) horas por diária, nos dias 13 e 14 de novembro de 2026.</w:t>
      </w:r>
    </w:p>
    <w:p w14:paraId="164B7128"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Os horários específicos de início e término da utilização não estão expressamente definidos no instrumento convocatório, devendo ser estabelecidos pela Administração Municipal, de acordo com a programação do evento, e previamente comunicados à empresa contratada.</w:t>
      </w:r>
    </w:p>
    <w:p w14:paraId="6740BDBB"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2. Prazo para instalação</w:t>
      </w:r>
    </w:p>
    <w:p w14:paraId="39BBA399"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Conforme item 5.3 do Termo de Referência e item 3.4 da minuta contratual, o grupo gerador deverá estar devidamente transportado, instalado, abastecido e testado antes do início da programação do evento, em horário previamente definido pela Administração Municipal.</w:t>
      </w:r>
    </w:p>
    <w:p w14:paraId="6E7FF74D"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A contratada deverá realizar todos os procedimentos necessários em tempo hábil, assegurando que o equipamento esteja em condições adequadas de funcionamento e segurança.</w:t>
      </w:r>
    </w:p>
    <w:p w14:paraId="3E3F3331"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3. Forma de utilização</w:t>
      </w:r>
    </w:p>
    <w:p w14:paraId="199BC023"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lastRenderedPageBreak/>
        <w:t>Resposta:</w:t>
      </w:r>
      <w:r w:rsidRPr="0034064D">
        <w:rPr>
          <w:rFonts w:ascii="Times New Roman" w:hAnsi="Times New Roman" w:cs="Times New Roman"/>
          <w:sz w:val="24"/>
          <w:szCs w:val="24"/>
        </w:rPr>
        <w:t xml:space="preserve"> O Termo de Referência estabelece que o grupo gerador deverá permanecer disponível durante o período contratado, em condições de ser acionado sempre que necessário, a fim de assegurar o fornecimento de energia elétrica às estruturas do evento.</w:t>
      </w:r>
    </w:p>
    <w:p w14:paraId="0726B052"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O instrumento convocatório não define expressamente se o equipamento será utilizado como fonte principal de energia ou como sistema de contingência da rede elétrica.</w:t>
      </w:r>
    </w:p>
    <w:p w14:paraId="7246F6B4"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Essa condição deverá ser esclarecida pelo setor responsável pela infraestrutura do evento, observadas as necessidades de sonorização, iluminação e demais instalações.</w:t>
      </w:r>
    </w:p>
    <w:p w14:paraId="27734B15"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4. Tensão elétrica</w:t>
      </w:r>
    </w:p>
    <w:p w14:paraId="0D14297E"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O edital estabelece a potência do grupo gerador em 150 kVA, porém não especifica a tensão de saída necessária para atendimento às estruturas do evento.</w:t>
      </w:r>
    </w:p>
    <w:p w14:paraId="5988777A"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A definição da tensão deverá considerar as características dos equipamentos de sonorização, iluminação e demais instalações elétricas, mediante alinhamento com os responsáveis técnicos pela infraestrutura do festival.</w:t>
      </w:r>
    </w:p>
    <w:p w14:paraId="635C5FB4"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5. Carga prevista</w:t>
      </w:r>
    </w:p>
    <w:p w14:paraId="69D07B2B"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O instrumento convocatório prevê a disponibilização de grupo gerador com potência de 150 kVA, dimensionado para atender às necessidades do evento.</w:t>
      </w:r>
    </w:p>
    <w:p w14:paraId="7E120758"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Entretanto, não apresenta levantamento individualizado das cargas elétricas nem a estimativa da demanda simultânea dos equipamentos.</w:t>
      </w:r>
    </w:p>
    <w:p w14:paraId="14B0BC4C"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Conforme previsto no Estudo Técnico Preliminar, deverá haver alinhamento prévio entre a contratada e os responsáveis técnicos pela sonorização, iluminação e demais instalações, a fim de garantir a compatibilidade do equipamento com as necessidades do evento.</w:t>
      </w:r>
    </w:p>
    <w:p w14:paraId="5B3476DD"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6. Cabos e distância</w:t>
      </w:r>
    </w:p>
    <w:p w14:paraId="06C0F287"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O local de prestação dos serviços será o Centro de Eventos Jacson Rafael Casara, no Município de Vargem Bonita/SC.</w:t>
      </w:r>
    </w:p>
    <w:p w14:paraId="3324CA49"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O edital não estabelece a distância exata entre o ponto de instalação do gerador e os pontos de conexão das estruturas.</w:t>
      </w:r>
    </w:p>
    <w:p w14:paraId="25711090"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A localização do equipamento e os pontos de conexão deverão ser definidos de acordo com a organização e as condições técnicas do espaço, respeitadas as normas de segurança aplicáveis.</w:t>
      </w:r>
    </w:p>
    <w:p w14:paraId="7D952712"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lastRenderedPageBreak/>
        <w:t>7. Equipamentos e acessórios</w:t>
      </w:r>
    </w:p>
    <w:p w14:paraId="5E08D7AC"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Conforme item 8.4.4 do Termo de Referência, caberá à contratada disponibilizar os equipamentos, acessórios e profissionais necessários à adequada execução dos serviços, observadas as normas técnicas e de segurança aplicáveis.</w:t>
      </w:r>
    </w:p>
    <w:p w14:paraId="1446BE53"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A contratação compreende transporte, instalação, testes de funcionamento, fornecimento de combustível, operação e posterior retirada do grupo gerador.</w:t>
      </w:r>
    </w:p>
    <w:p w14:paraId="79002BA6"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O edital não apresenta relação individualizada de acessórios adicionais. Assim, os componentes necessários à execução deverão ser compatíveis com as condições técnicas da instalação, sem prejuízo das obrigações expressamente previstas no instrumento convocatório.</w:t>
      </w:r>
    </w:p>
    <w:p w14:paraId="169773AC"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8. Potência superior</w:t>
      </w:r>
    </w:p>
    <w:p w14:paraId="4B3D4468"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O objeto licitado estabelece expressamente o fornecimento de grupo gerador com potência de 150 kVA.</w:t>
      </w:r>
    </w:p>
    <w:p w14:paraId="08762918"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O edital não prevê expressamente a possibilidade de utilização de equipamento com potência superior.</w:t>
      </w:r>
    </w:p>
    <w:p w14:paraId="381332FE"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Eventual aceitação deverá ser objeto de manifestação técnica da Administração, considerando a compatibilidade com o objeto, as condições operacionais e de segurança, a inexistência de custos adicionais e a preservação da igualdade de condições entre os licitantes.</w:t>
      </w:r>
    </w:p>
    <w:p w14:paraId="539819BB"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9. Qualificação do profissional</w:t>
      </w:r>
    </w:p>
    <w:p w14:paraId="0D200483"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O Termo de Referência exige a disponibilização de profissional técnico qualificado, que deverá permanecer no local durante todo o período contratado, nos dois dias do evento.</w:t>
      </w:r>
    </w:p>
    <w:p w14:paraId="2059C672"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Esse profissional será responsável pelo acompanhamento, acionamento, operação e monitoramento do grupo gerador, sempre que necessário.</w:t>
      </w:r>
    </w:p>
    <w:p w14:paraId="2F1EC760"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O edital não estabelece formação acadêmica específica ou categoria profissional determinada, devendo o profissional possuir qualificação compatível com as atividades a serem executadas e observar as normas técnicas e de segurança aplicáveis.</w:t>
      </w:r>
    </w:p>
    <w:p w14:paraId="4AD37E0C" w14:textId="0A8BD342" w:rsidR="00A01577" w:rsidRPr="0034064D" w:rsidRDefault="00A01577" w:rsidP="00A01577">
      <w:pPr>
        <w:spacing w:after="0" w:line="360" w:lineRule="auto"/>
        <w:ind w:firstLine="1134"/>
        <w:jc w:val="both"/>
        <w:rPr>
          <w:rFonts w:ascii="Times New Roman" w:hAnsi="Times New Roman" w:cs="Times New Roman"/>
          <w:b/>
          <w:bCs/>
          <w:sz w:val="24"/>
          <w:szCs w:val="24"/>
        </w:rPr>
      </w:pPr>
      <w:r>
        <w:rPr>
          <w:rFonts w:ascii="Times New Roman" w:hAnsi="Times New Roman" w:cs="Times New Roman"/>
          <w:b/>
          <w:bCs/>
          <w:sz w:val="24"/>
          <w:szCs w:val="24"/>
        </w:rPr>
        <w:br/>
      </w:r>
      <w:r w:rsidRPr="0034064D">
        <w:rPr>
          <w:rFonts w:ascii="Times New Roman" w:hAnsi="Times New Roman" w:cs="Times New Roman"/>
          <w:b/>
          <w:bCs/>
          <w:sz w:val="24"/>
          <w:szCs w:val="24"/>
        </w:rPr>
        <w:t>10. Documentação do profissional</w:t>
      </w:r>
    </w:p>
    <w:p w14:paraId="2E9779D6"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O edital não estabelece relação específica de documentos destinados à comprovação da qualificação individual do profissional técnico.</w:t>
      </w:r>
    </w:p>
    <w:p w14:paraId="0429DAAA"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lastRenderedPageBreak/>
        <w:t>O Anexo II, item 4, alínea “b”, exige declaração da empresa de que disponibilizará profissional técnico qualificado durante todo o período contratado, responsabilizando-se pela instalação, acionamento, operação e acompanhamento do equipamento.</w:t>
      </w:r>
    </w:p>
    <w:p w14:paraId="54B67004"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Permanecem aplicáveis as exigências legais relativas ao exercício das atividades técnicas correspondentes.</w:t>
      </w:r>
    </w:p>
    <w:p w14:paraId="75F4357F"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11. Responsabilidade técnica</w:t>
      </w:r>
    </w:p>
    <w:p w14:paraId="34B5467E"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O instrumento convocatório não estabelece expressamente a apresentação de Anotação de Responsabilidade Técnica (ART) ou documento equivalente como requisito específico de habilitação.</w:t>
      </w:r>
    </w:p>
    <w:p w14:paraId="295E2545"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Entretanto, a instalação e a operação do grupo gerador deverão observar as normas técnicas, de segurança e as exigências legais aplicáveis, inclusive quanto à responsabilidade técnica, quando legalmente exigível.</w:t>
      </w:r>
    </w:p>
    <w:p w14:paraId="1BC88536"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Eventual documentação de responsabilidade técnica deverá corresponder às atividades efetivamente executadas e às exigências legais pertinentes.</w:t>
      </w:r>
    </w:p>
    <w:p w14:paraId="76AB247B"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12. Atestado de capacidade técnica</w:t>
      </w:r>
    </w:p>
    <w:p w14:paraId="1EA387E9"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Sim. Conforme Anexo II, item 4, alínea “a”, será aceito atestado de capacidade técnica fornecido por pessoa jurídica de direito público ou privado que comprove a execução anterior de serviços compatíveis com o objeto da contratação.</w:t>
      </w:r>
    </w:p>
    <w:p w14:paraId="02A1A7A0"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Dessa forma, será admitido atestado emitido em nome da empresa licitante que demonstre experiência anterior na locação e disponibilização de grupos geradores de energia elétrica, desde que os serviços comprovados sejam compatíveis com o objeto licitado.</w:t>
      </w:r>
    </w:p>
    <w:p w14:paraId="0EA85E86"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sz w:val="24"/>
          <w:szCs w:val="24"/>
        </w:rPr>
        <w:t>Não há exigência expressa de que o atestado se refira a evento idêntico ao Festival Municipal de Música.</w:t>
      </w:r>
    </w:p>
    <w:p w14:paraId="6C3EF366"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13. CAT ou CAO</w:t>
      </w:r>
    </w:p>
    <w:p w14:paraId="460C9427"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 xml:space="preserve">Resposta: </w:t>
      </w:r>
      <w:r w:rsidRPr="0034064D">
        <w:rPr>
          <w:rFonts w:ascii="Times New Roman" w:hAnsi="Times New Roman" w:cs="Times New Roman"/>
          <w:sz w:val="24"/>
          <w:szCs w:val="24"/>
        </w:rPr>
        <w:t>O Anexo II, item 4, alínea “a”, exige a apresentação de atestado de capacidade técnica emitido por pessoa jurídica de direito público ou privado.</w:t>
      </w:r>
    </w:p>
    <w:p w14:paraId="6B9C7EFF"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Não consta exigência expressa de apresentação de Certidão de Acervo Técnico (CAT) ou Certidão de Acervo Operacional (CAO) vinculada ao referido atestado para fins de habilitação.</w:t>
      </w:r>
    </w:p>
    <w:p w14:paraId="6DC0ECE0"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Assim, não se estabelece, para este certame, exigência documental adicional de CAT ou CAO além daquelas expressamente previstas no edital, ressalvadas as obrigações legais aplicáveis à execução dos serviços.</w:t>
      </w:r>
    </w:p>
    <w:p w14:paraId="1D4C517A"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lastRenderedPageBreak/>
        <w:t>14. Horas excedentes</w:t>
      </w:r>
    </w:p>
    <w:p w14:paraId="13DE71CA"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O objeto da contratação compreende 02 (duas) diárias, com previsão de utilização de até 10 (dez) horas por diária, conforme estabelecido no Termo de Referência.</w:t>
      </w:r>
    </w:p>
    <w:p w14:paraId="57C01C43"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O edital não prevê valor específico ou metodologia de remuneração para horas que excedam esse limite.</w:t>
      </w:r>
    </w:p>
    <w:p w14:paraId="000913EE"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Dessa forma, eventual necessidade de utilização superior ao período contratado deverá ser previamente avaliada e formalizada pela Administração, observadas as disposições contratuais e a legislação aplicável, não sendo autorizado faturamento adicional automático.</w:t>
      </w:r>
    </w:p>
    <w:p w14:paraId="774E3FEA"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15. Garantia do serviço</w:t>
      </w:r>
    </w:p>
    <w:p w14:paraId="0FF6E587"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O item 5.9 do Termo de Referência esclarece que, por se tratar de prestação de serviços em datas determinadas, não se aplica garantia de bens, permanecendo a contratada responsável pela adequada execução dos serviços e pela reparação de eventuais danos decorrentes de sua atuação.</w:t>
      </w:r>
    </w:p>
    <w:p w14:paraId="0DD0345A"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Por sua vez, o item 12 faz referência ao artigo 26 da Lei Federal nº 8.078/1990, que trata dos prazos legais para reclamação de vícios de produtos e serviços.</w:t>
      </w:r>
    </w:p>
    <w:p w14:paraId="07751F0A"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Assim, a garantia exigida refere-se à responsabilidade pela adequada prestação dos serviços, nos termos da legislação aplicável, não se confundindo com garantia de funcionamento de bem adquirido ou com garantia financeira contratual.</w:t>
      </w:r>
    </w:p>
    <w:p w14:paraId="33347AE8"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A contratada deverá assegurar o adequado funcionamento do grupo gerador durante todo o período contratado, adotando as providências necessárias diante de falhas ou intercorrências técnicas.</w:t>
      </w:r>
    </w:p>
    <w:p w14:paraId="7F5BD990"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16. Garantia de proposta</w:t>
      </w:r>
    </w:p>
    <w:p w14:paraId="01B66DDD"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Embora os itens 9.9 e 12.6 do edital façam referência à perda da garantia de proposta em caso de recusa injustificada do adjudicatário em formalizar a contratação, não há previsão expressa que estabeleça a exigência de apresentação de garantia de proposta como condição de participação no certame.</w:t>
      </w:r>
    </w:p>
    <w:p w14:paraId="4EA17733"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O edital também não estabelece percentual, valor, modalidade ou procedimento para apresentação dessa garantia.</w:t>
      </w:r>
    </w:p>
    <w:p w14:paraId="2366B70C"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Dessa forma, considerando as condições estabelecidas no instrumento convocatório, não será exigida garantia de proposta para participação no Pregão Eletrônico nº 060/2026.</w:t>
      </w:r>
    </w:p>
    <w:p w14:paraId="368917D5"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lastRenderedPageBreak/>
        <w:t>17. Garantia contratual</w:t>
      </w:r>
    </w:p>
    <w:p w14:paraId="4464235D"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O edital e seus anexos não estabelecem exigência específica de prestação de garantia contratual pela empresa vencedora, nas modalidades previstas no artigo 96 da Lei Federal nº 14.133/2021.</w:t>
      </w:r>
    </w:p>
    <w:p w14:paraId="50AD9095"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Assim, não será exigida prestação de garantia contratual, permanecendo a contratada responsável pelo cumprimento integral das obrigações assumidas, pela adequada execução dos serviços e pelas demais responsabilidades previstas no edital, no contrato e na legislação aplicável.</w:t>
      </w:r>
    </w:p>
    <w:p w14:paraId="2D909040"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18. Declaração de informações complementares</w:t>
      </w:r>
    </w:p>
    <w:p w14:paraId="1DFAC536" w14:textId="77777777" w:rsidR="00A01577" w:rsidRPr="0034064D" w:rsidRDefault="00A01577" w:rsidP="00A01577">
      <w:pPr>
        <w:spacing w:after="0" w:line="360" w:lineRule="auto"/>
        <w:ind w:firstLine="1134"/>
        <w:jc w:val="both"/>
        <w:rPr>
          <w:rFonts w:ascii="Times New Roman" w:hAnsi="Times New Roman" w:cs="Times New Roman"/>
          <w:sz w:val="24"/>
          <w:szCs w:val="24"/>
        </w:rPr>
      </w:pPr>
      <w:r w:rsidRPr="0034064D">
        <w:rPr>
          <w:rFonts w:ascii="Times New Roman" w:hAnsi="Times New Roman" w:cs="Times New Roman"/>
          <w:b/>
          <w:bCs/>
          <w:sz w:val="24"/>
          <w:szCs w:val="24"/>
        </w:rPr>
        <w:t>Resposta:</w:t>
      </w:r>
      <w:r w:rsidRPr="0034064D">
        <w:rPr>
          <w:rFonts w:ascii="Times New Roman" w:hAnsi="Times New Roman" w:cs="Times New Roman"/>
          <w:sz w:val="24"/>
          <w:szCs w:val="24"/>
        </w:rPr>
        <w:t xml:space="preserve"> Para atendimento ao Anexo II, item 3, alínea “b”, deverá ser apresentado o documento constante do Anexo IV – Modelo da Carta de Preposto, devidamente preenchido e assinado pela empresa licitante.</w:t>
      </w:r>
    </w:p>
    <w:p w14:paraId="386C79EA"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O documento deverá identificar o representante designado pela empresa, contendo os dados pessoais e as informações de contato exigidas no modelo, para fins de representação perante a Administração Municipal.</w:t>
      </w:r>
    </w:p>
    <w:p w14:paraId="348DE2EB"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A referência à “Declaração de Informações Complementares” corresponde, portanto, à Carta de Preposto constante do Anexo IV, não sendo necessária a apresentação de declaração distinta para atendimento dessa exigência.</w:t>
      </w:r>
      <w:r>
        <w:rPr>
          <w:rFonts w:ascii="Times New Roman" w:hAnsi="Times New Roman" w:cs="Times New Roman"/>
        </w:rPr>
        <w:br/>
      </w:r>
    </w:p>
    <w:p w14:paraId="42473434" w14:textId="77777777" w:rsidR="00A01577" w:rsidRPr="0034064D" w:rsidRDefault="00A01577" w:rsidP="00A01577">
      <w:pPr>
        <w:spacing w:after="0" w:line="360" w:lineRule="auto"/>
        <w:ind w:firstLine="1134"/>
        <w:jc w:val="both"/>
        <w:rPr>
          <w:rFonts w:ascii="Times New Roman" w:hAnsi="Times New Roman" w:cs="Times New Roman"/>
          <w:b/>
          <w:bCs/>
          <w:sz w:val="24"/>
          <w:szCs w:val="24"/>
        </w:rPr>
      </w:pPr>
      <w:r w:rsidRPr="0034064D">
        <w:rPr>
          <w:rFonts w:ascii="Times New Roman" w:hAnsi="Times New Roman" w:cs="Times New Roman"/>
          <w:b/>
          <w:bCs/>
          <w:sz w:val="24"/>
          <w:szCs w:val="24"/>
        </w:rPr>
        <w:t>Considerações finais</w:t>
      </w:r>
    </w:p>
    <w:p w14:paraId="40AA78C5"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Os esclarecimentos acima têm por finalidade orientar os interessados quanto às condições estabelecidas no Edital do Pregão Eletrônico nº 060/2026 e seus anexos, preservando os princípios da legalidade, isonomia, transparência e vinculação ao instrumento convocatório.</w:t>
      </w:r>
    </w:p>
    <w:p w14:paraId="66E7FB26" w14:textId="77777777" w:rsidR="00A01577" w:rsidRPr="0034064D" w:rsidRDefault="00A01577" w:rsidP="00A01577">
      <w:pPr>
        <w:spacing w:after="0" w:line="360" w:lineRule="auto"/>
        <w:jc w:val="both"/>
        <w:rPr>
          <w:rFonts w:ascii="Times New Roman" w:hAnsi="Times New Roman" w:cs="Times New Roman"/>
          <w:sz w:val="24"/>
          <w:szCs w:val="24"/>
        </w:rPr>
      </w:pPr>
      <w:r w:rsidRPr="0034064D">
        <w:rPr>
          <w:rFonts w:ascii="Times New Roman" w:hAnsi="Times New Roman" w:cs="Times New Roman"/>
          <w:sz w:val="24"/>
          <w:szCs w:val="24"/>
        </w:rPr>
        <w:t>Permanecem válidas as demais disposições do edital e de seus anexos.</w:t>
      </w:r>
    </w:p>
    <w:p w14:paraId="6C9ADBFC" w14:textId="77777777" w:rsidR="00A01577" w:rsidRPr="0034064D" w:rsidRDefault="00A01577" w:rsidP="00A01577">
      <w:pPr>
        <w:spacing w:after="0" w:line="360" w:lineRule="auto"/>
        <w:ind w:firstLine="1134"/>
        <w:jc w:val="both"/>
        <w:rPr>
          <w:rFonts w:ascii="Times New Roman" w:hAnsi="Times New Roman" w:cs="Times New Roman"/>
          <w:sz w:val="24"/>
          <w:szCs w:val="24"/>
        </w:rPr>
      </w:pPr>
    </w:p>
    <w:p w14:paraId="0BF64411" w14:textId="77777777" w:rsidR="00A01577" w:rsidRPr="0034064D" w:rsidRDefault="00A01577" w:rsidP="00A01577">
      <w:pPr>
        <w:spacing w:after="0" w:line="360" w:lineRule="auto"/>
        <w:ind w:firstLine="1134"/>
        <w:jc w:val="both"/>
        <w:rPr>
          <w:rFonts w:ascii="Times New Roman" w:hAnsi="Times New Roman" w:cs="Times New Roman"/>
          <w:sz w:val="24"/>
          <w:szCs w:val="24"/>
        </w:rPr>
      </w:pPr>
    </w:p>
    <w:p w14:paraId="019DFAD9" w14:textId="77777777" w:rsidR="00A01577" w:rsidRPr="0034064D" w:rsidRDefault="00A01577" w:rsidP="00A01577">
      <w:pPr>
        <w:jc w:val="both"/>
        <w:rPr>
          <w:rFonts w:ascii="Times New Roman" w:hAnsi="Times New Roman" w:cs="Times New Roman"/>
          <w:b/>
          <w:bCs/>
          <w:sz w:val="24"/>
          <w:szCs w:val="24"/>
        </w:rPr>
      </w:pPr>
      <w:r>
        <w:rPr>
          <w:rFonts w:ascii="Times New Roman" w:hAnsi="Times New Roman" w:cs="Times New Roman"/>
          <w:b/>
          <w:bCs/>
        </w:rPr>
        <w:t xml:space="preserve">                                                                      </w:t>
      </w:r>
      <w:r w:rsidRPr="0034064D">
        <w:rPr>
          <w:rFonts w:ascii="Times New Roman" w:hAnsi="Times New Roman" w:cs="Times New Roman"/>
          <w:b/>
          <w:bCs/>
          <w:sz w:val="24"/>
          <w:szCs w:val="24"/>
        </w:rPr>
        <w:t xml:space="preserve">Vargem Bonita/SC, </w:t>
      </w:r>
      <w:r>
        <w:rPr>
          <w:rFonts w:ascii="Times New Roman" w:hAnsi="Times New Roman" w:cs="Times New Roman"/>
          <w:b/>
          <w:bCs/>
        </w:rPr>
        <w:t>30</w:t>
      </w:r>
      <w:r w:rsidRPr="0034064D">
        <w:rPr>
          <w:rFonts w:ascii="Times New Roman" w:hAnsi="Times New Roman" w:cs="Times New Roman"/>
          <w:b/>
          <w:bCs/>
          <w:sz w:val="24"/>
          <w:szCs w:val="24"/>
        </w:rPr>
        <w:t xml:space="preserve"> de </w:t>
      </w:r>
      <w:r>
        <w:rPr>
          <w:rFonts w:ascii="Times New Roman" w:hAnsi="Times New Roman" w:cs="Times New Roman"/>
          <w:b/>
          <w:bCs/>
        </w:rPr>
        <w:t>outubr</w:t>
      </w:r>
      <w:r w:rsidRPr="0034064D">
        <w:rPr>
          <w:rFonts w:ascii="Times New Roman" w:hAnsi="Times New Roman" w:cs="Times New Roman"/>
          <w:b/>
          <w:bCs/>
          <w:sz w:val="24"/>
          <w:szCs w:val="24"/>
        </w:rPr>
        <w:t>o de 2026.</w:t>
      </w:r>
    </w:p>
    <w:p w14:paraId="1EBBDB81" w14:textId="31345096" w:rsidR="00A01577" w:rsidRPr="0034064D" w:rsidRDefault="00A01577" w:rsidP="00A01577">
      <w:pPr>
        <w:rPr>
          <w:rFonts w:ascii="Times New Roman" w:hAnsi="Times New Roman" w:cs="Times New Roman"/>
          <w:b/>
          <w:bCs/>
          <w:sz w:val="24"/>
          <w:szCs w:val="24"/>
        </w:rPr>
      </w:pPr>
      <w:r w:rsidRPr="0034064D">
        <w:rPr>
          <w:rFonts w:ascii="Times New Roman" w:hAnsi="Times New Roman" w:cs="Times New Roman"/>
          <w:sz w:val="24"/>
          <w:szCs w:val="24"/>
          <w:highlight w:val="yellow"/>
        </w:rPr>
        <w:br/>
      </w:r>
      <w:r w:rsidRPr="0034064D">
        <w:rPr>
          <w:rFonts w:ascii="Times New Roman" w:hAnsi="Times New Roman" w:cs="Times New Roman"/>
          <w:b/>
          <w:bCs/>
          <w:sz w:val="24"/>
          <w:szCs w:val="24"/>
        </w:rPr>
        <w:t>Vinicius Virme de Abreu</w:t>
      </w:r>
      <w:r w:rsidRPr="0034064D">
        <w:rPr>
          <w:rFonts w:ascii="Times New Roman" w:hAnsi="Times New Roman" w:cs="Times New Roman"/>
          <w:b/>
          <w:bCs/>
          <w:sz w:val="24"/>
          <w:szCs w:val="24"/>
        </w:rPr>
        <w:br/>
        <w:t>Agente de Contratação/Pregoeiro</w:t>
      </w:r>
      <w:r w:rsidRPr="0034064D">
        <w:rPr>
          <w:rFonts w:ascii="Times New Roman" w:hAnsi="Times New Roman" w:cs="Times New Roman"/>
          <w:b/>
          <w:bCs/>
          <w:sz w:val="24"/>
          <w:szCs w:val="24"/>
        </w:rPr>
        <w:br/>
        <w:t>Município de Vargem Bonita/SC</w:t>
      </w:r>
    </w:p>
    <w:p w14:paraId="22CD9D63" w14:textId="6DBA6A9B" w:rsidR="00A35ED3" w:rsidRDefault="00A35ED3" w:rsidP="00F0534D">
      <w:pPr>
        <w:spacing w:before="120" w:after="120"/>
      </w:pPr>
    </w:p>
    <w:sectPr w:rsidR="00A35ED3" w:rsidSect="003F383F">
      <w:headerReference w:type="default" r:id="rId7"/>
      <w:footerReference w:type="default" r:id="rId8"/>
      <w:pgSz w:w="11906" w:h="16838"/>
      <w:pgMar w:top="212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4EEAC" w14:textId="77777777" w:rsidR="00323F82" w:rsidRDefault="00323F82" w:rsidP="00A562B2">
      <w:pPr>
        <w:spacing w:after="0" w:line="240" w:lineRule="auto"/>
      </w:pPr>
      <w:r>
        <w:separator/>
      </w:r>
    </w:p>
  </w:endnote>
  <w:endnote w:type="continuationSeparator" w:id="0">
    <w:p w14:paraId="23AD6E8E" w14:textId="77777777" w:rsidR="00323F82" w:rsidRDefault="00323F82" w:rsidP="00A56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02B7B" w14:textId="2D6174B4" w:rsidR="00A562B2" w:rsidRDefault="00A562B2">
    <w:pPr>
      <w:pStyle w:val="Rodap"/>
    </w:pPr>
    <w:r>
      <w:rPr>
        <w:noProof/>
      </w:rPr>
      <w:drawing>
        <wp:anchor distT="0" distB="0" distL="114300" distR="114300" simplePos="0" relativeHeight="251659264" behindDoc="1" locked="0" layoutInCell="1" allowOverlap="1" wp14:anchorId="0EC6DEF5" wp14:editId="4E658BF1">
          <wp:simplePos x="0" y="0"/>
          <wp:positionH relativeFrom="page">
            <wp:posOffset>-22860</wp:posOffset>
          </wp:positionH>
          <wp:positionV relativeFrom="paragraph">
            <wp:posOffset>-1698294</wp:posOffset>
          </wp:positionV>
          <wp:extent cx="7607544" cy="2301765"/>
          <wp:effectExtent l="0" t="0" r="0" b="3810"/>
          <wp:wrapNone/>
          <wp:docPr id="157022110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806823" name="Imagem 1475806823"/>
                  <pic:cNvPicPr/>
                </pic:nvPicPr>
                <pic:blipFill>
                  <a:blip r:embed="rId1">
                    <a:extLst>
                      <a:ext uri="{28A0092B-C50C-407E-A947-70E740481C1C}">
                        <a14:useLocalDpi xmlns:a14="http://schemas.microsoft.com/office/drawing/2010/main" val="0"/>
                      </a:ext>
                    </a:extLst>
                  </a:blip>
                  <a:stretch>
                    <a:fillRect/>
                  </a:stretch>
                </pic:blipFill>
                <pic:spPr>
                  <a:xfrm>
                    <a:off x="0" y="0"/>
                    <a:ext cx="7607544" cy="23017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7F188" w14:textId="77777777" w:rsidR="00323F82" w:rsidRDefault="00323F82" w:rsidP="00A562B2">
      <w:pPr>
        <w:spacing w:after="0" w:line="240" w:lineRule="auto"/>
      </w:pPr>
      <w:r>
        <w:separator/>
      </w:r>
    </w:p>
  </w:footnote>
  <w:footnote w:type="continuationSeparator" w:id="0">
    <w:p w14:paraId="79F4880B" w14:textId="77777777" w:rsidR="00323F82" w:rsidRDefault="00323F82" w:rsidP="00A562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61D3B" w14:textId="63494FD0" w:rsidR="00A562B2" w:rsidRDefault="00000000">
    <w:pPr>
      <w:pStyle w:val="Cabealho"/>
    </w:pPr>
    <w:sdt>
      <w:sdtPr>
        <w:id w:val="-541673161"/>
        <w:docPartObj>
          <w:docPartGallery w:val="Page Numbers (Margins)"/>
          <w:docPartUnique/>
        </w:docPartObj>
      </w:sdtPr>
      <w:sdtContent>
        <w:r w:rsidR="005A5DC4">
          <w:rPr>
            <w:noProof/>
          </w:rPr>
          <mc:AlternateContent>
            <mc:Choice Requires="wps">
              <w:drawing>
                <wp:anchor distT="0" distB="0" distL="114300" distR="114300" simplePos="0" relativeHeight="251661312" behindDoc="0" locked="0" layoutInCell="0" allowOverlap="1" wp14:anchorId="6B4985B8" wp14:editId="0B2B17A2">
                  <wp:simplePos x="0" y="0"/>
                  <wp:positionH relativeFrom="rightMargin">
                    <wp:align>right</wp:align>
                  </wp:positionH>
                  <wp:positionV relativeFrom="margin">
                    <wp:align>center</wp:align>
                  </wp:positionV>
                  <wp:extent cx="727710" cy="329565"/>
                  <wp:effectExtent l="0" t="0" r="0" b="3810"/>
                  <wp:wrapNone/>
                  <wp:docPr id="1690511043"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9BDC40" w14:textId="77777777" w:rsidR="005A5DC4" w:rsidRDefault="005A5DC4">
                              <w:pPr>
                                <w:pBdr>
                                  <w:bottom w:val="single" w:sz="4" w:space="1" w:color="auto"/>
                                </w:pBdr>
                              </w:pPr>
                              <w:r>
                                <w:fldChar w:fldCharType="begin"/>
                              </w:r>
                              <w:r>
                                <w:instrText>PAGE   \* MERGEFORMAT</w:instrText>
                              </w:r>
                              <w:r>
                                <w:fldChar w:fldCharType="separate"/>
                              </w:r>
                              <w:r>
                                <w:t>2</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6B4985B8" id="Retângulo 1" o:spid="_x0000_s1026" style="position:absolute;margin-left:6.1pt;margin-top:0;width:57.3pt;height:25.95pt;z-index:251661312;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7E9BDC40" w14:textId="77777777" w:rsidR="005A5DC4" w:rsidRDefault="005A5DC4">
                        <w:pPr>
                          <w:pBdr>
                            <w:bottom w:val="single" w:sz="4" w:space="1" w:color="auto"/>
                          </w:pBdr>
                        </w:pPr>
                        <w:r>
                          <w:fldChar w:fldCharType="begin"/>
                        </w:r>
                        <w:r>
                          <w:instrText>PAGE   \* MERGEFORMAT</w:instrText>
                        </w:r>
                        <w:r>
                          <w:fldChar w:fldCharType="separate"/>
                        </w:r>
                        <w:r>
                          <w:t>2</w:t>
                        </w:r>
                        <w:r>
                          <w:fldChar w:fldCharType="end"/>
                        </w:r>
                      </w:p>
                    </w:txbxContent>
                  </v:textbox>
                  <w10:wrap anchorx="margin" anchory="margin"/>
                </v:rect>
              </w:pict>
            </mc:Fallback>
          </mc:AlternateContent>
        </w:r>
      </w:sdtContent>
    </w:sdt>
    <w:r w:rsidR="00A562B2">
      <w:rPr>
        <w:noProof/>
      </w:rPr>
      <w:drawing>
        <wp:anchor distT="0" distB="0" distL="114300" distR="114300" simplePos="0" relativeHeight="251658240" behindDoc="0" locked="0" layoutInCell="1" allowOverlap="1" wp14:anchorId="578122AF" wp14:editId="093FD8D2">
          <wp:simplePos x="0" y="0"/>
          <wp:positionH relativeFrom="column">
            <wp:posOffset>-1087120</wp:posOffset>
          </wp:positionH>
          <wp:positionV relativeFrom="paragraph">
            <wp:posOffset>-433401</wp:posOffset>
          </wp:positionV>
          <wp:extent cx="7604946" cy="1828800"/>
          <wp:effectExtent l="0" t="0" r="0" b="0"/>
          <wp:wrapNone/>
          <wp:docPr id="8632266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098608" name="Imagem 721098608"/>
                  <pic:cNvPicPr/>
                </pic:nvPicPr>
                <pic:blipFill>
                  <a:blip r:embed="rId1">
                    <a:extLst>
                      <a:ext uri="{28A0092B-C50C-407E-A947-70E740481C1C}">
                        <a14:useLocalDpi xmlns:a14="http://schemas.microsoft.com/office/drawing/2010/main" val="0"/>
                      </a:ext>
                    </a:extLst>
                  </a:blip>
                  <a:stretch>
                    <a:fillRect/>
                  </a:stretch>
                </pic:blipFill>
                <pic:spPr>
                  <a:xfrm>
                    <a:off x="0" y="0"/>
                    <a:ext cx="7604946" cy="1828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2B2"/>
    <w:rsid w:val="001127D3"/>
    <w:rsid w:val="00150422"/>
    <w:rsid w:val="001F3DF2"/>
    <w:rsid w:val="00227299"/>
    <w:rsid w:val="00323F82"/>
    <w:rsid w:val="003379AE"/>
    <w:rsid w:val="003F383F"/>
    <w:rsid w:val="004136AF"/>
    <w:rsid w:val="005702AA"/>
    <w:rsid w:val="005A5DC4"/>
    <w:rsid w:val="00607B10"/>
    <w:rsid w:val="006B2555"/>
    <w:rsid w:val="0092276A"/>
    <w:rsid w:val="009901DE"/>
    <w:rsid w:val="00A01577"/>
    <w:rsid w:val="00A35ED3"/>
    <w:rsid w:val="00A562B2"/>
    <w:rsid w:val="00B07D8B"/>
    <w:rsid w:val="00F0534D"/>
    <w:rsid w:val="00F319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B9107"/>
  <w15:chartTrackingRefBased/>
  <w15:docId w15:val="{FB08E702-A194-4321-BFD7-D9F037972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562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A562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562B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562B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562B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562B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562B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562B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562B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562B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562B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562B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562B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562B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562B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562B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562B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562B2"/>
    <w:rPr>
      <w:rFonts w:eastAsiaTheme="majorEastAsia" w:cstheme="majorBidi"/>
      <w:color w:val="272727" w:themeColor="text1" w:themeTint="D8"/>
    </w:rPr>
  </w:style>
  <w:style w:type="paragraph" w:styleId="Ttulo">
    <w:name w:val="Title"/>
    <w:basedOn w:val="Normal"/>
    <w:next w:val="Normal"/>
    <w:link w:val="TtuloChar"/>
    <w:uiPriority w:val="10"/>
    <w:qFormat/>
    <w:rsid w:val="00A562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562B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562B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562B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562B2"/>
    <w:pPr>
      <w:spacing w:before="160"/>
      <w:jc w:val="center"/>
    </w:pPr>
    <w:rPr>
      <w:i/>
      <w:iCs/>
      <w:color w:val="404040" w:themeColor="text1" w:themeTint="BF"/>
    </w:rPr>
  </w:style>
  <w:style w:type="character" w:customStyle="1" w:styleId="CitaoChar">
    <w:name w:val="Citação Char"/>
    <w:basedOn w:val="Fontepargpadro"/>
    <w:link w:val="Citao"/>
    <w:uiPriority w:val="29"/>
    <w:rsid w:val="00A562B2"/>
    <w:rPr>
      <w:i/>
      <w:iCs/>
      <w:color w:val="404040" w:themeColor="text1" w:themeTint="BF"/>
    </w:rPr>
  </w:style>
  <w:style w:type="paragraph" w:styleId="PargrafodaLista">
    <w:name w:val="List Paragraph"/>
    <w:basedOn w:val="Normal"/>
    <w:uiPriority w:val="34"/>
    <w:qFormat/>
    <w:rsid w:val="00A562B2"/>
    <w:pPr>
      <w:ind w:left="720"/>
      <w:contextualSpacing/>
    </w:pPr>
  </w:style>
  <w:style w:type="character" w:styleId="nfaseIntensa">
    <w:name w:val="Intense Emphasis"/>
    <w:basedOn w:val="Fontepargpadro"/>
    <w:uiPriority w:val="21"/>
    <w:qFormat/>
    <w:rsid w:val="00A562B2"/>
    <w:rPr>
      <w:i/>
      <w:iCs/>
      <w:color w:val="2F5496" w:themeColor="accent1" w:themeShade="BF"/>
    </w:rPr>
  </w:style>
  <w:style w:type="paragraph" w:styleId="CitaoIntensa">
    <w:name w:val="Intense Quote"/>
    <w:basedOn w:val="Normal"/>
    <w:next w:val="Normal"/>
    <w:link w:val="CitaoIntensaChar"/>
    <w:uiPriority w:val="30"/>
    <w:qFormat/>
    <w:rsid w:val="00A562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562B2"/>
    <w:rPr>
      <w:i/>
      <w:iCs/>
      <w:color w:val="2F5496" w:themeColor="accent1" w:themeShade="BF"/>
    </w:rPr>
  </w:style>
  <w:style w:type="character" w:styleId="RefernciaIntensa">
    <w:name w:val="Intense Reference"/>
    <w:basedOn w:val="Fontepargpadro"/>
    <w:uiPriority w:val="32"/>
    <w:qFormat/>
    <w:rsid w:val="00A562B2"/>
    <w:rPr>
      <w:b/>
      <w:bCs/>
      <w:smallCaps/>
      <w:color w:val="2F5496" w:themeColor="accent1" w:themeShade="BF"/>
      <w:spacing w:val="5"/>
    </w:rPr>
  </w:style>
  <w:style w:type="paragraph" w:styleId="Cabealho">
    <w:name w:val="header"/>
    <w:basedOn w:val="Normal"/>
    <w:link w:val="CabealhoChar"/>
    <w:uiPriority w:val="99"/>
    <w:unhideWhenUsed/>
    <w:rsid w:val="00A562B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562B2"/>
  </w:style>
  <w:style w:type="paragraph" w:styleId="Rodap">
    <w:name w:val="footer"/>
    <w:basedOn w:val="Normal"/>
    <w:link w:val="RodapChar"/>
    <w:uiPriority w:val="99"/>
    <w:unhideWhenUsed/>
    <w:rsid w:val="00A562B2"/>
    <w:pPr>
      <w:tabs>
        <w:tab w:val="center" w:pos="4252"/>
        <w:tab w:val="right" w:pos="8504"/>
      </w:tabs>
      <w:spacing w:after="0" w:line="240" w:lineRule="auto"/>
    </w:pPr>
  </w:style>
  <w:style w:type="character" w:customStyle="1" w:styleId="RodapChar">
    <w:name w:val="Rodapé Char"/>
    <w:basedOn w:val="Fontepargpadro"/>
    <w:link w:val="Rodap"/>
    <w:uiPriority w:val="99"/>
    <w:rsid w:val="00A5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015D9-0FB8-44EB-8D1C-8225F4583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1824</Words>
  <Characters>9852</Characters>
  <Application>Microsoft Office Word</Application>
  <DocSecurity>0</DocSecurity>
  <Lines>82</Lines>
  <Paragraphs>23</Paragraphs>
  <ScaleCrop>false</ScaleCrop>
  <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Win11</dc:creator>
  <cp:keywords/>
  <dc:description/>
  <cp:lastModifiedBy>vinicius virme de abreu</cp:lastModifiedBy>
  <cp:revision>3</cp:revision>
  <cp:lastPrinted>2026-08-14T11:52:00Z</cp:lastPrinted>
  <dcterms:created xsi:type="dcterms:W3CDTF">2026-10-30T18:31:00Z</dcterms:created>
  <dcterms:modified xsi:type="dcterms:W3CDTF">2026-10-30T18:33:00Z</dcterms:modified>
</cp:coreProperties>
</file>