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BDEED"/>
    <w:p w14:paraId="41AE67D1">
      <w:pPr>
        <w:jc w:val="center"/>
        <w:rPr>
          <w:rFonts w:ascii="Arial" w:hAnsi="Arial" w:cs="Arial"/>
          <w:b/>
          <w:bCs/>
          <w:i/>
          <w:iCs/>
          <w:color w:val="auto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auto"/>
          <w:sz w:val="20"/>
          <w:szCs w:val="20"/>
        </w:rPr>
        <w:t xml:space="preserve">ANEXO </w:t>
      </w:r>
      <w:r>
        <w:rPr>
          <w:rFonts w:hint="default" w:ascii="Arial" w:hAnsi="Arial" w:cs="Arial"/>
          <w:b/>
          <w:bCs/>
          <w:i/>
          <w:iCs/>
          <w:color w:val="auto"/>
          <w:sz w:val="20"/>
          <w:szCs w:val="20"/>
          <w:lang w:val="pt-BR"/>
        </w:rPr>
        <w:t>I</w:t>
      </w:r>
      <w:r>
        <w:rPr>
          <w:rFonts w:ascii="Arial" w:hAnsi="Arial" w:cs="Arial"/>
          <w:b/>
          <w:bCs/>
          <w:i/>
          <w:iCs/>
          <w:color w:val="auto"/>
          <w:sz w:val="20"/>
          <w:szCs w:val="20"/>
        </w:rPr>
        <w:t>V.</w:t>
      </w:r>
    </w:p>
    <w:p w14:paraId="5AD195F0">
      <w:pPr>
        <w:jc w:val="center"/>
        <w:rPr>
          <w:rFonts w:ascii="Arial" w:hAnsi="Arial" w:cs="Arial"/>
          <w:b/>
          <w:bCs/>
          <w:i/>
          <w:iCs/>
          <w:color w:val="auto"/>
          <w:sz w:val="20"/>
          <w:szCs w:val="20"/>
        </w:rPr>
      </w:pPr>
    </w:p>
    <w:p w14:paraId="3572104C">
      <w:pPr>
        <w:jc w:val="center"/>
        <w:rPr>
          <w:rFonts w:ascii="Arial" w:hAnsi="Arial" w:cs="Arial"/>
          <w:b/>
          <w:bCs/>
          <w:i/>
          <w:iCs/>
          <w:color w:val="auto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auto"/>
          <w:sz w:val="20"/>
          <w:szCs w:val="20"/>
        </w:rPr>
        <w:t>MODELO DE DECLARAÇÃO EXIGIDA PARA HABILITAÇÃO</w:t>
      </w:r>
    </w:p>
    <w:p w14:paraId="73E813F7">
      <w:pPr>
        <w:jc w:val="center"/>
        <w:rPr>
          <w:rFonts w:ascii="Arial" w:hAnsi="Arial" w:cs="Arial"/>
          <w:i/>
          <w:iCs/>
          <w:color w:val="auto"/>
          <w:sz w:val="20"/>
          <w:szCs w:val="20"/>
        </w:rPr>
      </w:pPr>
      <w:r>
        <w:rPr>
          <w:rFonts w:ascii="Arial" w:hAnsi="Arial" w:cs="Arial"/>
          <w:i/>
          <w:iCs/>
          <w:color w:val="auto"/>
          <w:sz w:val="20"/>
          <w:szCs w:val="20"/>
        </w:rPr>
        <w:t>(em papel timbrado do licitante)</w:t>
      </w:r>
    </w:p>
    <w:p w14:paraId="2952DB33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6AAFFFBA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7CF2785B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7D002993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0A47E99C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03D9CD3B">
      <w:pPr>
        <w:ind w:firstLine="1134"/>
        <w:jc w:val="both"/>
        <w:rPr>
          <w:rFonts w:ascii="Arial" w:hAnsi="Arial" w:cs="Arial"/>
          <w:i/>
          <w:iCs/>
          <w:color w:val="auto"/>
          <w:sz w:val="20"/>
          <w:szCs w:val="20"/>
        </w:rPr>
      </w:pPr>
      <w:r>
        <w:rPr>
          <w:rFonts w:ascii="Arial" w:hAnsi="Arial" w:cs="Arial"/>
          <w:i/>
          <w:iCs/>
          <w:color w:val="auto"/>
          <w:sz w:val="20"/>
          <w:szCs w:val="20"/>
        </w:rPr>
        <w:t>Eu, ___________________________________, portador do CPF nº _____________, na condição de representante legal de ________________________ (nome empresarial ou denominação), interessado em participar d</w:t>
      </w:r>
      <w:r>
        <w:rPr>
          <w:rFonts w:hint="default" w:ascii="Arial" w:hAnsi="Arial" w:cs="Arial"/>
          <w:i/>
          <w:iCs/>
          <w:color w:val="auto"/>
          <w:sz w:val="20"/>
          <w:szCs w:val="20"/>
          <w:lang w:val="pt-BR"/>
        </w:rPr>
        <w:t>a</w:t>
      </w:r>
      <w:r>
        <w:rPr>
          <w:rFonts w:ascii="Arial" w:hAnsi="Arial" w:cs="Arial"/>
          <w:i/>
          <w:iCs/>
          <w:color w:val="auto"/>
          <w:sz w:val="20"/>
          <w:szCs w:val="20"/>
        </w:rPr>
        <w:t xml:space="preserve"> </w:t>
      </w:r>
      <w:r>
        <w:rPr>
          <w:rFonts w:hint="default" w:ascii="Arial" w:hAnsi="Arial" w:cs="Arial"/>
          <w:i/>
          <w:iCs/>
          <w:color w:val="auto"/>
          <w:sz w:val="20"/>
          <w:szCs w:val="20"/>
          <w:lang w:val="pt-BR"/>
        </w:rPr>
        <w:t>Dispensa</w:t>
      </w:r>
      <w:r>
        <w:rPr>
          <w:rFonts w:ascii="Arial" w:hAnsi="Arial" w:cs="Arial"/>
          <w:i/>
          <w:iCs/>
          <w:color w:val="auto"/>
          <w:sz w:val="20"/>
          <w:szCs w:val="20"/>
        </w:rPr>
        <w:t xml:space="preserve"> Eletrônic</w:t>
      </w:r>
      <w:r>
        <w:rPr>
          <w:rFonts w:hint="default" w:ascii="Arial" w:hAnsi="Arial" w:cs="Arial"/>
          <w:i/>
          <w:iCs/>
          <w:color w:val="auto"/>
          <w:sz w:val="20"/>
          <w:szCs w:val="20"/>
          <w:lang w:val="pt-BR"/>
        </w:rPr>
        <w:t>a</w:t>
      </w:r>
      <w:r>
        <w:rPr>
          <w:rFonts w:ascii="Arial" w:hAnsi="Arial" w:cs="Arial"/>
          <w:i/>
          <w:iCs/>
          <w:color w:val="auto"/>
          <w:sz w:val="20"/>
          <w:szCs w:val="20"/>
        </w:rPr>
        <w:t xml:space="preserve"> nº ___/___, Processo n° ___/___, DECLARO, sob as penas da Lei, que o licitante:</w:t>
      </w:r>
    </w:p>
    <w:p w14:paraId="16B4379D">
      <w:pPr>
        <w:ind w:left="3402"/>
        <w:jc w:val="both"/>
        <w:rPr>
          <w:rFonts w:ascii="Arial" w:hAnsi="Arial" w:cs="Arial"/>
          <w:color w:val="auto"/>
          <w:sz w:val="20"/>
          <w:szCs w:val="20"/>
        </w:rPr>
      </w:pPr>
    </w:p>
    <w:p w14:paraId="18581EEB">
      <w:pPr>
        <w:ind w:left="284"/>
        <w:jc w:val="both"/>
        <w:rPr>
          <w:rFonts w:ascii="Arial" w:hAnsi="Arial" w:cs="Arial"/>
          <w:i/>
          <w:iCs/>
          <w:color w:val="auto"/>
          <w:sz w:val="20"/>
          <w:szCs w:val="20"/>
        </w:rPr>
      </w:pPr>
      <w:r>
        <w:rPr>
          <w:rFonts w:ascii="Arial" w:hAnsi="Arial" w:cs="Arial"/>
          <w:i/>
          <w:iCs/>
          <w:color w:val="auto"/>
          <w:sz w:val="20"/>
          <w:szCs w:val="20"/>
        </w:rPr>
        <w:t xml:space="preserve">a) cumpre as normas relativas à saúde e segurança no trabalho, nos termos do parágrafo único do artigo 117 da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"http://www.legislacao.sp.gov.br/legislacao/dg280202.nsf/legislacao/constituicao_estadual.htm" </w:instrText>
      </w:r>
      <w:r>
        <w:rPr>
          <w:color w:val="auto"/>
        </w:rPr>
        <w:fldChar w:fldCharType="separate"/>
      </w:r>
      <w:r>
        <w:rPr>
          <w:rStyle w:val="15"/>
          <w:rFonts w:ascii="Arial" w:hAnsi="Arial" w:cs="Arial"/>
          <w:i/>
          <w:iCs/>
          <w:color w:val="auto"/>
          <w:sz w:val="20"/>
          <w:szCs w:val="20"/>
        </w:rPr>
        <w:t>Constituição Estadual</w:t>
      </w:r>
      <w:r>
        <w:rPr>
          <w:rStyle w:val="15"/>
          <w:rFonts w:ascii="Arial" w:hAnsi="Arial" w:cs="Arial"/>
          <w:i/>
          <w:iCs/>
          <w:color w:val="auto"/>
          <w:sz w:val="20"/>
          <w:szCs w:val="20"/>
        </w:rPr>
        <w:fldChar w:fldCharType="end"/>
      </w:r>
      <w:r>
        <w:rPr>
          <w:rFonts w:ascii="Arial" w:hAnsi="Arial" w:cs="Arial"/>
          <w:i/>
          <w:iCs/>
          <w:color w:val="auto"/>
          <w:sz w:val="20"/>
          <w:szCs w:val="20"/>
        </w:rPr>
        <w:t>;</w:t>
      </w:r>
      <w:bookmarkStart w:id="0" w:name="_GoBack"/>
      <w:bookmarkEnd w:id="0"/>
    </w:p>
    <w:p w14:paraId="07A6D725">
      <w:pPr>
        <w:ind w:left="284"/>
        <w:jc w:val="both"/>
        <w:rPr>
          <w:rFonts w:ascii="Arial" w:hAnsi="Arial" w:cs="Arial"/>
          <w:i/>
          <w:iCs/>
          <w:color w:val="auto"/>
          <w:sz w:val="20"/>
          <w:szCs w:val="20"/>
        </w:rPr>
      </w:pPr>
    </w:p>
    <w:p w14:paraId="26985BA4">
      <w:pPr>
        <w:ind w:left="284"/>
        <w:jc w:val="both"/>
        <w:rPr>
          <w:rFonts w:ascii="Arial" w:hAnsi="Arial" w:cs="Arial"/>
          <w:i/>
          <w:iCs/>
          <w:color w:val="auto"/>
          <w:sz w:val="20"/>
          <w:szCs w:val="20"/>
        </w:rPr>
      </w:pPr>
      <w:r>
        <w:rPr>
          <w:rFonts w:ascii="Arial" w:hAnsi="Arial" w:cs="Arial"/>
          <w:i/>
          <w:iCs/>
          <w:color w:val="auto"/>
          <w:sz w:val="20"/>
          <w:szCs w:val="20"/>
        </w:rPr>
        <w:t xml:space="preserve">b) no caso de utilização na execução do objeto deste certame de produtos ou subprodutos florestais de origem nativa da flora brasileira referidos no artigo 1º do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"http://www.legislacao.sp.gov.br/legislacao/dg280202.nsf/5fb5269ed17b47ab83256cfb00501469/db61e8308486d1830325885c004a93e8?OpenDocument&amp;Highlight=0,66.819" </w:instrText>
      </w:r>
      <w:r>
        <w:rPr>
          <w:color w:val="auto"/>
        </w:rPr>
        <w:fldChar w:fldCharType="separate"/>
      </w:r>
      <w:r>
        <w:rPr>
          <w:rFonts w:ascii="Arial" w:hAnsi="Arial" w:cs="Arial"/>
          <w:i/>
          <w:iCs/>
          <w:color w:val="auto"/>
          <w:sz w:val="20"/>
          <w:szCs w:val="20"/>
          <w:u w:val="single"/>
        </w:rPr>
        <w:t>Decreto estadual n° 66.819, de 6 de junho de 2022</w:t>
      </w:r>
      <w:r>
        <w:rPr>
          <w:rFonts w:ascii="Arial" w:hAnsi="Arial" w:cs="Arial"/>
          <w:i/>
          <w:iCs/>
          <w:color w:val="auto"/>
          <w:sz w:val="20"/>
          <w:szCs w:val="20"/>
          <w:u w:val="single"/>
        </w:rPr>
        <w:fldChar w:fldCharType="end"/>
      </w:r>
      <w:r>
        <w:rPr>
          <w:rFonts w:ascii="Arial" w:hAnsi="Arial" w:cs="Arial"/>
          <w:i/>
          <w:iCs/>
          <w:color w:val="auto"/>
          <w:sz w:val="20"/>
          <w:szCs w:val="20"/>
        </w:rPr>
        <w:t>, cumprirá a obrigação de proceder às respectivas aquisições de pessoa jurídica com inscrição validada no CADMADEIRA, em conformidade com o Decreto supracitado;</w:t>
      </w:r>
    </w:p>
    <w:p w14:paraId="3E007B12">
      <w:pPr>
        <w:ind w:left="284"/>
        <w:jc w:val="both"/>
        <w:rPr>
          <w:rFonts w:ascii="Arial" w:hAnsi="Arial" w:cs="Arial"/>
          <w:i/>
          <w:iCs/>
          <w:color w:val="auto"/>
          <w:sz w:val="20"/>
          <w:szCs w:val="20"/>
        </w:rPr>
      </w:pPr>
    </w:p>
    <w:p w14:paraId="337E28DF">
      <w:pPr>
        <w:ind w:left="284"/>
        <w:jc w:val="both"/>
        <w:rPr>
          <w:rFonts w:ascii="Arial" w:hAnsi="Arial" w:cs="Arial"/>
          <w:i/>
          <w:iCs/>
          <w:color w:val="auto"/>
          <w:sz w:val="20"/>
          <w:szCs w:val="20"/>
        </w:rPr>
      </w:pPr>
      <w:r>
        <w:rPr>
          <w:rFonts w:ascii="Arial" w:hAnsi="Arial" w:cs="Arial"/>
          <w:i/>
          <w:iCs/>
          <w:color w:val="auto"/>
          <w:sz w:val="20"/>
          <w:szCs w:val="20"/>
        </w:rPr>
        <w:t xml:space="preserve">c) no caso de utilização na execução do objeto deste certame de produtos ou subprodutos de origem mineral referidos no § 1º do artigo 1º do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"http://www.legislacao.sp.gov.br/legislacao/dg280202.nsf/5fb5269ed17b47ab83256cfb00501469/946f72bd9fe1638303258927006b3944?OpenDocument&amp;Highlight=0,67.409" </w:instrText>
      </w:r>
      <w:r>
        <w:rPr>
          <w:color w:val="auto"/>
        </w:rPr>
        <w:fldChar w:fldCharType="separate"/>
      </w:r>
      <w:r>
        <w:rPr>
          <w:rFonts w:ascii="Arial" w:hAnsi="Arial" w:cs="Arial"/>
          <w:i/>
          <w:iCs/>
          <w:color w:val="auto"/>
          <w:sz w:val="20"/>
          <w:szCs w:val="20"/>
          <w:u w:val="single"/>
        </w:rPr>
        <w:t>Decreto estadual nº 67.409, de 28 de dezembro de 2022</w:t>
      </w:r>
      <w:r>
        <w:rPr>
          <w:rFonts w:ascii="Arial" w:hAnsi="Arial" w:cs="Arial"/>
          <w:i/>
          <w:iCs/>
          <w:color w:val="auto"/>
          <w:sz w:val="20"/>
          <w:szCs w:val="20"/>
          <w:u w:val="single"/>
        </w:rPr>
        <w:fldChar w:fldCharType="end"/>
      </w:r>
      <w:r>
        <w:rPr>
          <w:rFonts w:ascii="Arial" w:hAnsi="Arial" w:cs="Arial"/>
          <w:i/>
          <w:iCs/>
          <w:color w:val="auto"/>
          <w:sz w:val="20"/>
          <w:szCs w:val="20"/>
        </w:rPr>
        <w:t>, cumprirá a obrigação de proceder às respectivas aquisições de pessoa jurídica com inscrição validada no CADMINÉRIO, em conformidade com o Decreto supracitado;</w:t>
      </w:r>
    </w:p>
    <w:p w14:paraId="09F2C9DB">
      <w:pPr>
        <w:ind w:left="284"/>
        <w:jc w:val="both"/>
        <w:rPr>
          <w:rFonts w:ascii="Arial" w:hAnsi="Arial" w:cs="Arial"/>
          <w:i/>
          <w:iCs/>
          <w:color w:val="auto"/>
          <w:sz w:val="20"/>
          <w:szCs w:val="20"/>
        </w:rPr>
      </w:pPr>
    </w:p>
    <w:p w14:paraId="42369E0A">
      <w:pPr>
        <w:ind w:left="284"/>
        <w:jc w:val="both"/>
        <w:rPr>
          <w:rFonts w:ascii="Arial" w:hAnsi="Arial" w:cs="Arial"/>
          <w:i/>
          <w:iCs/>
          <w:color w:val="auto"/>
          <w:sz w:val="20"/>
          <w:szCs w:val="20"/>
        </w:rPr>
      </w:pPr>
      <w:r>
        <w:rPr>
          <w:rFonts w:ascii="Arial" w:hAnsi="Arial" w:cs="Arial"/>
          <w:i/>
          <w:iCs/>
          <w:color w:val="auto"/>
          <w:sz w:val="20"/>
          <w:szCs w:val="20"/>
        </w:rPr>
        <w:t xml:space="preserve">d) tem ciência de que o descumprimento do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"http://www.legislacao.sp.gov.br/legislacao/dg280202.nsf/5fb5269ed17b47ab83256cfb00501469/db61e8308486d1830325885c004a93e8?OpenDocument&amp;Highlight=0,66.819" </w:instrText>
      </w:r>
      <w:r>
        <w:rPr>
          <w:color w:val="auto"/>
        </w:rPr>
        <w:fldChar w:fldCharType="separate"/>
      </w:r>
      <w:r>
        <w:rPr>
          <w:rFonts w:ascii="Arial" w:hAnsi="Arial" w:cs="Arial"/>
          <w:i/>
          <w:iCs/>
          <w:color w:val="auto"/>
          <w:sz w:val="20"/>
          <w:szCs w:val="20"/>
          <w:u w:val="single"/>
        </w:rPr>
        <w:t>Decreto estadual n° 66.819</w:t>
      </w:r>
      <w:r>
        <w:rPr>
          <w:rStyle w:val="15"/>
          <w:rFonts w:ascii="Arial" w:hAnsi="Arial" w:cs="Arial"/>
          <w:i/>
          <w:iCs/>
          <w:color w:val="auto"/>
          <w:sz w:val="20"/>
          <w:szCs w:val="20"/>
        </w:rPr>
        <w:t>, de 2022</w:t>
      </w:r>
      <w:r>
        <w:rPr>
          <w:rStyle w:val="15"/>
          <w:rFonts w:ascii="Arial" w:hAnsi="Arial" w:cs="Arial"/>
          <w:i/>
          <w:iCs/>
          <w:color w:val="auto"/>
          <w:sz w:val="20"/>
          <w:szCs w:val="20"/>
        </w:rPr>
        <w:fldChar w:fldCharType="end"/>
      </w:r>
      <w:r>
        <w:rPr>
          <w:rFonts w:ascii="Arial" w:hAnsi="Arial" w:cs="Arial"/>
          <w:i/>
          <w:iCs/>
          <w:color w:val="auto"/>
          <w:sz w:val="20"/>
          <w:szCs w:val="20"/>
        </w:rPr>
        <w:t xml:space="preserve">, ou do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"http://www.legislacao.sp.gov.br/legislacao/dg280202.nsf/5fb5269ed17b47ab83256cfb00501469/946f72bd9fe1638303258927006b3944?OpenDocument&amp;Highlight=0,67.409" </w:instrText>
      </w:r>
      <w:r>
        <w:rPr>
          <w:color w:val="auto"/>
        </w:rPr>
        <w:fldChar w:fldCharType="separate"/>
      </w:r>
      <w:r>
        <w:rPr>
          <w:rFonts w:ascii="Arial" w:hAnsi="Arial" w:cs="Arial"/>
          <w:i/>
          <w:iCs/>
          <w:color w:val="auto"/>
          <w:sz w:val="20"/>
          <w:szCs w:val="20"/>
          <w:u w:val="single"/>
        </w:rPr>
        <w:t>Decreto estadual n° 67.409</w:t>
      </w:r>
      <w:r>
        <w:rPr>
          <w:rStyle w:val="15"/>
          <w:rFonts w:ascii="Arial" w:hAnsi="Arial" w:cs="Arial"/>
          <w:i/>
          <w:iCs/>
          <w:color w:val="auto"/>
          <w:sz w:val="20"/>
          <w:szCs w:val="20"/>
        </w:rPr>
        <w:t>, de 2022</w:t>
      </w:r>
      <w:r>
        <w:rPr>
          <w:rStyle w:val="15"/>
          <w:rFonts w:ascii="Arial" w:hAnsi="Arial" w:cs="Arial"/>
          <w:i/>
          <w:iCs/>
          <w:color w:val="auto"/>
          <w:sz w:val="20"/>
          <w:szCs w:val="20"/>
        </w:rPr>
        <w:fldChar w:fldCharType="end"/>
      </w:r>
      <w:r>
        <w:rPr>
          <w:rFonts w:ascii="Arial" w:hAnsi="Arial" w:cs="Arial"/>
          <w:i/>
          <w:iCs/>
          <w:color w:val="auto"/>
          <w:sz w:val="20"/>
          <w:szCs w:val="20"/>
        </w:rPr>
        <w:t>, poderá acarretar a extinção do contrato por ato unilateral da Administração, bem como a aplicação das sanções administrativas cabíveis, observadas as normas legais e regulamentares pertinentes, independentemente da responsabilização na esfera criminal; e</w:t>
      </w:r>
    </w:p>
    <w:p w14:paraId="4459CA69">
      <w:pPr>
        <w:ind w:left="284"/>
        <w:jc w:val="both"/>
        <w:rPr>
          <w:rFonts w:ascii="Arial" w:hAnsi="Arial" w:cs="Arial"/>
          <w:i/>
          <w:iCs/>
          <w:color w:val="auto"/>
          <w:sz w:val="20"/>
          <w:szCs w:val="20"/>
        </w:rPr>
      </w:pPr>
    </w:p>
    <w:p w14:paraId="43B703BF">
      <w:pPr>
        <w:ind w:left="284"/>
        <w:jc w:val="both"/>
        <w:rPr>
          <w:rFonts w:ascii="Arial" w:hAnsi="Arial" w:cs="Arial"/>
          <w:i/>
          <w:iCs/>
          <w:color w:val="auto"/>
          <w:sz w:val="20"/>
          <w:szCs w:val="20"/>
        </w:rPr>
      </w:pPr>
      <w:r>
        <w:rPr>
          <w:rFonts w:ascii="Arial" w:hAnsi="Arial" w:cs="Arial"/>
          <w:i/>
          <w:iCs/>
          <w:color w:val="auto"/>
          <w:sz w:val="20"/>
          <w:szCs w:val="20"/>
        </w:rPr>
        <w:t xml:space="preserve">e) se compromete a cumprir o disposto na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"http://www.legislacao.sp.gov.br/legislacao/dg280202.nsf/ae9f9e0701e533aa032572e6006cf5fd/3c36395bd80d86b2032573250051e6c9?OpenDocument&amp;Highlight=0,12.684" </w:instrText>
      </w:r>
      <w:r>
        <w:rPr>
          <w:color w:val="auto"/>
        </w:rPr>
        <w:fldChar w:fldCharType="separate"/>
      </w:r>
      <w:r>
        <w:rPr>
          <w:rFonts w:ascii="Arial" w:hAnsi="Arial" w:cs="Arial"/>
          <w:i/>
          <w:iCs/>
          <w:color w:val="auto"/>
          <w:sz w:val="20"/>
          <w:szCs w:val="20"/>
          <w:u w:val="single"/>
        </w:rPr>
        <w:t>Lei estadual nº 12.684, de 26 de julho de 2007</w:t>
      </w:r>
      <w:r>
        <w:rPr>
          <w:rFonts w:ascii="Arial" w:hAnsi="Arial" w:cs="Arial"/>
          <w:i/>
          <w:iCs/>
          <w:color w:val="auto"/>
          <w:sz w:val="20"/>
          <w:szCs w:val="20"/>
          <w:u w:val="single"/>
        </w:rPr>
        <w:fldChar w:fldCharType="end"/>
      </w:r>
      <w:r>
        <w:rPr>
          <w:rFonts w:ascii="Arial" w:hAnsi="Arial" w:cs="Arial"/>
          <w:i/>
          <w:iCs/>
          <w:color w:val="auto"/>
          <w:sz w:val="20"/>
          <w:szCs w:val="20"/>
        </w:rPr>
        <w:t>, a qual proíbe o uso, no Estado de São Paulo, de produtos, materiais ou artefatos que contenham quaisquer tipos de amianto ou asbesto ou outros minerais que, acidentalmente, tenham fibras de amianto na sua composição.</w:t>
      </w:r>
    </w:p>
    <w:p w14:paraId="38849621">
      <w:pPr>
        <w:rPr>
          <w:color w:val="auto"/>
        </w:rPr>
      </w:pPr>
    </w:p>
    <w:p w14:paraId="037B4076">
      <w:pPr>
        <w:rPr>
          <w:color w:val="auto"/>
        </w:rPr>
      </w:pPr>
    </w:p>
    <w:p w14:paraId="7E8E14B4">
      <w:pPr>
        <w:rPr>
          <w:color w:val="auto"/>
        </w:rPr>
      </w:pPr>
    </w:p>
    <w:p w14:paraId="0413142F">
      <w:pPr>
        <w:rPr>
          <w:color w:val="auto"/>
        </w:rPr>
      </w:pPr>
    </w:p>
    <w:p w14:paraId="44CCA09F">
      <w:pPr>
        <w:jc w:val="center"/>
        <w:rPr>
          <w:rFonts w:ascii="Arial" w:hAnsi="Arial" w:cs="Arial"/>
          <w:i/>
          <w:iCs/>
          <w:color w:val="auto"/>
          <w:sz w:val="20"/>
          <w:szCs w:val="20"/>
        </w:rPr>
      </w:pPr>
      <w:r>
        <w:rPr>
          <w:rFonts w:ascii="Arial" w:hAnsi="Arial" w:cs="Arial"/>
          <w:i/>
          <w:iCs/>
          <w:color w:val="auto"/>
          <w:sz w:val="20"/>
          <w:szCs w:val="20"/>
        </w:rPr>
        <w:t>(Local e data).</w:t>
      </w:r>
    </w:p>
    <w:p w14:paraId="793AD59D">
      <w:pPr>
        <w:jc w:val="center"/>
        <w:rPr>
          <w:rFonts w:ascii="Arial" w:hAnsi="Arial" w:cs="Arial"/>
          <w:i/>
          <w:iCs/>
          <w:color w:val="auto"/>
          <w:sz w:val="20"/>
          <w:szCs w:val="20"/>
        </w:rPr>
      </w:pPr>
    </w:p>
    <w:p w14:paraId="6121F0C7">
      <w:pPr>
        <w:jc w:val="center"/>
        <w:rPr>
          <w:rFonts w:ascii="Arial" w:hAnsi="Arial" w:cs="Arial"/>
          <w:i/>
          <w:iCs/>
          <w:color w:val="auto"/>
          <w:sz w:val="20"/>
          <w:szCs w:val="20"/>
        </w:rPr>
      </w:pPr>
      <w:r>
        <w:rPr>
          <w:rFonts w:ascii="Arial" w:hAnsi="Arial" w:cs="Arial"/>
          <w:i/>
          <w:iCs/>
          <w:color w:val="auto"/>
          <w:sz w:val="20"/>
          <w:szCs w:val="20"/>
        </w:rPr>
        <w:t>_______________________________</w:t>
      </w:r>
    </w:p>
    <w:p w14:paraId="6E1EEF29">
      <w:pPr>
        <w:jc w:val="center"/>
        <w:rPr>
          <w:rFonts w:ascii="Arial" w:hAnsi="Arial" w:cs="Arial"/>
          <w:i/>
          <w:iCs/>
          <w:color w:val="auto"/>
          <w:sz w:val="20"/>
          <w:szCs w:val="20"/>
        </w:rPr>
      </w:pPr>
      <w:r>
        <w:rPr>
          <w:rFonts w:ascii="Arial" w:hAnsi="Arial" w:cs="Arial"/>
          <w:i/>
          <w:iCs/>
          <w:color w:val="auto"/>
          <w:sz w:val="20"/>
          <w:szCs w:val="20"/>
        </w:rPr>
        <w:t xml:space="preserve">(Nome/assinatura do representante </w:t>
      </w:r>
      <w:commentRangeStart w:id="0"/>
      <w:r>
        <w:rPr>
          <w:rFonts w:ascii="Arial" w:hAnsi="Arial" w:cs="Arial"/>
          <w:i/>
          <w:iCs/>
          <w:color w:val="auto"/>
          <w:sz w:val="20"/>
          <w:szCs w:val="20"/>
        </w:rPr>
        <w:t>legal</w:t>
      </w:r>
      <w:commentRangeEnd w:id="0"/>
      <w:r>
        <w:rPr>
          <w:rStyle w:val="14"/>
          <w:color w:val="auto"/>
        </w:rPr>
        <w:commentReference w:id="0"/>
      </w:r>
      <w:r>
        <w:rPr>
          <w:rFonts w:ascii="Arial" w:hAnsi="Arial" w:cs="Arial"/>
          <w:i/>
          <w:iCs/>
          <w:color w:val="auto"/>
          <w:sz w:val="20"/>
          <w:szCs w:val="20"/>
        </w:rPr>
        <w:t>)</w:t>
      </w:r>
    </w:p>
    <w:p w14:paraId="70555BC7">
      <w:pPr>
        <w:rPr>
          <w:rFonts w:ascii="Arial" w:hAnsi="Arial" w:cs="Arial"/>
          <w:color w:val="auto"/>
          <w:sz w:val="20"/>
          <w:szCs w:val="20"/>
        </w:rPr>
      </w:pPr>
    </w:p>
    <w:p w14:paraId="751E4A1C">
      <w:pPr>
        <w:rPr>
          <w:color w:val="auto"/>
        </w:rPr>
      </w:pPr>
    </w:p>
    <w:p w14:paraId="366F058F">
      <w:pPr>
        <w:rPr>
          <w:color w:val="auto"/>
        </w:rPr>
      </w:pPr>
    </w:p>
    <w:p w14:paraId="615AE650">
      <w:pPr>
        <w:rPr>
          <w:color w:val="auto"/>
        </w:rPr>
      </w:pPr>
    </w:p>
    <w:p w14:paraId="21DED4A8">
      <w:pPr>
        <w:rPr>
          <w:color w:val="auto"/>
        </w:rPr>
      </w:pPr>
    </w:p>
    <w:p w14:paraId="7D7B98AD">
      <w:pPr>
        <w:rPr>
          <w:color w:val="auto"/>
        </w:rPr>
      </w:pPr>
    </w:p>
    <w:p w14:paraId="0A868E46">
      <w:pPr>
        <w:rPr>
          <w:color w:val="auto"/>
        </w:rPr>
      </w:pPr>
    </w:p>
    <w:p w14:paraId="34DA1D3C">
      <w:pPr>
        <w:rPr>
          <w:color w:val="auto"/>
        </w:rPr>
      </w:pPr>
    </w:p>
    <w:p w14:paraId="7F9639A5">
      <w:pPr>
        <w:rPr>
          <w:color w:val="auto"/>
        </w:rPr>
      </w:pPr>
    </w:p>
    <w:p w14:paraId="09C8E275">
      <w:pPr>
        <w:rPr>
          <w:color w:val="auto"/>
        </w:rPr>
      </w:pPr>
    </w:p>
    <w:p w14:paraId="28BA2D3C">
      <w:pPr>
        <w:rPr>
          <w:color w:val="auto"/>
        </w:rPr>
      </w:pPr>
    </w:p>
    <w:p w14:paraId="4E347B01">
      <w:pPr>
        <w:rPr>
          <w:color w:val="auto"/>
        </w:rPr>
      </w:pPr>
    </w:p>
    <w:sectPr>
      <w:headerReference r:id="rId5" w:type="default"/>
      <w:footerReference r:id="rId6" w:type="default"/>
      <w:pgSz w:w="11900" w:h="16840"/>
      <w:pgMar w:top="1440" w:right="701" w:bottom="1440" w:left="851" w:header="567" w:footer="567" w:gutter="0"/>
      <w:cols w:space="708" w:num="1"/>
      <w:docGrid w:linePitch="360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ESP" w:date="2024-05-29T16:32:00Z" w:initials="ESP">
    <w:p w14:paraId="2DDEC2E0">
      <w:pPr>
        <w:pStyle w:val="17"/>
      </w:pPr>
      <w:r>
        <w:rPr>
          <w:b/>
          <w:bCs/>
        </w:rPr>
        <w:t>NOTA PARA USO DA MINUTA PADRONIZADA</w:t>
      </w:r>
    </w:p>
    <w:p w14:paraId="55E6DAB9">
      <w:pPr>
        <w:pStyle w:val="17"/>
      </w:pPr>
    </w:p>
    <w:p w14:paraId="36EA8B27">
      <w:pPr>
        <w:pStyle w:val="17"/>
      </w:pPr>
      <w:r>
        <w:t>1) A Administração poderá incluir outros subanexos no Anexo concernente a modelo(s) de declaração(ões), conforme tenha feito a exigência de declarações adicionais na documentação que compõe o Edital. Para que cada Anexo fique em uma página diferente, poderá ser inserida “quebra de página” antes do início do texto.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36EA8B27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9ACB04">
    <w:pPr>
      <w:rPr>
        <w:rFonts w:ascii="Verdana" w:hAnsi="Verdana" w:eastAsia="Times New Roman" w:cs="Times New Roman"/>
        <w:b/>
        <w:color w:val="000000"/>
        <w:sz w:val="16"/>
        <w:szCs w:val="16"/>
        <w:lang w:val="en-US"/>
      </w:rPr>
    </w:pPr>
  </w:p>
  <w:p w14:paraId="2E6B2D33">
    <w:pPr>
      <w:pStyle w:val="19"/>
      <w:jc w:val="center"/>
      <w:rPr>
        <w:rFonts w:ascii="Verdana" w:hAnsi="Verdana"/>
        <w:b/>
        <w:sz w:val="16"/>
        <w:szCs w:val="16"/>
        <w:u w:val="single"/>
      </w:rPr>
    </w:pPr>
    <w:r>
      <w:rPr>
        <w:rFonts w:ascii="Verdana" w:hAnsi="Verdana"/>
        <w:b/>
        <w:sz w:val="16"/>
        <w:szCs w:val="16"/>
        <w:u w:val="single"/>
      </w:rPr>
      <w:t>Coordenadoria de Unidades Prisionais da Região Metropolitana de São Paulo</w:t>
    </w:r>
  </w:p>
  <w:p w14:paraId="60B1C1B6">
    <w:pPr>
      <w:pStyle w:val="20"/>
      <w:jc w:val="center"/>
      <w:rPr>
        <w:rFonts w:hint="default" w:ascii="Verdana" w:hAnsi="Verdana"/>
        <w:sz w:val="16"/>
        <w:szCs w:val="16"/>
        <w:lang w:val="pt-BR"/>
      </w:rPr>
    </w:pPr>
    <w:r>
      <w:rPr>
        <w:rFonts w:hint="default" w:ascii="Verdana" w:hAnsi="Verdana"/>
        <w:sz w:val="16"/>
        <w:szCs w:val="16"/>
        <w:lang w:val="pt-BR"/>
      </w:rPr>
      <w:t>Complexo Penal II de Guarulhos</w:t>
    </w:r>
  </w:p>
  <w:p w14:paraId="151B8148">
    <w:pPr>
      <w:pStyle w:val="20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Rua José Marques Prata, 94–Várzea do Palácio – Guarulhos/SP – CEP: 07034-090</w:t>
    </w:r>
  </w:p>
  <w:p w14:paraId="5B3B55D6">
    <w:pPr>
      <w:pStyle w:val="20"/>
      <w:jc w:val="center"/>
    </w:pPr>
    <w:r>
      <w:rPr>
        <w:rFonts w:ascii="Verdana" w:hAnsi="Verdana"/>
        <w:sz w:val="16"/>
        <w:szCs w:val="16"/>
      </w:rPr>
      <w:t>Tel.: (11) 2</w:t>
    </w:r>
    <w:r>
      <w:rPr>
        <w:rFonts w:hint="default" w:ascii="Verdana" w:hAnsi="Verdana"/>
        <w:sz w:val="16"/>
        <w:szCs w:val="16"/>
        <w:lang w:val="pt-BR"/>
      </w:rPr>
      <w:t>413-3873</w:t>
    </w:r>
    <w:r>
      <w:rPr>
        <w:rFonts w:ascii="Verdana" w:hAnsi="Verdana"/>
        <w:sz w:val="16"/>
        <w:szCs w:val="16"/>
      </w:rPr>
      <w:t xml:space="preserve"> – e-mail: </w:t>
    </w:r>
    <w:r>
      <w:rPr>
        <w:rFonts w:hint="default" w:ascii="Verdana" w:hAnsi="Verdana"/>
        <w:sz w:val="16"/>
        <w:szCs w:val="16"/>
        <w:lang w:val="pt-BR"/>
      </w:rPr>
      <w:t>adm</w:t>
    </w:r>
    <w:r>
      <w:rPr>
        <w:rFonts w:ascii="Verdana" w:hAnsi="Verdana"/>
        <w:sz w:val="16"/>
        <w:szCs w:val="16"/>
      </w:rPr>
      <w:t>@cdp</w:t>
    </w:r>
    <w:r>
      <w:rPr>
        <w:rFonts w:hint="default" w:ascii="Verdana" w:hAnsi="Verdana"/>
        <w:sz w:val="16"/>
        <w:szCs w:val="16"/>
        <w:lang w:val="pt-BR"/>
      </w:rPr>
      <w:t>2</w:t>
    </w:r>
    <w:r>
      <w:rPr>
        <w:rFonts w:ascii="Verdana" w:hAnsi="Verdana"/>
        <w:sz w:val="16"/>
        <w:szCs w:val="16"/>
      </w:rPr>
      <w:t>guarulhos.sap.sp.gov.br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B28747">
    <w:pPr>
      <w:pStyle w:val="19"/>
      <w:jc w:val="right"/>
      <w:rPr>
        <w:lang w:eastAsia="pt-BR"/>
      </w:rPr>
    </w:pPr>
    <w:r>
      <w:rPr>
        <w:rFonts w:ascii="Verdana" w:hAnsi="Verdana"/>
        <w:b/>
        <w:sz w:val="1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4991100</wp:posOffset>
          </wp:positionH>
          <wp:positionV relativeFrom="paragraph">
            <wp:posOffset>-102870</wp:posOffset>
          </wp:positionV>
          <wp:extent cx="1786255" cy="400685"/>
          <wp:effectExtent l="0" t="0" r="0" b="0"/>
          <wp:wrapSquare wrapText="bothSides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6270" cy="4006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23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ESP">
    <w15:presenceInfo w15:providerId="None" w15:userId="ESP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75F"/>
    <w:rsid w:val="000057AE"/>
    <w:rsid w:val="00022D9E"/>
    <w:rsid w:val="000260AB"/>
    <w:rsid w:val="00036D43"/>
    <w:rsid w:val="00040AE8"/>
    <w:rsid w:val="00083C6C"/>
    <w:rsid w:val="00094D42"/>
    <w:rsid w:val="000957FF"/>
    <w:rsid w:val="00097586"/>
    <w:rsid w:val="000A255B"/>
    <w:rsid w:val="000B1CBC"/>
    <w:rsid w:val="000C175F"/>
    <w:rsid w:val="000C28A6"/>
    <w:rsid w:val="000C40A3"/>
    <w:rsid w:val="000E41C4"/>
    <w:rsid w:val="000F46A8"/>
    <w:rsid w:val="001003D1"/>
    <w:rsid w:val="00106B98"/>
    <w:rsid w:val="00110CEF"/>
    <w:rsid w:val="001374E5"/>
    <w:rsid w:val="00137B4F"/>
    <w:rsid w:val="00147272"/>
    <w:rsid w:val="00151C3C"/>
    <w:rsid w:val="001524E6"/>
    <w:rsid w:val="001814B1"/>
    <w:rsid w:val="001A2248"/>
    <w:rsid w:val="001A4F8F"/>
    <w:rsid w:val="001B0E6D"/>
    <w:rsid w:val="001C514E"/>
    <w:rsid w:val="001D5483"/>
    <w:rsid w:val="001E4F74"/>
    <w:rsid w:val="00200026"/>
    <w:rsid w:val="002130B8"/>
    <w:rsid w:val="00227871"/>
    <w:rsid w:val="002375FF"/>
    <w:rsid w:val="002458B7"/>
    <w:rsid w:val="00274D93"/>
    <w:rsid w:val="00286E67"/>
    <w:rsid w:val="002A79EE"/>
    <w:rsid w:val="002B6CD7"/>
    <w:rsid w:val="002B7F41"/>
    <w:rsid w:val="002C48BA"/>
    <w:rsid w:val="002E38D8"/>
    <w:rsid w:val="002E47CD"/>
    <w:rsid w:val="00307803"/>
    <w:rsid w:val="00312747"/>
    <w:rsid w:val="003155E6"/>
    <w:rsid w:val="003217FC"/>
    <w:rsid w:val="00323E7B"/>
    <w:rsid w:val="003421E1"/>
    <w:rsid w:val="003506ED"/>
    <w:rsid w:val="00361563"/>
    <w:rsid w:val="0036262F"/>
    <w:rsid w:val="003664ED"/>
    <w:rsid w:val="00367587"/>
    <w:rsid w:val="00380E53"/>
    <w:rsid w:val="003A0269"/>
    <w:rsid w:val="003C04B9"/>
    <w:rsid w:val="003C6DB1"/>
    <w:rsid w:val="003D2A45"/>
    <w:rsid w:val="003F1155"/>
    <w:rsid w:val="00410E1F"/>
    <w:rsid w:val="00422ACD"/>
    <w:rsid w:val="00426FF3"/>
    <w:rsid w:val="00442CEF"/>
    <w:rsid w:val="00443854"/>
    <w:rsid w:val="00466D2A"/>
    <w:rsid w:val="0047396B"/>
    <w:rsid w:val="00473F2A"/>
    <w:rsid w:val="004921EA"/>
    <w:rsid w:val="004B2FA9"/>
    <w:rsid w:val="004B68ED"/>
    <w:rsid w:val="004C1C5E"/>
    <w:rsid w:val="004D4A10"/>
    <w:rsid w:val="004D7BB6"/>
    <w:rsid w:val="004F505B"/>
    <w:rsid w:val="0050360C"/>
    <w:rsid w:val="00525FF3"/>
    <w:rsid w:val="00527F7B"/>
    <w:rsid w:val="00545C46"/>
    <w:rsid w:val="00557314"/>
    <w:rsid w:val="005724DE"/>
    <w:rsid w:val="005758BE"/>
    <w:rsid w:val="0058169E"/>
    <w:rsid w:val="005A56AD"/>
    <w:rsid w:val="005B02BC"/>
    <w:rsid w:val="005B44AA"/>
    <w:rsid w:val="005C73CB"/>
    <w:rsid w:val="005D2403"/>
    <w:rsid w:val="005D68F3"/>
    <w:rsid w:val="006139D4"/>
    <w:rsid w:val="00615718"/>
    <w:rsid w:val="0062021D"/>
    <w:rsid w:val="0063454C"/>
    <w:rsid w:val="00651D6C"/>
    <w:rsid w:val="006708F1"/>
    <w:rsid w:val="006709A3"/>
    <w:rsid w:val="00682DED"/>
    <w:rsid w:val="00685356"/>
    <w:rsid w:val="00687602"/>
    <w:rsid w:val="006954C7"/>
    <w:rsid w:val="006A34DD"/>
    <w:rsid w:val="006C4145"/>
    <w:rsid w:val="006D626D"/>
    <w:rsid w:val="006E0C72"/>
    <w:rsid w:val="006E1E9B"/>
    <w:rsid w:val="00712F1C"/>
    <w:rsid w:val="0073705C"/>
    <w:rsid w:val="007416D6"/>
    <w:rsid w:val="00744631"/>
    <w:rsid w:val="0075200E"/>
    <w:rsid w:val="007973F9"/>
    <w:rsid w:val="007B275D"/>
    <w:rsid w:val="007D176D"/>
    <w:rsid w:val="007D6F4C"/>
    <w:rsid w:val="007E6F30"/>
    <w:rsid w:val="0081555B"/>
    <w:rsid w:val="00832830"/>
    <w:rsid w:val="00843A09"/>
    <w:rsid w:val="00846B2A"/>
    <w:rsid w:val="00856829"/>
    <w:rsid w:val="008A6E3E"/>
    <w:rsid w:val="008D7AC0"/>
    <w:rsid w:val="008E027F"/>
    <w:rsid w:val="008E629E"/>
    <w:rsid w:val="00933564"/>
    <w:rsid w:val="009338F5"/>
    <w:rsid w:val="00934392"/>
    <w:rsid w:val="009373D1"/>
    <w:rsid w:val="0094213A"/>
    <w:rsid w:val="00942444"/>
    <w:rsid w:val="00943637"/>
    <w:rsid w:val="00956338"/>
    <w:rsid w:val="009634CF"/>
    <w:rsid w:val="00980B20"/>
    <w:rsid w:val="00981B4F"/>
    <w:rsid w:val="0099543B"/>
    <w:rsid w:val="009A4E4C"/>
    <w:rsid w:val="009B272E"/>
    <w:rsid w:val="009B2AAB"/>
    <w:rsid w:val="009F49C7"/>
    <w:rsid w:val="009F621D"/>
    <w:rsid w:val="009F736F"/>
    <w:rsid w:val="00A02C24"/>
    <w:rsid w:val="00A17F99"/>
    <w:rsid w:val="00A277B0"/>
    <w:rsid w:val="00A3335F"/>
    <w:rsid w:val="00A554E0"/>
    <w:rsid w:val="00A60D59"/>
    <w:rsid w:val="00A63CE4"/>
    <w:rsid w:val="00A74FC6"/>
    <w:rsid w:val="00A85F6F"/>
    <w:rsid w:val="00AB79A9"/>
    <w:rsid w:val="00AD0803"/>
    <w:rsid w:val="00AD751C"/>
    <w:rsid w:val="00AE643B"/>
    <w:rsid w:val="00AF6403"/>
    <w:rsid w:val="00B005C3"/>
    <w:rsid w:val="00B142F5"/>
    <w:rsid w:val="00B1463E"/>
    <w:rsid w:val="00B1567A"/>
    <w:rsid w:val="00B34AFE"/>
    <w:rsid w:val="00B4332F"/>
    <w:rsid w:val="00B4585D"/>
    <w:rsid w:val="00B56CD7"/>
    <w:rsid w:val="00B64B8D"/>
    <w:rsid w:val="00B72ED8"/>
    <w:rsid w:val="00B7431A"/>
    <w:rsid w:val="00B85118"/>
    <w:rsid w:val="00BA62B3"/>
    <w:rsid w:val="00BB18E3"/>
    <w:rsid w:val="00BB4082"/>
    <w:rsid w:val="00BE2667"/>
    <w:rsid w:val="00BE2ABF"/>
    <w:rsid w:val="00BF5C72"/>
    <w:rsid w:val="00C42473"/>
    <w:rsid w:val="00C86719"/>
    <w:rsid w:val="00CD4881"/>
    <w:rsid w:val="00CD725C"/>
    <w:rsid w:val="00CE4F7C"/>
    <w:rsid w:val="00D0051C"/>
    <w:rsid w:val="00D02232"/>
    <w:rsid w:val="00D10419"/>
    <w:rsid w:val="00D10AF1"/>
    <w:rsid w:val="00D12E6F"/>
    <w:rsid w:val="00D13519"/>
    <w:rsid w:val="00D229EE"/>
    <w:rsid w:val="00D26172"/>
    <w:rsid w:val="00D31529"/>
    <w:rsid w:val="00D34508"/>
    <w:rsid w:val="00D51F82"/>
    <w:rsid w:val="00D56147"/>
    <w:rsid w:val="00D6789A"/>
    <w:rsid w:val="00D72C9D"/>
    <w:rsid w:val="00DA2D26"/>
    <w:rsid w:val="00DB7144"/>
    <w:rsid w:val="00E00254"/>
    <w:rsid w:val="00E01A34"/>
    <w:rsid w:val="00E01A78"/>
    <w:rsid w:val="00E337C3"/>
    <w:rsid w:val="00E44C90"/>
    <w:rsid w:val="00E53F2E"/>
    <w:rsid w:val="00E56216"/>
    <w:rsid w:val="00E65CD6"/>
    <w:rsid w:val="00E75A18"/>
    <w:rsid w:val="00E97AA4"/>
    <w:rsid w:val="00EC0F11"/>
    <w:rsid w:val="00EC60A3"/>
    <w:rsid w:val="00ED54E1"/>
    <w:rsid w:val="00EF56C0"/>
    <w:rsid w:val="00F06E78"/>
    <w:rsid w:val="00F07230"/>
    <w:rsid w:val="00F10F6D"/>
    <w:rsid w:val="00F2443C"/>
    <w:rsid w:val="00F6054F"/>
    <w:rsid w:val="00F67E48"/>
    <w:rsid w:val="00FA60EB"/>
    <w:rsid w:val="00FA729D"/>
    <w:rsid w:val="00FB0062"/>
    <w:rsid w:val="00FB19C0"/>
    <w:rsid w:val="00FB5DAB"/>
    <w:rsid w:val="00FB6888"/>
    <w:rsid w:val="00FB73CF"/>
    <w:rsid w:val="00FC3E8E"/>
    <w:rsid w:val="00FC7BBF"/>
    <w:rsid w:val="00FD4321"/>
    <w:rsid w:val="00FE1A5E"/>
    <w:rsid w:val="0D50619C"/>
    <w:rsid w:val="21795EC2"/>
    <w:rsid w:val="4C0E02EC"/>
    <w:rsid w:val="5B4B0E48"/>
    <w:rsid w:val="7755570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4"/>
      <w:szCs w:val="24"/>
      <w:lang w:val="pt-BR" w:eastAsia="en-US" w:bidi="ar-SA"/>
    </w:rPr>
  </w:style>
  <w:style w:type="paragraph" w:styleId="2">
    <w:name w:val="heading 1"/>
    <w:basedOn w:val="1"/>
    <w:next w:val="1"/>
    <w:link w:val="27"/>
    <w:qFormat/>
    <w:uiPriority w:val="9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8"/>
    <w:unhideWhenUsed/>
    <w:qFormat/>
    <w:uiPriority w:val="9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9"/>
    <w:unhideWhenUsed/>
    <w:qFormat/>
    <w:uiPriority w:val="9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03864" w:themeColor="accent1" w:themeShade="80"/>
    </w:rPr>
  </w:style>
  <w:style w:type="paragraph" w:styleId="5">
    <w:name w:val="heading 4"/>
    <w:basedOn w:val="1"/>
    <w:next w:val="1"/>
    <w:link w:val="30"/>
    <w:unhideWhenUsed/>
    <w:qFormat/>
    <w:uiPriority w:val="9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31"/>
    <w:unhideWhenUsed/>
    <w:qFormat/>
    <w:uiPriority w:val="9"/>
    <w:pPr>
      <w:keepNext/>
      <w:keepLines/>
      <w:spacing w:before="40"/>
      <w:outlineLvl w:val="4"/>
    </w:pPr>
    <w:rPr>
      <w:rFonts w:asciiTheme="majorHAnsi" w:hAnsiTheme="majorHAnsi"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32"/>
    <w:unhideWhenUsed/>
    <w:qFormat/>
    <w:uiPriority w:val="9"/>
    <w:pPr>
      <w:keepNext/>
      <w:keepLines/>
      <w:spacing w:before="40"/>
      <w:outlineLvl w:val="5"/>
    </w:pPr>
    <w:rPr>
      <w:rFonts w:asciiTheme="majorHAnsi" w:hAnsiTheme="majorHAnsi" w:eastAsiaTheme="majorEastAsia" w:cstheme="majorBidi"/>
      <w:color w:val="203864" w:themeColor="accent1" w:themeShade="80"/>
    </w:rPr>
  </w:style>
  <w:style w:type="paragraph" w:styleId="8">
    <w:name w:val="heading 7"/>
    <w:basedOn w:val="1"/>
    <w:next w:val="1"/>
    <w:link w:val="33"/>
    <w:unhideWhenUsed/>
    <w:qFormat/>
    <w:uiPriority w:val="9"/>
    <w:pPr>
      <w:keepNext/>
      <w:keepLines/>
      <w:spacing w:before="40"/>
      <w:outlineLvl w:val="6"/>
    </w:pPr>
    <w:rPr>
      <w:rFonts w:asciiTheme="majorHAnsi" w:hAnsiTheme="majorHAnsi" w:eastAsiaTheme="majorEastAsia" w:cstheme="majorBidi"/>
      <w:i/>
      <w:iCs/>
      <w:color w:val="203864" w:themeColor="accent1" w:themeShade="80"/>
    </w:rPr>
  </w:style>
  <w:style w:type="paragraph" w:styleId="9">
    <w:name w:val="heading 8"/>
    <w:basedOn w:val="1"/>
    <w:next w:val="1"/>
    <w:link w:val="34"/>
    <w:unhideWhenUsed/>
    <w:qFormat/>
    <w:uiPriority w:val="9"/>
    <w:pPr>
      <w:keepNext/>
      <w:keepLines/>
      <w:spacing w:before="40"/>
      <w:outlineLvl w:val="7"/>
    </w:pPr>
    <w:rPr>
      <w:rFonts w:asciiTheme="majorHAnsi" w:hAnsiTheme="majorHAnsi" w:eastAsiaTheme="majorEastAsia" w:cstheme="majorBidi"/>
      <w:color w:val="262626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35"/>
    <w:unhideWhenUsed/>
    <w:qFormat/>
    <w:uiPriority w:val="9"/>
    <w:pPr>
      <w:keepNext/>
      <w:keepLines/>
      <w:spacing w:before="40"/>
      <w:outlineLvl w:val="8"/>
    </w:pPr>
    <w:rPr>
      <w:rFonts w:asciiTheme="majorHAnsi" w:hAnsiTheme="majorHAnsi" w:eastAsiaTheme="majorEastAsia" w:cstheme="majorBidi"/>
      <w:i/>
      <w:iCs/>
      <w:color w:val="262626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22"/>
    <w:rPr>
      <w:b/>
      <w:bCs/>
    </w:rPr>
  </w:style>
  <w:style w:type="character" w:styleId="14">
    <w:name w:val="annotation reference"/>
    <w:basedOn w:val="11"/>
    <w:unhideWhenUsed/>
    <w:qFormat/>
    <w:uiPriority w:val="0"/>
    <w:rPr>
      <w:sz w:val="16"/>
      <w:szCs w:val="16"/>
    </w:rPr>
  </w:style>
  <w:style w:type="character" w:styleId="15">
    <w:name w:val="Hyperlink"/>
    <w:qFormat/>
    <w:uiPriority w:val="99"/>
    <w:rPr>
      <w:color w:val="000080"/>
      <w:u w:val="single"/>
    </w:rPr>
  </w:style>
  <w:style w:type="paragraph" w:styleId="16">
    <w:name w:val="Body Text"/>
    <w:basedOn w:val="1"/>
    <w:link w:val="39"/>
    <w:qFormat/>
    <w:uiPriority w:val="1"/>
    <w:pPr>
      <w:widowControl w:val="0"/>
      <w:autoSpaceDE w:val="0"/>
      <w:autoSpaceDN w:val="0"/>
    </w:pPr>
    <w:rPr>
      <w:rFonts w:ascii="Verdana" w:hAnsi="Verdana" w:eastAsia="Verdana" w:cs="Verdana"/>
      <w:sz w:val="22"/>
      <w:szCs w:val="22"/>
      <w:lang w:val="pt-PT"/>
    </w:rPr>
  </w:style>
  <w:style w:type="paragraph" w:styleId="17">
    <w:name w:val="annotation text"/>
    <w:basedOn w:val="1"/>
    <w:unhideWhenUsed/>
    <w:qFormat/>
    <w:uiPriority w:val="0"/>
    <w:rPr>
      <w:sz w:val="20"/>
      <w:szCs w:val="20"/>
    </w:rPr>
  </w:style>
  <w:style w:type="paragraph" w:styleId="18">
    <w:name w:val="Title"/>
    <w:basedOn w:val="1"/>
    <w:next w:val="1"/>
    <w:link w:val="36"/>
    <w:qFormat/>
    <w:uiPriority w:val="1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9">
    <w:name w:val="header"/>
    <w:basedOn w:val="1"/>
    <w:link w:val="24"/>
    <w:unhideWhenUsed/>
    <w:qFormat/>
    <w:uiPriority w:val="99"/>
    <w:pPr>
      <w:tabs>
        <w:tab w:val="center" w:pos="4680"/>
        <w:tab w:val="right" w:pos="9360"/>
      </w:tabs>
    </w:pPr>
  </w:style>
  <w:style w:type="paragraph" w:styleId="20">
    <w:name w:val="footer"/>
    <w:basedOn w:val="1"/>
    <w:link w:val="25"/>
    <w:unhideWhenUsed/>
    <w:qFormat/>
    <w:uiPriority w:val="99"/>
    <w:pPr>
      <w:tabs>
        <w:tab w:val="center" w:pos="4680"/>
        <w:tab w:val="right" w:pos="9360"/>
      </w:tabs>
    </w:pPr>
  </w:style>
  <w:style w:type="paragraph" w:styleId="21">
    <w:name w:val="Balloon Text"/>
    <w:basedOn w:val="1"/>
    <w:link w:val="3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2">
    <w:name w:val="Subtitle"/>
    <w:basedOn w:val="1"/>
    <w:next w:val="1"/>
    <w:link w:val="37"/>
    <w:qFormat/>
    <w:uiPriority w:val="11"/>
    <w:pPr>
      <w:spacing w:after="160"/>
    </w:pPr>
    <w:rPr>
      <w:rFonts w:eastAsiaTheme="minorEastAsia"/>
      <w:color w:val="595959" w:themeColor="text1" w:themeTint="A6"/>
      <w:spacing w:val="15"/>
      <w:sz w:val="22"/>
      <w:szCs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3">
    <w:name w:val="List Bullet"/>
    <w:basedOn w:val="1"/>
    <w:unhideWhenUsed/>
    <w:qFormat/>
    <w:uiPriority w:val="99"/>
    <w:pPr>
      <w:numPr>
        <w:ilvl w:val="0"/>
        <w:numId w:val="1"/>
      </w:numPr>
      <w:contextualSpacing/>
    </w:pPr>
  </w:style>
  <w:style w:type="character" w:customStyle="1" w:styleId="24">
    <w:name w:val="Cabeçalho Char"/>
    <w:basedOn w:val="11"/>
    <w:link w:val="19"/>
    <w:qFormat/>
    <w:uiPriority w:val="99"/>
    <w:rPr>
      <w:lang w:val="pt-BR"/>
    </w:rPr>
  </w:style>
  <w:style w:type="character" w:customStyle="1" w:styleId="25">
    <w:name w:val="Rodapé Char"/>
    <w:basedOn w:val="11"/>
    <w:link w:val="20"/>
    <w:qFormat/>
    <w:uiPriority w:val="99"/>
    <w:rPr>
      <w:lang w:val="pt-BR"/>
    </w:rPr>
  </w:style>
  <w:style w:type="paragraph" w:styleId="26">
    <w:name w:val="No Spacing"/>
    <w:qFormat/>
    <w:uiPriority w:val="1"/>
    <w:rPr>
      <w:rFonts w:asciiTheme="minorHAnsi" w:hAnsiTheme="minorHAnsi" w:eastAsiaTheme="minorHAnsi" w:cstheme="minorBidi"/>
      <w:sz w:val="24"/>
      <w:szCs w:val="24"/>
      <w:lang w:val="pt-BR" w:eastAsia="en-US" w:bidi="ar-SA"/>
    </w:rPr>
  </w:style>
  <w:style w:type="character" w:customStyle="1" w:styleId="27">
    <w:name w:val="Título 1 Ch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pt-BR"/>
    </w:rPr>
  </w:style>
  <w:style w:type="character" w:customStyle="1" w:styleId="28">
    <w:name w:val="Título 2 Char"/>
    <w:basedOn w:val="11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pt-BR"/>
    </w:rPr>
  </w:style>
  <w:style w:type="character" w:customStyle="1" w:styleId="29">
    <w:name w:val="Título 3 Char"/>
    <w:basedOn w:val="11"/>
    <w:link w:val="4"/>
    <w:qFormat/>
    <w:uiPriority w:val="9"/>
    <w:rPr>
      <w:rFonts w:asciiTheme="majorHAnsi" w:hAnsiTheme="majorHAnsi" w:eastAsiaTheme="majorEastAsia" w:cstheme="majorBidi"/>
      <w:color w:val="203864" w:themeColor="accent1" w:themeShade="80"/>
      <w:lang w:val="pt-BR"/>
    </w:rPr>
  </w:style>
  <w:style w:type="character" w:customStyle="1" w:styleId="30">
    <w:name w:val="Título 4 Char"/>
    <w:basedOn w:val="11"/>
    <w:link w:val="5"/>
    <w:qFormat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pt-BR"/>
    </w:rPr>
  </w:style>
  <w:style w:type="character" w:customStyle="1" w:styleId="31">
    <w:name w:val="Título 5 Char"/>
    <w:basedOn w:val="11"/>
    <w:link w:val="6"/>
    <w:qFormat/>
    <w:uiPriority w:val="9"/>
    <w:rPr>
      <w:rFonts w:asciiTheme="majorHAnsi" w:hAnsiTheme="majorHAnsi" w:eastAsiaTheme="majorEastAsia" w:cstheme="majorBidi"/>
      <w:color w:val="2F5597" w:themeColor="accent1" w:themeShade="BF"/>
      <w:lang w:val="pt-BR"/>
    </w:rPr>
  </w:style>
  <w:style w:type="character" w:customStyle="1" w:styleId="32">
    <w:name w:val="Título 6 Char"/>
    <w:basedOn w:val="11"/>
    <w:link w:val="7"/>
    <w:qFormat/>
    <w:uiPriority w:val="9"/>
    <w:rPr>
      <w:rFonts w:asciiTheme="majorHAnsi" w:hAnsiTheme="majorHAnsi" w:eastAsiaTheme="majorEastAsia" w:cstheme="majorBidi"/>
      <w:color w:val="203864" w:themeColor="accent1" w:themeShade="80"/>
      <w:lang w:val="pt-BR"/>
    </w:rPr>
  </w:style>
  <w:style w:type="character" w:customStyle="1" w:styleId="33">
    <w:name w:val="Título 7 Char"/>
    <w:basedOn w:val="11"/>
    <w:link w:val="8"/>
    <w:qFormat/>
    <w:uiPriority w:val="9"/>
    <w:rPr>
      <w:rFonts w:asciiTheme="majorHAnsi" w:hAnsiTheme="majorHAnsi" w:eastAsiaTheme="majorEastAsia" w:cstheme="majorBidi"/>
      <w:i/>
      <w:iCs/>
      <w:color w:val="203864" w:themeColor="accent1" w:themeShade="80"/>
      <w:lang w:val="pt-BR"/>
    </w:rPr>
  </w:style>
  <w:style w:type="character" w:customStyle="1" w:styleId="34">
    <w:name w:val="Título 8 Char"/>
    <w:basedOn w:val="11"/>
    <w:link w:val="9"/>
    <w:qFormat/>
    <w:uiPriority w:val="9"/>
    <w:rPr>
      <w:rFonts w:asciiTheme="majorHAnsi" w:hAnsiTheme="majorHAnsi" w:eastAsiaTheme="majorEastAsia" w:cstheme="majorBidi"/>
      <w:color w:val="262626" w:themeColor="text1" w:themeTint="D9"/>
      <w:sz w:val="21"/>
      <w:szCs w:val="21"/>
      <w:lang w:val="pt-BR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5">
    <w:name w:val="Título 9 Char"/>
    <w:basedOn w:val="11"/>
    <w:link w:val="10"/>
    <w:qFormat/>
    <w:uiPriority w:val="9"/>
    <w:rPr>
      <w:rFonts w:asciiTheme="majorHAnsi" w:hAnsiTheme="majorHAnsi" w:eastAsiaTheme="majorEastAsia" w:cstheme="majorBidi"/>
      <w:i/>
      <w:iCs/>
      <w:color w:val="262626" w:themeColor="text1" w:themeTint="D9"/>
      <w:sz w:val="21"/>
      <w:szCs w:val="21"/>
      <w:lang w:val="pt-BR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6">
    <w:name w:val="Título Char"/>
    <w:basedOn w:val="11"/>
    <w:link w:val="18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  <w:lang w:val="pt-BR"/>
    </w:rPr>
  </w:style>
  <w:style w:type="character" w:customStyle="1" w:styleId="37">
    <w:name w:val="Subtítulo Char"/>
    <w:basedOn w:val="11"/>
    <w:link w:val="22"/>
    <w:qFormat/>
    <w:uiPriority w:val="11"/>
    <w:rPr>
      <w:rFonts w:eastAsiaTheme="minorEastAsia"/>
      <w:color w:val="595959" w:themeColor="text1" w:themeTint="A6"/>
      <w:spacing w:val="15"/>
      <w:sz w:val="22"/>
      <w:szCs w:val="22"/>
      <w:lang w:val="pt-BR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8">
    <w:name w:val="Texto de balão Char"/>
    <w:basedOn w:val="11"/>
    <w:link w:val="21"/>
    <w:semiHidden/>
    <w:qFormat/>
    <w:uiPriority w:val="99"/>
    <w:rPr>
      <w:rFonts w:ascii="Tahoma" w:hAnsi="Tahoma" w:cs="Tahoma"/>
      <w:sz w:val="16"/>
      <w:szCs w:val="16"/>
      <w:lang w:val="pt-BR"/>
    </w:rPr>
  </w:style>
  <w:style w:type="character" w:customStyle="1" w:styleId="39">
    <w:name w:val="Corpo de texto Char"/>
    <w:basedOn w:val="11"/>
    <w:link w:val="16"/>
    <w:qFormat/>
    <w:uiPriority w:val="1"/>
    <w:rPr>
      <w:rFonts w:ascii="Verdana" w:hAnsi="Verdana" w:eastAsia="Verdana" w:cs="Verdana"/>
      <w:sz w:val="22"/>
      <w:szCs w:val="22"/>
      <w:lang w:val="pt-PT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306</Words>
  <Characters>1714</Characters>
  <Lines>27</Lines>
  <Paragraphs>7</Paragraphs>
  <TotalTime>0</TotalTime>
  <ScaleCrop>false</ScaleCrop>
  <LinksUpToDate>false</LinksUpToDate>
  <CharactersWithSpaces>2008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2025-01-31T11:16:00Z</dcterms:created>
  <dc:creator>Microsoft Office User</dc:creator>
  <cp:lastModifiedBy>Vanessa Batista</cp:lastModifiedBy>
  <cp:lastPrinted>2024-12-05T18:32:00Z</cp:lastPrinted>
  <dcterms:modified xsi:type="dcterms:W3CDTF">2026-05-11T16:06:07Z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1046-12.1.0.25242</vt:lpwstr>
  </property>
  <property fmtid="{D5CDD505-2E9C-101B-9397-08002B2CF9AE}" pid="3" name="ICV">
    <vt:lpwstr>1FE992673E824B35A56D5D645E353912_13</vt:lpwstr>
  </property>
  <property fmtid="{D5CDD505-2E9C-101B-9397-08002B2CF9AE}" pid="4" name="KSOTemplateDocerSaveRecord">
    <vt:lpwstr>eyJoZGlkIjoiODM0ZWUzOGRlOWI0ZDZmOTNiMTkwMWNlYTE0ZWQxMzEiLCJ1c2VySWQiOiIxMjU0ODM3NzM3Njg3In0=</vt:lpwstr>
  </property>
</Properties>
</file>