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360"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009</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360" w:before="0" w:after="0"/>
        <w:jc w:val="center"/>
        <w:rPr>
          <w:rFonts w:ascii="Arial" w:hAnsi="Arial"/>
          <w:sz w:val="22"/>
          <w:szCs w:val="22"/>
        </w:rPr>
      </w:pPr>
      <w:r>
        <w:rPr>
          <w:rFonts w:cs="Arial" w:ascii="Arial" w:hAnsi="Arial"/>
          <w:b/>
          <w:bCs/>
          <w:color w:val="000000"/>
          <w:sz w:val="22"/>
          <w:szCs w:val="22"/>
        </w:rPr>
        <w:t>REGISTRO DE PREÇOS</w:t>
      </w:r>
    </w:p>
    <w:p>
      <w:pPr>
        <w:pStyle w:val="Corpodotexto"/>
        <w:spacing w:lineRule="auto" w:line="360" w:before="0" w:after="0"/>
        <w:jc w:val="center"/>
        <w:rPr>
          <w:rFonts w:ascii="Arial" w:hAnsi="Arial"/>
          <w:sz w:val="22"/>
          <w:szCs w:val="22"/>
        </w:rPr>
      </w:pPr>
      <w:r>
        <w:rPr>
          <w:rFonts w:ascii="Arial" w:hAnsi="Arial"/>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360"/>
        <w:jc w:val="both"/>
        <w:rPr>
          <w:rFonts w:ascii="Arial" w:hAnsi="Arial"/>
          <w:sz w:val="22"/>
          <w:szCs w:val="22"/>
        </w:rPr>
      </w:pP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Qsecretaria </w:instrText>
      </w:r>
      <w:r>
        <w:rPr>
          <w:sz w:val="22"/>
          <w:b/>
          <w:szCs w:val="22"/>
          <w:bCs/>
          <w:rFonts w:cs="Arial" w:ascii="Arial" w:hAnsi="Arial"/>
          <w:color w:val="000000"/>
        </w:rPr>
        <w:fldChar w:fldCharType="separate"/>
      </w:r>
      <w:r>
        <w:rPr>
          <w:sz w:val="22"/>
          <w:b/>
          <w:szCs w:val="22"/>
          <w:bCs/>
          <w:rFonts w:cs="Arial" w:ascii="Arial" w:hAnsi="Arial"/>
          <w:color w:val="000000"/>
        </w:rPr>
        <w:t>Secretaria Municipal de Administração, Secretaria Municipal de Saúde, Secretaria Municipal de Obras, Saneamento e Trânsito, Secretaria Municipal de Desenvolvimento Rural e Meio Ambiente, Secretaria Municipal de Educação, Secretaria Municipal de Desenvolvimento Social, Secretaria Municipal de Cultura, Esporte e Lazer</w:t>
      </w:r>
      <w:r>
        <w:rPr>
          <w:sz w:val="22"/>
          <w:b/>
          <w:szCs w:val="22"/>
          <w:bCs/>
          <w:rFonts w:cs="Arial" w:ascii="Arial" w:hAnsi="Arial"/>
          <w:color w:val="000000"/>
        </w:rPr>
        <w:fldChar w:fldCharType="end"/>
      </w:r>
    </w:p>
    <w:p>
      <w:pPr>
        <w:pStyle w:val="Normal"/>
        <w:spacing w:lineRule="auto" w:line="360"/>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017</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ind w:left="0" w:right="0" w:hanging="0"/>
        <w:jc w:val="both"/>
        <w:rPr>
          <w:rFonts w:ascii="Arial" w:hAnsi="Arial"/>
          <w:sz w:val="22"/>
          <w:szCs w:val="22"/>
        </w:rPr>
      </w:pPr>
      <w:r>
        <w:rPr>
          <w:rFonts w:cs="Arial" w:ascii="Arial" w:hAnsi="Arial"/>
          <w:b/>
          <w:bCs/>
          <w:color w:val="000000"/>
          <w:sz w:val="22"/>
          <w:szCs w:val="22"/>
        </w:rPr>
        <w:t xml:space="preserve">O presente processo licitatório é dirigido à participação EXCLUSIVA de Microempresa (ME), Microempreendedor Individual (MEI) ou Empresa de Pequeno Porte (EPP), nos termos do inciso I do artigo 48 da Lei Complementar nº 123/2006. </w:t>
      </w:r>
    </w:p>
    <w:p>
      <w:pPr>
        <w:pStyle w:val="Normal"/>
        <w:spacing w:lineRule="auto" w:line="360"/>
        <w:ind w:left="0" w:right="0" w:firstLine="1134"/>
        <w:jc w:val="both"/>
        <w:rPr>
          <w:rFonts w:ascii="Arial" w:hAnsi="Arial" w:cs="Arial"/>
          <w:b/>
          <w:bCs/>
          <w:i/>
          <w:i/>
          <w:color w:val="000000"/>
          <w:sz w:val="22"/>
          <w:szCs w:val="22"/>
        </w:rPr>
      </w:pPr>
      <w:r>
        <w:rPr>
          <w:rFonts w:cs="Arial" w:ascii="Arial" w:hAnsi="Arial"/>
          <w:b/>
          <w:bCs/>
          <w:i/>
          <w:color w:val="000000"/>
          <w:sz w:val="22"/>
          <w:szCs w:val="22"/>
        </w:rPr>
      </w:r>
    </w:p>
    <w:p>
      <w:pPr>
        <w:pStyle w:val="Normal"/>
        <w:spacing w:lineRule="auto" w:line="360"/>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unitário</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ObjPregão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aquisição de filtros lubrificantes para frota de veículos e máquinas da Prefeitura Municipal de Vera Cruz</w:t>
      </w:r>
      <w:r>
        <w:rPr>
          <w:sz w:val="22"/>
          <w:shd w:fill="auto" w:val="clear"/>
          <w:szCs w:val="22"/>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widowControl w:val="false"/>
        <w:tabs>
          <w:tab w:val="clear" w:pos="408"/>
        </w:tabs>
        <w:spacing w:lineRule="auto" w:line="360"/>
        <w:jc w:val="both"/>
        <w:rPr>
          <w:rFonts w:ascii="Arial" w:hAnsi="Arial"/>
          <w:sz w:val="22"/>
          <w:szCs w:val="22"/>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20/02/2025</w:t>
      </w:r>
      <w:r>
        <w:rPr>
          <w:rFonts w:cs="Arial" w:ascii="Arial" w:hAnsi="Arial"/>
          <w:b/>
          <w:bCs/>
          <w:color w:val="000000"/>
          <w:sz w:val="22"/>
          <w:szCs w:val="22"/>
          <w:shd w:fill="FFFF00" w:val="clear"/>
        </w:rPr>
        <w:t xml:space="preserve"> - 07h55</w:t>
      </w:r>
    </w:p>
    <w:p>
      <w:pPr>
        <w:pStyle w:val="Normal"/>
        <w:widowControl w:val="false"/>
        <w:tabs>
          <w:tab w:val="clear" w:pos="408"/>
        </w:tabs>
        <w:spacing w:lineRule="auto" w:line="360"/>
        <w:jc w:val="both"/>
        <w:rPr>
          <w:rFonts w:ascii="Arial" w:hAnsi="Arial"/>
          <w:sz w:val="22"/>
          <w:szCs w:val="22"/>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2</w:t>
      </w:r>
      <w:r>
        <w:rPr>
          <w:rFonts w:cs="Arial" w:ascii="Arial" w:hAnsi="Arial"/>
          <w:b/>
          <w:bCs/>
          <w:color w:val="000000"/>
          <w:sz w:val="22"/>
          <w:szCs w:val="22"/>
          <w:shd w:fill="FFFF00" w:val="clear"/>
        </w:rPr>
        <w:t>0/02/2025</w:t>
      </w:r>
    </w:p>
    <w:p>
      <w:pPr>
        <w:pStyle w:val="Normal"/>
        <w:widowControl w:val="false"/>
        <w:tabs>
          <w:tab w:val="clear" w:pos="408"/>
        </w:tabs>
        <w:spacing w:lineRule="auto" w:line="360"/>
        <w:jc w:val="both"/>
        <w:rPr>
          <w:rFonts w:ascii="Arial" w:hAnsi="Arial"/>
          <w:sz w:val="22"/>
          <w:szCs w:val="22"/>
        </w:rPr>
      </w:pPr>
      <w:r>
        <w:rPr>
          <w:rFonts w:cs="Arial" w:ascii="Arial" w:hAnsi="Arial"/>
          <w:b/>
          <w:bCs/>
          <w:color w:val="000000"/>
          <w:sz w:val="22"/>
          <w:szCs w:val="22"/>
          <w:shd w:fill="auto" w:val="clear"/>
        </w:rPr>
        <w:t xml:space="preserve">HORÁRIO: </w:t>
      </w:r>
      <w:r>
        <w:rPr>
          <w:rFonts w:cs="Arial" w:ascii="Arial" w:hAnsi="Arial"/>
          <w:b/>
          <w:bCs/>
          <w:color w:val="000000"/>
          <w:sz w:val="22"/>
          <w:szCs w:val="22"/>
          <w:shd w:fill="FFFF00" w:val="clear"/>
        </w:rPr>
        <w:t>08h</w:t>
      </w:r>
    </w:p>
    <w:p>
      <w:pPr>
        <w:pStyle w:val="Normal"/>
        <w:widowControl w:val="false"/>
        <w:tabs>
          <w:tab w:val="clear" w:pos="408"/>
        </w:tabs>
        <w:spacing w:lineRule="auto" w:line="360"/>
        <w:jc w:val="both"/>
        <w:rPr>
          <w:rFonts w:ascii="Arial" w:hAnsi="Arial"/>
          <w:sz w:val="22"/>
          <w:szCs w:val="22"/>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360"/>
        <w:jc w:val="both"/>
        <w:rPr>
          <w:rFonts w:ascii="Arial" w:hAnsi="Arial"/>
          <w:sz w:val="22"/>
          <w:szCs w:val="22"/>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360"/>
        <w:jc w:val="both"/>
        <w:rPr>
          <w:rFonts w:ascii="Arial" w:hAnsi="Arial"/>
          <w:sz w:val="22"/>
          <w:szCs w:val="22"/>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360"/>
        <w:jc w:val="both"/>
        <w:rPr>
          <w:rFonts w:ascii="Arial" w:hAnsi="Arial"/>
          <w:sz w:val="22"/>
          <w:szCs w:val="22"/>
        </w:rPr>
      </w:pPr>
      <w:r>
        <w:rPr>
          <w:rFonts w:ascii="Arial" w:hAnsi="Arial"/>
          <w:b/>
          <w:bCs/>
          <w:sz w:val="22"/>
          <w:szCs w:val="22"/>
          <w:shd w:fill="auto" w:val="clear"/>
        </w:rPr>
        <w:t xml:space="preserve">IMPUGNAÇÕES E ESCLARECIMENTOS: até as 17:00 do dia </w:t>
      </w:r>
      <w:r>
        <w:rPr>
          <w:rFonts w:ascii="Arial" w:hAnsi="Arial"/>
          <w:b/>
          <w:bCs/>
          <w:sz w:val="22"/>
          <w:szCs w:val="22"/>
          <w:shd w:fill="auto" w:val="clear"/>
        </w:rPr>
        <w:t>17/02/2025</w:t>
      </w:r>
    </w:p>
    <w:p>
      <w:pPr>
        <w:pStyle w:val="Normal"/>
        <w:widowControl w:val="false"/>
        <w:tabs>
          <w:tab w:val="clear" w:pos="408"/>
        </w:tabs>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360"/>
        <w:jc w:val="both"/>
        <w:rPr>
          <w:rFonts w:ascii="Arial" w:hAnsi="Arial"/>
          <w:sz w:val="22"/>
          <w:szCs w:val="22"/>
        </w:rPr>
      </w:pPr>
      <w:r>
        <w:rPr>
          <w:rFonts w:cs="Arial" w:ascii="Arial" w:hAnsi="Arial"/>
          <w:b w:val="false"/>
          <w:bCs w:val="false"/>
          <w:color w:val="000000"/>
          <w:sz w:val="22"/>
          <w:szCs w:val="22"/>
        </w:rPr>
        <w:t>Equipe de apoio: Alexandra Barcelos Vogt, Jonny Francisco Wagner e Paula Daiana Barbian.</w:t>
      </w:r>
    </w:p>
    <w:p>
      <w:pPr>
        <w:pStyle w:val="Normal"/>
        <w:spacing w:lineRule="auto" w:line="360"/>
        <w:jc w:val="both"/>
        <w:rPr>
          <w:rFonts w:ascii="Arial" w:hAnsi="Arial" w:cs="Arial"/>
          <w:b/>
          <w:color w:val="000000"/>
          <w:sz w:val="22"/>
          <w:szCs w:val="22"/>
        </w:rPr>
      </w:pPr>
      <w:r>
        <w:rPr>
          <w:rFonts w:cs="Arial" w:ascii="Arial" w:hAnsi="Arial"/>
          <w:b/>
          <w:color w:val="000000"/>
          <w:sz w:val="22"/>
          <w:szCs w:val="22"/>
        </w:rPr>
      </w:r>
    </w:p>
    <w:p>
      <w:pPr>
        <w:pStyle w:val="Normal"/>
        <w:spacing w:lineRule="auto" w:line="360"/>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1. DO OBJETO:</w:t>
      </w:r>
    </w:p>
    <w:p>
      <w:pPr>
        <w:pStyle w:val="Normal"/>
        <w:spacing w:lineRule="auto" w:line="360"/>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w:t>
      </w:r>
      <w:r>
        <w:rPr>
          <w:rFonts w:cs="Arial" w:ascii="Arial" w:hAnsi="Arial"/>
          <w:b/>
          <w:bCs/>
          <w:color w:val="000000"/>
          <w:sz w:val="22"/>
          <w:szCs w:val="22"/>
        </w:rPr>
        <w:t xml:space="preserve">PREGÃO ELETRÔNICO para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aquisição de filtros lubrificantes para frota de veículos e máquinas da Prefeitura Municipal de Vera Cruz</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87</w:t>
      </w:r>
      <w:r>
        <w:rPr>
          <w:sz w:val="22"/>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 xml:space="preserve">). </w:t>
      </w:r>
    </w:p>
    <w:p>
      <w:pPr>
        <w:pStyle w:val="Normal"/>
        <w:spacing w:lineRule="auto" w:line="360"/>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360"/>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360"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Normal"/>
        <w:spacing w:lineRule="auto" w:line="360" w:before="0" w:after="0"/>
        <w:jc w:val="both"/>
        <w:rPr>
          <w:rFonts w:ascii="Arial" w:hAnsi="Arial" w:cs="Arial"/>
          <w:sz w:val="22"/>
          <w:szCs w:val="22"/>
        </w:rPr>
      </w:pPr>
      <w:r>
        <w:rPr>
          <w:rFonts w:cs="Arial" w:ascii="Arial" w:hAnsi="Arial"/>
          <w:sz w:val="22"/>
          <w:szCs w:val="22"/>
        </w:rPr>
      </w:r>
    </w:p>
    <w:tbl>
      <w:tblPr>
        <w:tblW w:w="5000" w:type="pct"/>
        <w:jc w:val="left"/>
        <w:tblInd w:w="55" w:type="dxa"/>
        <w:tblLayout w:type="fixed"/>
        <w:tblCellMar>
          <w:top w:w="55" w:type="dxa"/>
          <w:left w:w="55" w:type="dxa"/>
          <w:bottom w:w="55" w:type="dxa"/>
          <w:right w:w="55" w:type="dxa"/>
        </w:tblCellMar>
      </w:tblPr>
      <w:tblGrid>
        <w:gridCol w:w="559"/>
        <w:gridCol w:w="914"/>
        <w:gridCol w:w="5100"/>
        <w:gridCol w:w="913"/>
        <w:gridCol w:w="791"/>
        <w:gridCol w:w="914"/>
        <w:gridCol w:w="1185"/>
      </w:tblGrid>
      <w:tr>
        <w:trPr/>
        <w:tc>
          <w:tcPr>
            <w:tcW w:w="559"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Item</w:t>
            </w:r>
          </w:p>
        </w:tc>
        <w:tc>
          <w:tcPr>
            <w:tcW w:w="914"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Produto - Código</w:t>
            </w:r>
          </w:p>
        </w:tc>
        <w:tc>
          <w:tcPr>
            <w:tcW w:w="5100"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Produto - Descrição</w:t>
            </w:r>
          </w:p>
        </w:tc>
        <w:tc>
          <w:tcPr>
            <w:tcW w:w="913"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Unidade</w:t>
            </w:r>
          </w:p>
        </w:tc>
        <w:tc>
          <w:tcPr>
            <w:tcW w:w="791"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Quant</w:t>
            </w:r>
          </w:p>
        </w:tc>
        <w:tc>
          <w:tcPr>
            <w:tcW w:w="914"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Mediana</w:t>
            </w:r>
          </w:p>
        </w:tc>
        <w:tc>
          <w:tcPr>
            <w:tcW w:w="1185"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Valores - Total</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757.0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757 - PEÇA MECÂNICA - VEÍCULO AUTOMOTIVO, TIPO: KIT DUAS UNIDADES ELEMENTO FILTRO COMBUSTÍVEL, APLICAÇÃO: MERCEDES BENZ MODELO: 1113 1978, REFERÊNCIA: HDF501A / FCD0710/1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R$ 35,00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R$ 350,00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MODELO: 1113 1978/ BRITADOR MÓVEL MOTOR 352, REFERÊNCIA: EFL025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166993.0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MERCEDES BENZ MODELO: 1113 1978, REFERÊNCIA: EFA 421/ WAP 187/S</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R$ 60,50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R$ 363,00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4832.0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MERCEDES BENZ MODELO: 1113 1978, REFERÊNCIA: WAP 163/ EFA 405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9319.0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9319 - PEÇA MECÂNICA - VEÍCULO AUTOMOTIVO, TIPO: FILTRO COMBUSTIVEL, APLICAÇÃO: FORD CARGO MODELO: 2428 E 2006, REFERÊNCIA: FF5421/ FCD2098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R$ 2.646,00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170469.0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FORD CARGO MODELO: 1723 E ANO: 2017, REFERÊNCIA: FCD 3092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R$ 1.360,00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FORD CARGO MODELOS: 2428E 2006/ 1722E 2010, MICROONIBUS VW 8-160, 2017, REFERÊNCIA: FCD30123/ R120LJ</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R$ 1.512,00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FORD CARGO MODELOS: 2428E 2006/ 1722E 2010. IVECO TECTOR 170E25 2010. FOTON C 10-16 2014, MICROONIBUS VW 8-160, 2017, REFERÊNCIA: P550520/ BT 7237/ WO612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R$ 2.660,00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781.0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FORD CARGO MODELOS: 2428E 2006/ 1722E 2010 / 1723 2017. MERCEDES ATRON 2729 2013. VW CONSTELATION 31330 2018, REFERÊNCIA: EFL964/ WAP 103/S.</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R$ 4.536,00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770.0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FORD CARGO MODELOS: 2428E 2006/ 1722E 2010 / 1723 2017. MERCEDES ATRON 2729 2013. VW CONSTELATION 31330 2018, REFERÊNCIA: EFA 964/ WAP 103.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R$ 4.752,00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622.0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DESUMIDIFICADOR DO SISTEMA DE FREIO APLICAÇÃO: FORD CARGO MODELOS: 2428E 2006/ 1722E 2010/ 1723 2017 IVECO TECTOR 170E25 2010, REFERÊNCIA: BA5374/ DAF 100.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R$ 3.400,00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721.0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IVECO TECTOR MODELO: 170E25, REFERÊNCIA: MAHLE KC 125 / H705WK.</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594.0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IVECO MODELO: TECTOR 170E25 2010, REFERÊNCIA: CF1550.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596.0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IVECO MODELO: TECTOR 170E25 2010, REFERÊNCIA: C27902.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10646.0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CAMINHÃO FOTON MODELO: C10-16 2014, MICROONIBUS VW 8-160, 2017, REFERÊNCIA: FCD-4000.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R$ 1.206,00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10645.0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CAM. FOTON C 10-16 2014, REFERÊNCIA: K223019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R$ 302,00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R$ 1.812,00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10373.0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FOTON 1039 3110B, ANO: 2015, REFERÊNCIA: FOBR91S / WOP 1002.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R$ 251,00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R$ 1.506,00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10822.0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FOTON 1039 3110B, ANO: 2015, REFERÊNCIA: EFS104 / FCD0732.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R$ 2.016,00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10821.0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FOTON 1039 3110B 2015, REFERÊNCIA: K223019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R$ 351,00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R$ 1.755,00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9257.0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9257 - PEÇA/COMPONENTE RETROESCAVADEIRA, TIPO: FILTRO COMBUSTIVEL, APLICAÇÃO: RETROESCAVADEIRA RANDON RK406B/ RD406 ADVANCED. CAMINHÃO AGRALE 8500 2008, REFERÊNCIA: ECO796/ FDC0796.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R$ 2.310,00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9837.0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9837 - PEÇA/COMPONENTE RETROESCAVADEIRA, TIPO: FILTRO COMBUSTIVEL, APLICAÇÃO: RETROESCAVADEIRA RANDON RK406B/ RD 406 ADVANCED, REFERÊNCIA: R26A50.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R$ 1.065,00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9615.0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9615 - PEÇA/COMPONENTE RETROESCAVADEIRA, TIPO: FILTRO LUBRIFICANTE MOTOR, APLICAÇÃO: RETROESCAVADEIRA RANDON RK406B/ RD406 ADVANCED. CAMINHÃO AGRALE 8500 2008., REFERÊNCIA: WO480 / EFL521.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R$ 1.750,00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9332.0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RANDON RK406B ASPIRADA, REFERÊNCIA: EFA 948/ WAP 200/S</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9529.0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RANDON RK406B ASPIRADA, REFERÊNCIA: EFA 949/ WR 200/4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9072.0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9072 - PEÇA/COMPONENTE RETROESCAVADEIRA, TIPO: ELEMENTO FILTRO HIDRÁULICO, APLICAÇÃO: RETROESCAVADEIRA RANDON RK406B, REFERÊNCIA: TURBO TH 1101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R$ 391,00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R$ 3.910,00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9316.0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TRANSMISSÃO, APLICAÇÃO: RETROESCAVADEIRA RANDON RK406B/ RD406 ADVANCED/ CASE 580N, REFERÊNCIA: BT 8439 - MPG</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R$ 242,00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R$ 2.420,00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175872.0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CONDICIONADO, APLICAÇÃO: RETROESCAVADEIRA RANDON RK406B/RD406B, REFERÊNCIA: SK 1104.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9530.0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AR INTERNO, APLICAÇÃO: RETROESCAVADEIRA RANDON RK406B/ RD406 ADVANCED TURBINADA, RFERÊNCIA: EFA 942.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R$ 49,00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R$ 1.225,00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9018.0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AR EXTERNO, APLICAÇÃO: RETROESCAVADEIRA RANDON RK406B/ RD406 ADVANCED TURBINADA, REFERÊNCIA: EFA 945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10399.0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TANQUE HIDRAULICO, APLICAÇÃO: RETROESCAVADEIRA RANDON RD406 ADVANCED. ROÇADEIRA ARTICULADA LAVRALE, REFERÊNCIA: UNIFILTER UH125VUS305.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R$ 442,00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R$ 2.652,00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9620.0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R90-30M.</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R$ 1.512,00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9023.0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HDF500A/ H17WK06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R$ 768,00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8718.0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140 LC 7/ MOTONIVELADORA KOMAT'SU GD555, REFERÊNCIA: EFL721 / WO 680.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R$ 1.008,00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9173.0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DE AR INTERNO, APLICAÇÃO: ESCAVADEIRA HIDRAULICA HYUNDAI 140 LC 7, REFERÊNCIA: TR 62453.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R$ 480,00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9174.0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DE AR EXTERNO. APLICAÇÃO: ESCAVADEIRA HIDRAULICA HYUNDAI 140 LC 7, REFERÊNCIA: TURBO TR 62452 PU</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R$ 211,00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R$ 844,00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175701.0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CX180C CASE, REFERÊNCIA: P502422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R$ 242,00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R$ 1.452,00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CX180C CASE, REFERÊNCIA: EFS103 / FDC2056.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R$ 111,00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R$ 555,00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CX180C CASE, REFERÊNCIA: MMH 80900 / B7416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R$ 331,00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R$ 2.648,00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CX180C CASE, REFERÊNCIA: P573481.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R$ 402,00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R$ 3.216,00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CX180C CASE, REFERÊNCIA: TURBO TR 780522.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R$ 191,00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R$ 1.146,00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CX180C CASE, REFERÊNCIA: TURBO TR 780523.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R$ 726,00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9816.0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COMBUSTÍVEL APLICAÇÃO: CARREGADEIRA HYUNDAI HL730-7, REFERÊNCIA: BF1356.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R$ 191,00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R$ 1.146,00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9684.0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COMBUSTÍVEL RACOR, APLICAÇÃO: CARREGADEIRA HYUNDAI HL730-7, REFERÊNCIA: R45-10M.</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R$ 1.008,00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9685.0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LUBRIFICANTE MOTOR APLICAÇÃO: CARREGADEIRA HYUNDAI HL730-7, REFERÊNCIA: BT 427 / EFL723.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R$ 568,00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6322.0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AR INTERNO, APLICAÇÃO: CARREGADEIRA HYUNDAI HL730-7, REFERÊNCIA: TURBO TR 62453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R$ 968,00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6939.0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AR EXTERNO. APLICAÇÃO: CARREGADEIRA HYUNDAI HL730-7, REFERÊNCIA: TURBO TR 62452 PU</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R$ 241,00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R$ 964,00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8428.0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DO AR CONDICIONADO, EXTERNO, APLICAÇÃO: CARREGADEIRA HYUNDAI HL730-7, REFERÊNCIA: FB 070.010.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R$ 171,00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R$ 684,00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9696.0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TANQUE HIDRÁULICO, APLICAÇÃO: CARREGADEIRA HYUNDAI HL730-7, REFERÊNCIA: 31L1-4041-A.</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R$ 296,00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R$ 592,00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9697.0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HIDRÁULICO DE LINHA APLICAÇÃO: CARREGADEIRA HYUNDAI HL730-7, REFERÊNCIA: 31L14041A.</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R$ 221,00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R$ 442,00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9695.0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TRANSMISSÃO, APLICAÇÃO: CARREGADEIRA HYUNDAI HL730-7, REFERÊNCIA: BT9422.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R$ 401,00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R$ 802,00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9262.0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KOMAT'SU GD555, REFERÊNCIA: HDF 762/ FCD0769.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R$ 306,00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9143.0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AR INTERNO, APLICAÇÃO: MOTONIVELADORA KOMAT'SU GD555, REFERÊNCIA: TURBO TR 25491.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R$ 484,00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9145.0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AR EXTERNO, APLICAÇÃO: MOTONIVELADORA KOMAT'SU GD555, REFERÊNCIA: TURBO TR 25492.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R$ 1.005,00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9146.0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HIDRÁULICO, APLICAÇÃO: MOTONIVELADORA KOMAT'SU GD555, REFERÊNCIA: UNIFILTER UH 385 P.</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R$ 1.008,00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10279.0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10279 - PEÇA MECÂNICA - VEÍCULO AUTOMOTIVO, TIPO: FILTRO DE COMBUSTÍVEL, APLICAÇÃO: CAMINHÃO AGRALE, MODELO: AGRALE 8500, REFERÊNCIA: EFS102.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6689.0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AR INTERNO, APLICAÇÃO: CAMINHÃO AGRALE, MODELO: AGRALE 8500, REFERÊNCIA: EFA959.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6741.0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CAMINHÃO AGRALE, MODELO: AGRALE 8500, REFERÊNCIA: EFA 941.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R$ 141,00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R$ 564,00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175563.0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HYUNDAI HR 2010, REFERÊNCIA: JFC 901.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R$ 78,00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R$ 1.560,00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175562.0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ÓLEO MOTOR, APLICAÇÃO: HYUNDAI HR 2010, REFERÊNCIA: PSL332 / EFL755 / OC1224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R$ 552,00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175564.0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DE AR, APLICAÇÃO: HYUNDAI HR 2010, REFERÊNCIA: LX3236 / JFA0H13 / CA10564.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R$ 1.032,00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166511.0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MERCEDES BENZ, ATRON 2729 K 6X4 2014, REFERÊNCIA: FCD 0768.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169833.0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MERCEDES BENZ, ATRON 2729 K 6X4 2014, REFERÊNCIA: EFS 111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166705.0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ATRON 2729 K 6X4 2014, REFERÊNCIA: REL-802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164614.0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DO AR CONDICIONADO. APLICAÇÃO: MERCEDES BENZ, ATRON 2729 K 6X4 2014, REFERÊNCIA: AKX4014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10421.0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CASE 845B, REFERÊNCIA: H215WK</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10519.0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COMBUSTÍVEL RACOR, APLICAÇÃO: MOTONIVELADORA CASE 845B, REFERÊNCIA: HDF422.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R$ 1.260,00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8717.0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RETRO ESCAVADEIRA CASE 580N 2018/ MOTONIVELADORA CASE 845B 2017, REFERÊNCIA: B7327.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R$ 2.120,00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10574.0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AR INTERNO APLICAÇÃO: MOTONIVELADORA CASE 845B, REFERÊNCIA: TURBO TR 1532.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R$ 968,00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10575.0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AR EXTERNO, APLICAÇÃO: MOTONIVELADORA CASE 845B, REFERÊNCIA: TURBO TR 1533.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R$ 222,00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R$ 2.220,00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10505.0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10505 - PEÇA/COMPONENTE MOTONIVELADORA, TIPO: FILTRO AR CONDICIONADO. APLICAÇÃO: MOTONIVELADORA CASE 845B, REFERÊNCIA: UARS157275P/ TACO 2.1PU</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R$ 183,00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R$ 1.830,00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TRANSMISSÃO. APLICAÇÃO: MOTONIVELADORA CASE 845B, REFERÊNCIA: BT 8851-MPG</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R$ 276,00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R$ 1.104,00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10520 - PEÇA/COMPONENTE RETROESCAVADEIRA, TIPO: FILTRO COMBUSTÍVEL. APLICAÇÃO: RETROESCAVADEIRA CASE 580N, REFERÊNCIA: FCD2295/ FS19927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R$ 142,00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R$ 2.130,00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10673.0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10673 - PEÇA/COMPONENTE RETROESCAVADEIRA, TIPO: FILTRO COMBUSTÍVEL RACOR. APLICAÇÃO: RETROESCAVADEIRA CASE 580N, REFERÊNCIA: TURBO TBC877I/ ORIGINAL OFC1586 ST</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10688.0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CASE 580N, REFERÊNCIA: EFA 984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R$ 848,00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10677.0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CASE 580N, REFERÊNCIA: TURBO TR 5590.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R$ 68,00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R$ 816,00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175929.0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HIDRAULICO, APLICAÇÃO: RETROESCAVADEIRA CASE 580N, REFERÊNCIA: P569206.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R$ 473,00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R$ 3.784,00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220, REFERÊNCIA: 11LG-70010.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R$ 800,00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HYUNDAI 220, REFERÊNCIA: 11QA-71040 BR-11LB-20310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R$ 918,00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220, REFERÊNCIA: 11N8-70110/LF3970.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R$ 612,00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HYUNDAI 220, REFERÊNCIA: 11Q6-28030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R$ 402,00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R$ 3.216,00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HYUNDAI 220, REFERÊNCIA: 11Q6-28020.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R$ 154,00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R$ 1.232,00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HYUNDAI 220, REFERÊNCIA: 31K6-01320.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R$ 1.218,00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175937.0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PRE FILTRO COMBUSTÍVEL, APLICAÇÃO: ESCAVADEIRA HIDRAULICA HYUNDAI 220, REFERÊNCIA: 11QG-70120.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R$ 141,00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R$ 423,00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HYUNDAI 220, REFERÊNCIA: 31Q6-20340.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R$ 279,00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R$ 558,00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175939.0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XCMG 150BR, REFERÊNCIA: 800154563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R$ 223,00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R$ 1.338,00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XCMG 150BR, REFERÊNCIA: 800514448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R$ 301,00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R$ 2.408,00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XCMG 150BR, REFERÊNCIA: 800159597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R$ 1.512,00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XCMG 150BR, REFERÊNCIA: 800104248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R$ 3.616,00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XCMG 150BR, REFERÊNCIA: 800104249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R$ 251,00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R$ 2.008,00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XCMG 150BR, REFERÊNCIA: 803408563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R$ 697,00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R$ 2.788,00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RETORNO. APLICAÇÃO: ESCAVADEIRA HIDRAULICA XCMG 150BR, REFERÊNCIA: 803408564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R$ 655,00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XCMG 150BR, REFERÊNCIA: 80385529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R$ 498,00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R$ 996,00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10485.0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MASSEY FERGUSSON 4275, REFERÊNCIA: EFL 028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R$ 50,00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R$ 200,00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10396.0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MASSEY FERGUSSON 4275, REFERÊNCIA: TURBO TR 23619.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R$ 127,00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R$ 508,00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10523.0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HIDRÁULICO. APLICAÇÃO: TRATOR MASSEY FERGUSSON 4275, REFERÊNCIA: TURBO TR 23619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R$ 155,00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R$ 310,00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10765.0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COMBUSTÍVEL, APLICAÇÃO: TRATOR JOHN DEERE. CARACTERÍSTICAS ADICIONAIS: LINHA/ SÉRIE 5000/6000. REFERÊNCIA: P551424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R$ 213,00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R$ 426,00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10766.0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COMBUSTIVEL RACOR. APLICAÇÃO: TRATOR JOHN DEERE. CARACTERÍSTICAS ADICIONAIS: LINHA/ SÉRIE 5000/6000, REFERÊNCIA: P 551424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R$ 213,00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R$ 426,00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10764.0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JOHN DEERE. CARACTERÍSTICAS ADICIONAIS: LINHA/ SÉRIE 5000/6000. REFERÊNCIA: LF 3703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R$ 108,00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R$ 432,00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175955.0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JOHN DEERE. CARACTERÍSTICAS ADICIONAIS: LINHA/ SÉRIE 5000/6000. REFERÊNCIA: P606119.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R$ 387,00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R$ 1.548,00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6910.0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COMBUSTÍVEL. APLICAÇÃO: VW GOL/SAVEIRO/SANTANA, REFERÊNCIA: FCL 1630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R$ 104,00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6935.0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VW GOL/SAVEIRO/SANTANA, REFERÊNCIA: EFL 563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R$ 26,00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7392.0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DE AR. APLICAÇÃO: VW GOL/SAVEIRO/SANTANA, REFERÊNCIA: EFA 965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R$ 396,00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10348.0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RENAULT SANDERO, REFERÊNCIA: WO 205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R$ 330,00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104.0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10650.0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DE AR. APLICAÇÃO: RENAULT SANDERO, REFERÊNCIA: ARL5144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R$ 416,00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7235.0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CELTA/PRISMA, REFERÊNCIA: EFL 747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R$ 17,00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R$ 136,00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167002.0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CRUZE, REFERÊNCIA: WOE-313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R$ 312,00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10514.0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DO ARAPLICAÇÃO: CHEVROLET CRUZE, REFERÊNCIA: C26106.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R$ 72,00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R$ 432,00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108.0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175974.0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KIA BONGO 2020, REFERÊNCIA: 319224H900N</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R$ 104,00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R$ 936,00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109.0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175975.0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CAMINHÃO KIA BONGO 2020, REFERÊNCIA: 263304A001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R$ 105,00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R$ 945,00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110.0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175976.0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AR. APLICAÇÃO: CAMINHÃO KIA BONGO 2020, REFERÊNCIA: 252124A750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R$ 152,00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R$ 1.520,00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170616.0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VOLKSWAGEN 31.330 CRC 6X4, 2017, REFERÊNCIA: WO 711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R$ 184,00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R$ 1.472,00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112.0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166991.0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VOLKSWAGEN 31.330 CRC 6X4, 2017, REFERÊNCIA: FCD 2238.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R$ 1.530,00</w:t>
            </w:r>
          </w:p>
        </w:tc>
      </w:tr>
      <w:tr>
        <w:trPr/>
        <w:tc>
          <w:tcPr>
            <w:tcW w:w="559"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113.0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170268.0</w:t>
            </w:r>
          </w:p>
        </w:tc>
        <w:tc>
          <w:tcPr>
            <w:tcW w:w="51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VOLKSWAGEN 31.330 CRC 6X4, 2017, REFERÊNCIA: FCD 0958.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791"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14"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R$ 153,00</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R$ 1.530,00</w:t>
            </w:r>
          </w:p>
        </w:tc>
      </w:tr>
      <w:tr>
        <w:trPr/>
        <w:tc>
          <w:tcPr>
            <w:tcW w:w="9191" w:type="dxa"/>
            <w:gridSpan w:val="6"/>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sz w:val="18"/>
                <w:szCs w:val="18"/>
              </w:rPr>
              <w:t>Total Estimado</w:t>
            </w:r>
          </w:p>
        </w:tc>
        <w:tc>
          <w:tcPr>
            <w:tcW w:w="1185"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sz w:val="18"/>
                <w:szCs w:val="18"/>
              </w:rPr>
              <w:t>R$ 148.176,00</w:t>
            </w:r>
          </w:p>
        </w:tc>
      </w:tr>
    </w:tbl>
    <w:p>
      <w:pPr>
        <w:pStyle w:val="Normal"/>
        <w:spacing w:lineRule="auto" w:line="360" w:before="0" w:after="0"/>
        <w:jc w:val="both"/>
        <w:rPr>
          <w:rFonts w:ascii="Arial" w:hAnsi="Arial" w:cs="Arial"/>
          <w:sz w:val="22"/>
          <w:szCs w:val="22"/>
        </w:rPr>
      </w:pPr>
      <w:r>
        <w:rPr>
          <w:rFonts w:cs="Arial" w:ascii="Arial" w:hAnsi="Arial"/>
          <w:sz w:val="22"/>
          <w:szCs w:val="22"/>
        </w:rPr>
      </w:r>
    </w:p>
    <w:p>
      <w:pPr>
        <w:pStyle w:val="Normal"/>
        <w:spacing w:lineRule="auto" w:line="360" w:before="0" w:after="0"/>
        <w:jc w:val="both"/>
        <w:rPr>
          <w:rFonts w:ascii="Arial" w:hAnsi="Arial" w:cs="Arial"/>
          <w:sz w:val="22"/>
          <w:szCs w:val="22"/>
        </w:rPr>
      </w:pPr>
      <w:r>
        <w:rPr>
          <w:rFonts w:cs="Arial" w:ascii="Arial" w:hAnsi="Arial"/>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2. DAS CONDIÇÕES PARA PARTICIPAÇÃO </w:t>
      </w:r>
    </w:p>
    <w:p>
      <w:pPr>
        <w:pStyle w:val="Normal"/>
        <w:spacing w:lineRule="auto" w:line="360"/>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360"/>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360"/>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 xml:space="preserve">A participação no pregão está condicionada obrigatoriamente a inscrição e credenciamento do licitante, até o limite de horário previsto no edital </w:t>
      </w:r>
    </w:p>
    <w:p>
      <w:pPr>
        <w:pStyle w:val="Normal"/>
        <w:spacing w:lineRule="auto" w:line="360"/>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360"/>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3. DO EDITAL</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4. DO CRITÉRIO DE JULGAMENTO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5. DO CREDENCIAMENTO NO SISTEMA DE LICITAÇÕES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360"/>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360"/>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360"/>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360"/>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360"/>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360"/>
        <w:jc w:val="both"/>
        <w:textAlignment w:val="top"/>
        <w:rPr>
          <w:rFonts w:cs="Arial"/>
          <w:b/>
          <w:bCs/>
          <w:color w:val="000000"/>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360"/>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36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36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36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360"/>
        <w:jc w:val="both"/>
        <w:textAlignment w:val="top"/>
        <w:rPr>
          <w:rFonts w:cs="Arial"/>
          <w:b/>
          <w:bCs/>
          <w:color w:val="000000"/>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360"/>
        <w:jc w:val="both"/>
        <w:textAlignment w:val="top"/>
        <w:rPr>
          <w:rFonts w:cs="Arial"/>
          <w:b/>
          <w:color w:val="000000"/>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6.15.3 Habilitação Econômico-Financeiro: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360"/>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auto"/>
          <w:sz w:val="22"/>
          <w:szCs w:val="22"/>
        </w:rPr>
        <w:t xml:space="preserve">g) </w:t>
      </w:r>
      <w:r>
        <w:rPr>
          <w:rFonts w:cs="Arial" w:ascii="Arial" w:hAnsi="Arial"/>
          <w:b w:val="false"/>
          <w:bCs w:val="false"/>
          <w:color w:val="auto"/>
          <w:sz w:val="22"/>
          <w:szCs w:val="22"/>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Default"/>
        <w:spacing w:lineRule="auto" w:line="360"/>
        <w:jc w:val="both"/>
        <w:rPr>
          <w:rFonts w:ascii="Arial" w:hAnsi="Arial"/>
          <w:sz w:val="22"/>
          <w:szCs w:val="22"/>
        </w:rPr>
      </w:pPr>
      <w:r>
        <w:rPr>
          <w:rFonts w:cs="Arial" w:ascii="Arial" w:hAnsi="Arial"/>
          <w:b/>
          <w:bCs/>
          <w:sz w:val="22"/>
          <w:szCs w:val="22"/>
          <w:shd w:fill="auto" w:val="clear"/>
        </w:rPr>
        <w:t xml:space="preserve">6.15.5 Qualificação Técnica </w:t>
      </w:r>
    </w:p>
    <w:p>
      <w:pPr>
        <w:pStyle w:val="Normal"/>
        <w:spacing w:lineRule="auto" w:line="360"/>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Não será solicitado.</w:t>
      </w:r>
    </w:p>
    <w:p>
      <w:pPr>
        <w:pStyle w:val="Normal"/>
        <w:spacing w:lineRule="auto" w:line="360"/>
        <w:jc w:val="both"/>
        <w:textAlignment w:val="top"/>
        <w:rPr>
          <w:rFonts w:ascii="Arial" w:hAnsi="Arial"/>
          <w:color w:val="000000"/>
          <w:sz w:val="22"/>
          <w:szCs w:val="22"/>
        </w:rPr>
      </w:pPr>
      <w:r>
        <w:rPr>
          <w:rFonts w:ascii="Arial" w:hAnsi="Arial"/>
          <w:color w:val="000000"/>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360"/>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360"/>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7. DO PREENCHIMENTO DA PROPOSTA NO SISTEMA</w:t>
      </w:r>
    </w:p>
    <w:p>
      <w:pPr>
        <w:pStyle w:val="Normal"/>
        <w:spacing w:lineRule="auto" w:line="360"/>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360"/>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8. ABERTURA DA SESSÃO PÚBLICA</w:t>
      </w:r>
    </w:p>
    <w:p>
      <w:pPr>
        <w:pStyle w:val="Default"/>
        <w:spacing w:lineRule="auto" w:line="360"/>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360"/>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360"/>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9. CLASSIFICAÇÃO INICIAL DAS PROPOSTAS E FORMULAÇÃO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360"/>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360"/>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360"/>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360"/>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360"/>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360"/>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360"/>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360"/>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360"/>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360"/>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360"/>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360"/>
        <w:jc w:val="both"/>
        <w:rPr>
          <w:rFonts w:ascii="Arial" w:hAnsi="Arial"/>
          <w:sz w:val="22"/>
          <w:szCs w:val="22"/>
        </w:rPr>
      </w:pPr>
      <w:r>
        <w:rPr>
          <w:rFonts w:cs="Arial" w:ascii="Arial" w:hAnsi="Arial"/>
          <w:b/>
          <w:color w:val="000000"/>
          <w:sz w:val="22"/>
          <w:szCs w:val="22"/>
        </w:rPr>
        <w:t xml:space="preserve">9.9.4. </w:t>
      </w:r>
      <w:r>
        <w:rPr>
          <w:rFonts w:cs="Arial" w:ascii="Arial" w:hAnsi="Arial"/>
          <w:b w:val="false"/>
          <w:bCs w:val="false"/>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360"/>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360"/>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360"/>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10. MODO DE DISPUTA </w:t>
      </w:r>
    </w:p>
    <w:p>
      <w:pPr>
        <w:pStyle w:val="Default"/>
        <w:spacing w:lineRule="auto" w:line="360"/>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360"/>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360"/>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360"/>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360"/>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360"/>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360"/>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spacing w:lineRule="auto" w:line="360"/>
        <w:ind w:left="0" w:right="0" w:hanging="0"/>
        <w:rPr>
          <w:rFonts w:ascii="Arial" w:hAnsi="Arial"/>
          <w:sz w:val="22"/>
          <w:szCs w:val="22"/>
        </w:rPr>
      </w:pPr>
      <w:r>
        <w:rPr>
          <w:rFonts w:ascii="Arial" w:hAnsi="Arial"/>
          <w:sz w:val="22"/>
          <w:szCs w:val="22"/>
        </w:rPr>
      </w:r>
    </w:p>
    <w:p>
      <w:pPr>
        <w:pStyle w:val="Itemdoedital"/>
        <w:spacing w:lineRule="auto" w:line="360"/>
        <w:ind w:left="0" w:right="0" w:hanging="0"/>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11. CRITÉRIOS DE DESEMPATE </w:t>
      </w:r>
    </w:p>
    <w:p>
      <w:pPr>
        <w:pStyle w:val="Default"/>
        <w:spacing w:lineRule="auto" w:line="360"/>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360"/>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360"/>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360"/>
        <w:jc w:val="both"/>
        <w:rPr>
          <w:rFonts w:ascii="Arial" w:hAnsi="Arial"/>
          <w:sz w:val="22"/>
          <w:szCs w:val="22"/>
        </w:rPr>
      </w:pPr>
      <w:r>
        <w:rPr>
          <w:rFonts w:cs="Arial" w:ascii="Arial" w:hAnsi="Arial"/>
          <w:sz w:val="22"/>
          <w:szCs w:val="22"/>
        </w:rPr>
        <w:t xml:space="preserve"> </w:t>
      </w: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360"/>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360"/>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360"/>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360"/>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empresas que comprovem a prática de mitigação, nos termos da Lei nº 12.187, de 29 de dezembro de 2009.</w:t>
      </w:r>
    </w:p>
    <w:p>
      <w:pPr>
        <w:pStyle w:val="Default"/>
        <w:spacing w:lineRule="auto" w:line="360"/>
        <w:jc w:val="both"/>
        <w:rPr>
          <w:rFonts w:ascii="Arial" w:hAnsi="Arial" w:cs="Arial"/>
          <w:sz w:val="22"/>
          <w:szCs w:val="22"/>
        </w:rPr>
      </w:pPr>
      <w:r>
        <w:rPr>
          <w:rFonts w:cs="Arial" w:ascii="Arial" w:hAnsi="Arial"/>
          <w:sz w:val="22"/>
          <w:szCs w:val="22"/>
        </w:rPr>
      </w:r>
    </w:p>
    <w:p>
      <w:pPr>
        <w:pStyle w:val="Default"/>
        <w:spacing w:lineRule="auto" w:line="360"/>
        <w:jc w:val="both"/>
        <w:rPr>
          <w:rFonts w:ascii="Arial" w:hAnsi="Arial" w:cs="Arial"/>
          <w:sz w:val="22"/>
          <w:szCs w:val="22"/>
        </w:rPr>
      </w:pPr>
      <w:r>
        <w:rPr>
          <w:rFonts w:cs="Arial" w:ascii="Arial" w:hAnsi="Arial"/>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12. NEGOCIAÇÃO E JULGAMENTO </w:t>
      </w:r>
    </w:p>
    <w:p>
      <w:pPr>
        <w:pStyle w:val="Default"/>
        <w:spacing w:lineRule="auto" w:line="360"/>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360"/>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360"/>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360"/>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Não serão consideradas, para julgamento das propostas, vantagens não previstas no edital.</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13. VERIFICAÇÃO DE HABILITAÇÃO </w:t>
      </w:r>
    </w:p>
    <w:p>
      <w:pPr>
        <w:pStyle w:val="Normal"/>
        <w:spacing w:lineRule="auto" w:line="360"/>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 </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360"/>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360"/>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360"/>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360"/>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360"/>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360"/>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360"/>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360"/>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360"/>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360"/>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360"/>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360"/>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360"/>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360"/>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360"/>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360"/>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jc w:val="both"/>
        <w:rPr>
          <w:rFonts w:ascii="Arial" w:hAnsi="Arial"/>
          <w:sz w:val="22"/>
          <w:szCs w:val="22"/>
        </w:rPr>
      </w:pPr>
      <w:r>
        <w:rPr>
          <w:rFonts w:ascii="Arial" w:hAnsi="Arial"/>
          <w:sz w:val="22"/>
          <w:szCs w:val="22"/>
        </w:rPr>
        <w:t xml:space="preserve">14. RECURSO </w:t>
      </w:r>
    </w:p>
    <w:p>
      <w:pPr>
        <w:pStyle w:val="Normal"/>
        <w:spacing w:lineRule="auto" w:line="360"/>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360"/>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360"/>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360"/>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Default"/>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Default"/>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Default"/>
        <w:spacing w:lineRule="auto" w:line="360"/>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Default"/>
        <w:spacing w:lineRule="auto" w:line="360"/>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360"/>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Default"/>
        <w:spacing w:lineRule="auto" w:line="360"/>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sz w:val="22"/>
          <w:szCs w:val="22"/>
        </w:rPr>
      </w:r>
    </w:p>
    <w:p>
      <w:pPr>
        <w:pStyle w:val="Default"/>
        <w:numPr>
          <w:ilvl w:val="0"/>
          <w:numId w:val="1"/>
        </w:numPr>
        <w:spacing w:lineRule="auto" w:line="360"/>
        <w:jc w:val="both"/>
        <w:rPr>
          <w:rFonts w:ascii="Arial" w:hAnsi="Arial"/>
          <w:sz w:val="22"/>
          <w:szCs w:val="22"/>
        </w:rPr>
      </w:pPr>
      <w:r>
        <w:rPr>
          <w:rFonts w:ascii="Arial" w:hAnsi="Arial"/>
          <w:b/>
          <w:bCs/>
          <w:sz w:val="22"/>
          <w:szCs w:val="22"/>
        </w:rPr>
        <w:t>15. ENCERRAMENTO DA LICITAÇÃO</w:t>
      </w:r>
      <w:r>
        <w:rPr>
          <w:rFonts w:ascii="Arial" w:hAnsi="Arial"/>
          <w:sz w:val="22"/>
          <w:szCs w:val="22"/>
        </w:rPr>
        <w:t xml:space="preserve"> </w:t>
      </w:r>
    </w:p>
    <w:p>
      <w:pPr>
        <w:pStyle w:val="Default"/>
        <w:spacing w:lineRule="auto" w:line="360"/>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360"/>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360"/>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360"/>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Default"/>
        <w:spacing w:lineRule="auto" w:line="360"/>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adjudicar o objeto e homologar a licitação.</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sz w:val="22"/>
          <w:szCs w:val="22"/>
        </w:rPr>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16. DO SISTEMA DE REGISTRO DE PREÇOS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as Saúde ou os serviços com preços iguais aos do adjudicatário, observada a classificação na licitação; e</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 CONDIÇÕES PARA ASSINATURA DA ATA DE REGISTRO DE PREÇOS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360"/>
        <w:jc w:val="both"/>
        <w:rPr>
          <w:rFonts w:ascii="Arial" w:hAnsi="Arial"/>
          <w:sz w:val="22"/>
          <w:szCs w:val="22"/>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b/>
          <w:bCs/>
          <w:sz w:val="22"/>
          <w:szCs w:val="22"/>
        </w:rPr>
        <w:t xml:space="preserve">18. </w:t>
      </w:r>
      <w:r>
        <w:rPr>
          <w:rFonts w:cs="Arial" w:ascii="Arial" w:hAnsi="Arial"/>
          <w:b/>
          <w:bCs/>
          <w:color w:val="000000"/>
          <w:sz w:val="22"/>
          <w:szCs w:val="22"/>
          <w:shd w:fill="auto" w:val="clear"/>
        </w:rPr>
        <w:t>DA VIGÊNCIA DA ATA DE REGISTRO DE PREÇOS</w:t>
      </w:r>
    </w:p>
    <w:p>
      <w:pPr>
        <w:pStyle w:val="Default"/>
        <w:spacing w:lineRule="auto" w:line="360"/>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numPr>
          <w:ilvl w:val="0"/>
          <w:numId w:val="1"/>
        </w:numPr>
        <w:spacing w:lineRule="auto" w:line="360"/>
        <w:jc w:val="both"/>
        <w:rPr>
          <w:rFonts w:ascii="Arial" w:hAnsi="Arial"/>
          <w:sz w:val="22"/>
          <w:szCs w:val="22"/>
        </w:rPr>
      </w:pPr>
      <w:r>
        <w:rPr>
          <w:rFonts w:ascii="Arial" w:hAnsi="Arial"/>
          <w:b/>
          <w:bCs/>
          <w:sz w:val="22"/>
          <w:szCs w:val="22"/>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das Saúde ou dos serviços registrados, nas seguintes situações: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1"/>
        </w:numPr>
        <w:spacing w:lineRule="auto" w:line="360"/>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20. </w:t>
      </w:r>
      <w:r>
        <w:rPr>
          <w:rFonts w:cs="Arial" w:ascii="Arial" w:hAnsi="Arial"/>
          <w:b/>
          <w:color w:val="000000"/>
          <w:sz w:val="22"/>
          <w:szCs w:val="22"/>
          <w:shd w:fill="auto" w:val="clear"/>
        </w:rPr>
        <w:t xml:space="preserve">DO CANCELAMENTO DO REGISTRO DO FORNECEDOR E DOS PREÇOS REGISTRADOS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1"/>
        </w:numPr>
        <w:spacing w:lineRule="auto" w:line="360"/>
        <w:ind w:left="0" w:right="0" w:hanging="0"/>
        <w:rPr>
          <w:rFonts w:ascii="Arial" w:hAnsi="Arial"/>
          <w:sz w:val="22"/>
          <w:szCs w:val="22"/>
        </w:rPr>
      </w:pPr>
      <w:r>
        <w:rPr>
          <w:rFonts w:cs="Arial" w:ascii="Arial" w:hAnsi="Arial"/>
          <w:b/>
          <w:color w:val="000000"/>
          <w:sz w:val="22"/>
          <w:szCs w:val="22"/>
          <w:shd w:fill="auto" w:val="clear"/>
        </w:rPr>
        <w:t xml:space="preserve">20.6. </w:t>
      </w:r>
      <w:r>
        <w:rPr>
          <w:rFonts w:cs="Arial" w:ascii="Arial" w:hAnsi="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19c6y18"/>
      <w:bookmarkStart w:id="2" w:name="_3tbugp1"/>
      <w:bookmarkStart w:id="3" w:name="_46r0co2"/>
    </w:p>
    <w:p>
      <w:pPr>
        <w:pStyle w:val="Normal"/>
        <w:spacing w:lineRule="auto" w:line="36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spacing w:lineRule="auto" w:line="36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rPr>
        <w:t xml:space="preserve">21. </w:t>
      </w:r>
      <w:r>
        <w:rPr>
          <w:rFonts w:cs="Arial" w:ascii="Arial" w:hAnsi="Arial"/>
          <w:b/>
          <w:color w:val="000000"/>
          <w:sz w:val="22"/>
          <w:szCs w:val="22"/>
          <w:shd w:fill="auto" w:val="clear"/>
        </w:rPr>
        <w:t xml:space="preserve">DA CONTRATAÇÃO DECORRENTE DA ATA DE REGISTRO DE PREÇOS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1"/>
        </w:numPr>
        <w:spacing w:lineRule="auto" w:line="360"/>
        <w:ind w:left="0" w:right="0" w:hanging="0"/>
        <w:rPr>
          <w:rFonts w:ascii="Arial" w:hAnsi="Arial"/>
          <w:sz w:val="22"/>
          <w:szCs w:val="22"/>
        </w:rPr>
      </w:pPr>
      <w:r>
        <w:rPr>
          <w:rFonts w:cs="Arial" w:ascii="Arial" w:hAnsi="Arial"/>
          <w:b/>
          <w:color w:val="000000"/>
          <w:sz w:val="22"/>
          <w:szCs w:val="22"/>
          <w:shd w:fill="auto" w:val="clear"/>
        </w:rPr>
        <w:t xml:space="preserve">21.3 </w:t>
      </w:r>
      <w:r>
        <w:rPr>
          <w:rFonts w:cs="Arial" w:ascii="Arial" w:hAnsi="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rFonts w:ascii="Arial" w:hAnsi="Arial"/>
          <w:sz w:val="22"/>
          <w:szCs w:val="22"/>
          <w:shd w:fill="auto" w:val="clear"/>
        </w:rPr>
        <w:t xml:space="preserve">22. </w:t>
      </w:r>
      <w:r>
        <w:rPr>
          <w:rFonts w:cs="Arial" w:ascii="Arial" w:hAnsi="Arial"/>
          <w:b/>
          <w:color w:val="000000"/>
          <w:sz w:val="22"/>
          <w:szCs w:val="22"/>
          <w:shd w:fill="auto" w:val="clear"/>
        </w:rPr>
        <w:t xml:space="preserve">DOS PRAZOS DE EXECUÇÃO E CONDIÇÕES DE PAGAMENTO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prestação de serviço/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tbl>
      <w:tblPr>
        <w:tblW w:w="5000" w:type="pct"/>
        <w:jc w:val="left"/>
        <w:tblInd w:w="55" w:type="dxa"/>
        <w:tblLayout w:type="fixed"/>
        <w:tblCellMar>
          <w:top w:w="55" w:type="dxa"/>
          <w:left w:w="55" w:type="dxa"/>
          <w:bottom w:w="55" w:type="dxa"/>
          <w:right w:w="55" w:type="dxa"/>
        </w:tblCellMar>
      </w:tblPr>
      <w:tblGrid>
        <w:gridCol w:w="968"/>
        <w:gridCol w:w="846"/>
        <w:gridCol w:w="736"/>
        <w:gridCol w:w="914"/>
        <w:gridCol w:w="1350"/>
        <w:gridCol w:w="627"/>
        <w:gridCol w:w="2045"/>
        <w:gridCol w:w="955"/>
        <w:gridCol w:w="1935"/>
      </w:tblGrid>
      <w:tr>
        <w:trPr/>
        <w:tc>
          <w:tcPr>
            <w:tcW w:w="968"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Sequência</w:t>
            </w:r>
          </w:p>
        </w:tc>
        <w:tc>
          <w:tcPr>
            <w:tcW w:w="846"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Dotação</w:t>
            </w:r>
          </w:p>
        </w:tc>
        <w:tc>
          <w:tcPr>
            <w:tcW w:w="736"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Órgão</w:t>
            </w:r>
          </w:p>
        </w:tc>
        <w:tc>
          <w:tcPr>
            <w:tcW w:w="914"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Unidade</w:t>
            </w:r>
          </w:p>
        </w:tc>
        <w:tc>
          <w:tcPr>
            <w:tcW w:w="1350"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Funcional</w:t>
            </w:r>
          </w:p>
        </w:tc>
        <w:tc>
          <w:tcPr>
            <w:tcW w:w="627"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Ação</w:t>
            </w:r>
          </w:p>
        </w:tc>
        <w:tc>
          <w:tcPr>
            <w:tcW w:w="2045"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Elemento</w:t>
            </w:r>
          </w:p>
        </w:tc>
        <w:tc>
          <w:tcPr>
            <w:tcW w:w="955"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Vínculo</w:t>
            </w:r>
          </w:p>
        </w:tc>
        <w:tc>
          <w:tcPr>
            <w:tcW w:w="1935"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Elemento - Descrição</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17</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0004.0122.0002</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2004</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74</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4</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0004.0122.0007</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2013</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18</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119</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0004.0122.0010</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2021</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0004.0125.0010</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2024</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19</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160</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0004.0127.0008</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2020</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21</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181</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0004.0122.0011</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2026</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22</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230</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0017.0512.0018</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2034</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264</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0026.0782.0019</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2036</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23</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317</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4</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0026.0782.0021</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2039</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24</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318</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4</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0026.0782.0021</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2039</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17520000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14</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332</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0012.0122.0022</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2041</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25</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372</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0012.0361.0026</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2056</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26</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373</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0012.0361.0026</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2056</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15500000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27</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512</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8</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0020.0122.0028</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2062</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536</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8</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0020.0606.0029</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2074</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28</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574</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8</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0018.0542.0047</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2097</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4</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659</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0010.0301.0036</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2088</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15001002</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5</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660</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0010.0301.0036</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2088</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16004500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661</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0010.0301.0036</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2088</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16214011</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8</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836</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10</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0008.0243.0042</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2102</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29</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859</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10</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0008.0122.0040</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2098</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16691184</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16</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997</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13</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0004.0122.0058</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2131</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1215</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0012.0122.0022</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2041</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25001000</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r>
        <w:trPr/>
        <w:tc>
          <w:tcPr>
            <w:tcW w:w="96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13</w:t>
            </w:r>
          </w:p>
        </w:tc>
        <w:tc>
          <w:tcPr>
            <w:tcW w:w="84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1283</w:t>
            </w:r>
          </w:p>
        </w:tc>
        <w:tc>
          <w:tcPr>
            <w:tcW w:w="73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w:t>
            </w:r>
          </w:p>
        </w:tc>
        <w:tc>
          <w:tcPr>
            <w:tcW w:w="914"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0010.0301.0036</w:t>
            </w:r>
          </w:p>
        </w:tc>
        <w:tc>
          <w:tcPr>
            <w:tcW w:w="62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2088</w:t>
            </w:r>
          </w:p>
        </w:tc>
        <w:tc>
          <w:tcPr>
            <w:tcW w:w="204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33390303900000000000</w:t>
            </w:r>
          </w:p>
        </w:tc>
        <w:tc>
          <w:tcPr>
            <w:tcW w:w="95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26214011</w:t>
            </w:r>
          </w:p>
        </w:tc>
        <w:tc>
          <w:tcPr>
            <w:tcW w:w="1935"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Material para manutenção de veículos</w:t>
            </w:r>
          </w:p>
        </w:tc>
      </w:tr>
    </w:tbl>
    <w:p>
      <w:pPr>
        <w:pStyle w:val="Normal"/>
        <w:spacing w:lineRule="auto" w:line="360"/>
        <w:jc w:val="both"/>
        <w:rPr>
          <w:rFonts w:ascii="Arial" w:hAnsi="Arial" w:cs="Arial"/>
          <w:sz w:val="22"/>
          <w:szCs w:val="22"/>
          <w:shd w:fill="FFFF00" w:val="clear"/>
        </w:rPr>
      </w:pPr>
      <w:r>
        <w:rPr>
          <w:rFonts w:cs="Arial" w:ascii="Arial" w:hAnsi="Arial"/>
          <w:sz w:val="22"/>
          <w:szCs w:val="22"/>
          <w:shd w:fill="FFFF00" w:val="clear"/>
        </w:rPr>
      </w:r>
    </w:p>
    <w:p>
      <w:pPr>
        <w:pStyle w:val="Normal"/>
        <w:spacing w:lineRule="auto" w:line="360"/>
        <w:jc w:val="both"/>
        <w:rPr>
          <w:rFonts w:ascii="Arial" w:hAnsi="Arial" w:cs="Arial"/>
          <w:sz w:val="22"/>
          <w:szCs w:val="22"/>
          <w:shd w:fill="FFFF00" w:val="clear"/>
        </w:rPr>
      </w:pPr>
      <w:r>
        <w:rPr>
          <w:rFonts w:cs="Arial" w:ascii="Arial" w:hAnsi="Arial"/>
          <w:sz w:val="22"/>
          <w:szCs w:val="22"/>
          <w:shd w:fill="FFFF00" w:val="clear"/>
        </w:rPr>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rPr>
        <w:t xml:space="preserve">23. DAS </w:t>
      </w:r>
      <w:r>
        <w:rPr>
          <w:rFonts w:cs="Arial" w:ascii="Arial" w:hAnsi="Arial"/>
          <w:b/>
          <w:bCs/>
          <w:color w:val="000000"/>
          <w:sz w:val="22"/>
          <w:szCs w:val="22"/>
          <w:shd w:fill="auto" w:val="clear"/>
        </w:rPr>
        <w:t>SANÇÕES ADMINISTRATIVAS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360"/>
        <w:jc w:val="both"/>
        <w:rPr>
          <w:rFonts w:ascii="Arial" w:hAnsi="Arial"/>
          <w:sz w:val="22"/>
          <w:szCs w:val="22"/>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360"/>
        <w:jc w:val="both"/>
        <w:rPr>
          <w:rFonts w:ascii="Arial" w:hAnsi="Arial"/>
          <w:sz w:val="22"/>
          <w:szCs w:val="22"/>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360"/>
        <w:jc w:val="both"/>
        <w:rPr>
          <w:rFonts w:ascii="Arial" w:hAnsi="Arial"/>
          <w:sz w:val="22"/>
          <w:szCs w:val="22"/>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360"/>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360"/>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360"/>
        <w:jc w:val="both"/>
        <w:rPr>
          <w:rFonts w:ascii="Arial" w:hAnsi="Arial"/>
          <w:sz w:val="22"/>
          <w:szCs w:val="22"/>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360"/>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360"/>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tabs>
          <w:tab w:val="clear" w:pos="408"/>
          <w:tab w:val="left" w:pos="1134" w:leader="none"/>
        </w:tabs>
        <w:spacing w:lineRule="auto" w:line="360"/>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 DOS PEDIDOS DE ESCLARECIMENTOS E IMPUGNAÇÕES </w:t>
      </w:r>
    </w:p>
    <w:p>
      <w:pPr>
        <w:pStyle w:val="Normal"/>
        <w:spacing w:lineRule="auto" w:line="360"/>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360" w:before="0" w:after="0"/>
        <w:ind w:left="567" w:right="0" w:hanging="567"/>
        <w:jc w:val="both"/>
        <w:rPr>
          <w:rFonts w:ascii="Arial" w:hAnsi="Arial"/>
          <w:sz w:val="22"/>
          <w:szCs w:val="22"/>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360" w:before="0" w:after="0"/>
        <w:ind w:left="0" w:right="0" w:hanging="0"/>
        <w:jc w:val="both"/>
        <w:rPr>
          <w:rFonts w:ascii="Arial" w:hAnsi="Arial"/>
          <w:sz w:val="22"/>
          <w:szCs w:val="22"/>
        </w:rPr>
      </w:pPr>
      <w:r>
        <w:rPr>
          <w:rFonts w:eastAsia="Arial" w:cs="Arial" w:ascii="Arial" w:hAnsi="Arial"/>
          <w:b/>
          <w:bCs/>
          <w:sz w:val="22"/>
          <w:szCs w:val="22"/>
          <w:shd w:fill="auto" w:val="clear"/>
        </w:rPr>
        <w:t>25.11.</w:t>
      </w:r>
      <w:r>
        <w:rPr>
          <w:rFonts w:eastAsia="Arial" w:cs="Arial" w:ascii="Arial" w:hAnsi="Arial"/>
          <w:sz w:val="22"/>
          <w:szCs w:val="22"/>
          <w:shd w:fill="auto" w:val="clear"/>
        </w:rPr>
        <w:t xml:space="preserve"> </w:t>
      </w:r>
      <w:r>
        <w:rPr>
          <w:rFonts w:eastAsia="Arial" w:cs="Arial" w:ascii="Arial" w:hAnsi="Arial"/>
          <w:b w:val="false"/>
          <w:bCs w:val="false"/>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360" w:before="0" w:after="0"/>
        <w:ind w:left="0" w:right="0" w:hanging="0"/>
        <w:jc w:val="both"/>
        <w:rPr>
          <w:rFonts w:ascii="Arial" w:hAnsi="Arial"/>
          <w:sz w:val="22"/>
          <w:szCs w:val="22"/>
        </w:rPr>
      </w:pPr>
      <w:r>
        <w:rPr>
          <w:rFonts w:ascii="Arial" w:hAnsi="Arial"/>
          <w:sz w:val="22"/>
          <w:szCs w:val="22"/>
        </w:rPr>
      </w:r>
    </w:p>
    <w:p>
      <w:pPr>
        <w:pStyle w:val="Normal"/>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4 de fevereiro de 2025</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GILSON ADRIANO BECKER</w:t>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Prefeito Municipal</w:t>
      </w:r>
    </w:p>
    <w:p>
      <w:pPr>
        <w:pStyle w:val="Itemdoedital"/>
        <w:widowControl/>
        <w:numPr>
          <w:ilvl w:val="0"/>
          <w:numId w:val="0"/>
        </w:numPr>
        <w:suppressAutoHyphens w:val="true"/>
        <w:overflowPunct w:val="true"/>
        <w:spacing w:lineRule="auto" w:line="360"/>
        <w:ind w:left="0" w:right="0" w:hanging="0"/>
        <w:jc w:val="center"/>
        <w:rPr>
          <w:rFonts w:ascii="Arial" w:hAnsi="Arial"/>
          <w:sz w:val="22"/>
          <w:szCs w:val="22"/>
          <w:shd w:fill="auto" w:val="clear"/>
        </w:rPr>
      </w:pPr>
      <w:r>
        <w:rPr>
          <w:rFonts w:ascii="Arial" w:hAnsi="Arial"/>
          <w:sz w:val="22"/>
          <w:szCs w:val="22"/>
          <w:shd w:fill="auto" w:val="clear"/>
        </w:rPr>
      </w:r>
      <w:r>
        <w:br w:type="page"/>
      </w:r>
    </w:p>
    <w:p>
      <w:pPr>
        <w:pStyle w:val="Itemdoedital"/>
        <w:numPr>
          <w:ilvl w:val="0"/>
          <w:numId w:val="1"/>
        </w:numPr>
        <w:spacing w:lineRule="auto" w:line="360"/>
        <w:ind w:left="0" w:right="0" w:hanging="0"/>
        <w:jc w:val="center"/>
        <w:rPr>
          <w:rFonts w:ascii="Arial" w:hAnsi="Arial"/>
          <w:sz w:val="22"/>
          <w:szCs w:val="22"/>
        </w:rPr>
      </w:pPr>
      <w:r>
        <w:rPr>
          <w:rFonts w:ascii="Arial" w:hAnsi="Arial"/>
          <w:sz w:val="22"/>
          <w:szCs w:val="22"/>
          <w:shd w:fill="auto" w:val="clear"/>
        </w:rPr>
        <w:t>ANEXO I – TERMO DE REFERÊNCIA</w:t>
      </w:r>
    </w:p>
    <w:p>
      <w:pPr>
        <w:pStyle w:val="LO-normal1"/>
        <w:numPr>
          <w:ilvl w:val="0"/>
          <w:numId w:val="1"/>
        </w:numPr>
        <w:spacing w:lineRule="auto" w:line="360"/>
        <w:jc w:val="center"/>
        <w:rPr>
          <w:rFonts w:ascii="Arial" w:hAnsi="Arial"/>
          <w:sz w:val="22"/>
          <w:szCs w:val="22"/>
        </w:rPr>
      </w:pPr>
      <w:r>
        <w:rPr>
          <w:rFonts w:eastAsia="Arial" w:cs="Arial" w:ascii="Arial" w:hAnsi="Arial"/>
          <w:b/>
          <w:color w:val="000000"/>
          <w:sz w:val="22"/>
          <w:szCs w:val="22"/>
          <w:shd w:fill="auto" w:val="clear"/>
        </w:rPr>
        <w:t xml:space="preserve">Art.6°, XXIII e Art.40, § 1º, da Lei 14.133/21 </w:t>
      </w:r>
    </w:p>
    <w:p>
      <w:pPr>
        <w:pStyle w:val="LO-normal1"/>
        <w:numPr>
          <w:ilvl w:val="0"/>
          <w:numId w:val="1"/>
        </w:numPr>
        <w:spacing w:lineRule="auto" w:line="360"/>
        <w:jc w:val="center"/>
        <w:rPr>
          <w:rFonts w:ascii="Arial" w:hAnsi="Arial"/>
          <w:sz w:val="22"/>
          <w:szCs w:val="22"/>
        </w:rPr>
      </w:pPr>
      <w:r>
        <w:rPr>
          <w:rFonts w:eastAsia="Arial" w:cs="Arial" w:ascii="Arial" w:hAnsi="Arial"/>
          <w:b/>
          <w:color w:val="000000"/>
          <w:sz w:val="22"/>
          <w:szCs w:val="22"/>
          <w:shd w:fill="auto" w:val="clear"/>
        </w:rPr>
        <w:t>Município de Vera Cruz / RS</w:t>
      </w:r>
    </w:p>
    <w:p>
      <w:pPr>
        <w:pStyle w:val="LO-normal1"/>
        <w:numPr>
          <w:ilvl w:val="0"/>
          <w:numId w:val="1"/>
        </w:numPr>
        <w:spacing w:lineRule="auto" w:line="360"/>
        <w:jc w:val="center"/>
        <w:rPr>
          <w:rFonts w:ascii="Arial" w:hAnsi="Arial"/>
          <w:sz w:val="22"/>
          <w:szCs w:val="22"/>
        </w:rPr>
      </w:pPr>
      <w:r>
        <w:rPr>
          <w:rFonts w:eastAsia="Arial" w:cs="Arial" w:ascii="Arial" w:hAnsi="Arial"/>
          <w:b/>
          <w:color w:val="000000"/>
          <w:sz w:val="22"/>
          <w:szCs w:val="22"/>
          <w:shd w:fill="auto" w:val="clear"/>
        </w:rPr>
        <w:fldChar w:fldCharType="begin"/>
      </w:r>
      <w:r>
        <w:rPr>
          <w:sz w:val="22"/>
          <w:b/>
          <w:shd w:fill="auto" w:val="clear"/>
          <w:szCs w:val="22"/>
          <w:rFonts w:eastAsia="Arial" w:cs="Arial" w:ascii="Arial" w:hAnsi="Arial"/>
          <w:color w:val="000000"/>
        </w:rPr>
        <w:instrText xml:space="preserve"> DOCVARIABLE Qsecretaria </w:instrText>
      </w:r>
      <w:r>
        <w:rPr>
          <w:sz w:val="22"/>
          <w:b/>
          <w:shd w:fill="auto" w:val="clear"/>
          <w:szCs w:val="22"/>
          <w:rFonts w:eastAsia="Arial" w:cs="Arial" w:ascii="Arial" w:hAnsi="Arial"/>
          <w:color w:val="000000"/>
        </w:rPr>
        <w:fldChar w:fldCharType="separate"/>
      </w:r>
      <w:r>
        <w:rPr>
          <w:sz w:val="22"/>
          <w:b/>
          <w:shd w:fill="auto" w:val="clear"/>
          <w:szCs w:val="22"/>
          <w:rFonts w:eastAsia="Arial" w:cs="Arial" w:ascii="Arial" w:hAnsi="Arial"/>
          <w:color w:val="000000"/>
        </w:rPr>
        <w:t>Secretaria Municipal de Administração, Secretaria Municipal de Saúde, Secretaria Municipal de Obras, Saneamento e Trânsito, Secretaria Municipal de Desenvolvimento Rural e Meio Ambiente, Secretaria Municipal de Educação, Secretaria Municipal de Desenvolvimento Social, Secretaria Municipal de Cultura, Esporte e Lazer</w:t>
      </w:r>
      <w:r>
        <w:rPr>
          <w:sz w:val="22"/>
          <w:b/>
          <w:shd w:fill="auto" w:val="clear"/>
          <w:szCs w:val="22"/>
          <w:rFonts w:eastAsia="Arial" w:cs="Arial" w:ascii="Arial" w:hAnsi="Arial"/>
          <w:color w:val="000000"/>
        </w:rPr>
        <w:fldChar w:fldCharType="end"/>
      </w:r>
    </w:p>
    <w:p>
      <w:pPr>
        <w:pStyle w:val="Corpodotexto"/>
        <w:numPr>
          <w:ilvl w:val="0"/>
          <w:numId w:val="1"/>
        </w:numPr>
        <w:spacing w:lineRule="auto" w:line="360" w:before="0" w:after="0"/>
        <w:jc w:val="center"/>
        <w:rPr>
          <w:rFonts w:ascii="Arial" w:hAnsi="Arial" w:cs="Times New Roman"/>
          <w:sz w:val="22"/>
          <w:szCs w:val="22"/>
          <w:highlight w:val="none"/>
          <w:shd w:fill="FFFF00" w:val="clear"/>
        </w:rPr>
      </w:pPr>
      <w:r>
        <w:rPr>
          <w:rFonts w:cs="Times New Roman" w:ascii="Arial" w:hAnsi="Arial"/>
          <w:sz w:val="22"/>
          <w:szCs w:val="22"/>
          <w:shd w:fill="FFFF00" w:val="clear"/>
        </w:rPr>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sz w:val="22"/>
          <w:szCs w:val="22"/>
        </w:rPr>
      </w:pPr>
      <w:r>
        <w:rPr>
          <w:rFonts w:cs="Arial" w:ascii="Arial" w:hAnsi="Arial"/>
          <w:b/>
          <w:sz w:val="22"/>
          <w:szCs w:val="22"/>
        </w:rPr>
        <w:t>TERMO DE REFERÊNCIA</w:t>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cs="Arial"/>
          <w:sz w:val="22"/>
          <w:szCs w:val="22"/>
        </w:rPr>
      </w:pPr>
      <w:r>
        <w:rPr>
          <w:rFonts w:cs="Arial" w:ascii="Arial" w:hAnsi="Arial"/>
          <w:sz w:val="22"/>
          <w:szCs w:val="22"/>
        </w:rPr>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b/>
          <w:bCs/>
          <w:sz w:val="22"/>
          <w:szCs w:val="22"/>
        </w:rPr>
        <w:t>PROCESSO ADMINISTRATIVO Nº</w:t>
      </w:r>
      <w:r>
        <w:rPr>
          <w:rFonts w:cs="Arial" w:ascii="Arial" w:hAnsi="Arial"/>
          <w:b/>
          <w:bCs/>
          <w:sz w:val="22"/>
          <w:szCs w:val="22"/>
          <w:shd w:fill="auto" w:val="clear"/>
        </w:rPr>
        <w:t xml:space="preserve"> </w:t>
      </w:r>
      <w:r>
        <w:rPr>
          <w:rFonts w:cs="Arial" w:ascii="Arial" w:hAnsi="Arial"/>
          <w:b/>
          <w:bCs/>
          <w:sz w:val="22"/>
          <w:szCs w:val="22"/>
        </w:rPr>
        <w:t>/2025</w:t>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sz w:val="22"/>
          <w:szCs w:val="22"/>
        </w:rPr>
        <w:t>Município de Vera Cruz / RS</w:t>
      </w:r>
    </w:p>
    <w:p>
      <w:pPr>
        <w:pStyle w:val="Normal"/>
        <w:numPr>
          <w:ilvl w:val="0"/>
          <w:numId w:val="1"/>
        </w:numPr>
        <w:spacing w:lineRule="auto" w:line="360"/>
        <w:jc w:val="both"/>
        <w:rPr>
          <w:rFonts w:ascii="Arial" w:hAnsi="Arial"/>
          <w:sz w:val="22"/>
          <w:szCs w:val="22"/>
        </w:rPr>
      </w:pPr>
      <w:r>
        <w:rPr>
          <w:rFonts w:cs="Arial" w:ascii="Arial" w:hAnsi="Arial"/>
          <w:sz w:val="22"/>
          <w:szCs w:val="22"/>
        </w:rPr>
        <w:t>Secretaria Municipal de Administração</w:t>
      </w:r>
    </w:p>
    <w:p>
      <w:pPr>
        <w:pStyle w:val="Normal"/>
        <w:numPr>
          <w:ilvl w:val="0"/>
          <w:numId w:val="1"/>
        </w:numPr>
        <w:spacing w:lineRule="auto" w:line="360"/>
        <w:jc w:val="both"/>
        <w:rPr>
          <w:rFonts w:ascii="Arial" w:hAnsi="Arial"/>
          <w:sz w:val="22"/>
          <w:szCs w:val="22"/>
        </w:rPr>
      </w:pPr>
      <w:r>
        <w:rPr>
          <w:rFonts w:cs="Arial" w:ascii="Arial" w:hAnsi="Arial"/>
          <w:sz w:val="22"/>
          <w:szCs w:val="22"/>
        </w:rPr>
        <w:t>Secretaria Municipal de Saúde</w:t>
      </w:r>
    </w:p>
    <w:p>
      <w:pPr>
        <w:pStyle w:val="Normal"/>
        <w:numPr>
          <w:ilvl w:val="0"/>
          <w:numId w:val="1"/>
        </w:numPr>
        <w:spacing w:lineRule="auto" w:line="360"/>
        <w:jc w:val="both"/>
        <w:rPr>
          <w:rFonts w:ascii="Arial" w:hAnsi="Arial"/>
          <w:sz w:val="22"/>
          <w:szCs w:val="22"/>
        </w:rPr>
      </w:pPr>
      <w:r>
        <w:rPr>
          <w:rFonts w:cs="Arial" w:ascii="Arial" w:hAnsi="Arial"/>
          <w:sz w:val="22"/>
          <w:szCs w:val="22"/>
        </w:rPr>
        <w:t>Secretaria Municipal de Obras, Saneamento e Trânsito</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Secretaria Municipal de Desenvolvimento Rural </w:t>
      </w:r>
    </w:p>
    <w:p>
      <w:pPr>
        <w:pStyle w:val="Normal"/>
        <w:numPr>
          <w:ilvl w:val="0"/>
          <w:numId w:val="1"/>
        </w:numPr>
        <w:spacing w:lineRule="auto" w:line="360"/>
        <w:jc w:val="both"/>
        <w:rPr>
          <w:rFonts w:ascii="Arial" w:hAnsi="Arial"/>
          <w:sz w:val="22"/>
          <w:szCs w:val="22"/>
        </w:rPr>
      </w:pPr>
      <w:r>
        <w:rPr>
          <w:rFonts w:cs="Arial" w:ascii="Arial" w:hAnsi="Arial"/>
          <w:sz w:val="22"/>
          <w:szCs w:val="22"/>
        </w:rPr>
        <w:t>Secretaria Municipal de Educação</w:t>
      </w:r>
    </w:p>
    <w:p>
      <w:pPr>
        <w:pStyle w:val="Normal"/>
        <w:numPr>
          <w:ilvl w:val="0"/>
          <w:numId w:val="1"/>
        </w:numPr>
        <w:spacing w:lineRule="auto" w:line="360"/>
        <w:jc w:val="both"/>
        <w:rPr>
          <w:rFonts w:ascii="Arial" w:hAnsi="Arial"/>
          <w:sz w:val="22"/>
          <w:szCs w:val="22"/>
        </w:rPr>
      </w:pPr>
      <w:r>
        <w:rPr>
          <w:rFonts w:cs="Arial" w:ascii="Arial" w:hAnsi="Arial"/>
          <w:sz w:val="22"/>
          <w:szCs w:val="22"/>
        </w:rPr>
        <w:t>Secretaria Municipal de Desenvolvimento Social</w:t>
      </w:r>
    </w:p>
    <w:p>
      <w:pPr>
        <w:pStyle w:val="Normal"/>
        <w:numPr>
          <w:ilvl w:val="0"/>
          <w:numId w:val="1"/>
        </w:numPr>
        <w:spacing w:lineRule="auto" w:line="360"/>
        <w:jc w:val="left"/>
        <w:rPr>
          <w:rFonts w:ascii="Arial" w:hAnsi="Arial"/>
          <w:sz w:val="22"/>
          <w:szCs w:val="22"/>
        </w:rPr>
      </w:pPr>
      <w:r>
        <w:rPr>
          <w:rFonts w:cs="Arial" w:ascii="Arial" w:hAnsi="Arial"/>
          <w:sz w:val="22"/>
          <w:szCs w:val="22"/>
        </w:rPr>
        <w:t>Secretaria Municipal de Cultura, Esporte e Lazer</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Necessidade da Administração: </w:t>
      </w:r>
      <w:r>
        <w:rPr>
          <w:rFonts w:cs="Arial" w:ascii="Arial" w:hAnsi="Arial"/>
          <w:color w:val="000000"/>
          <w:sz w:val="22"/>
          <w:szCs w:val="22"/>
        </w:rPr>
        <w:t>Aquisição de filtros lubrificantes para</w:t>
      </w:r>
      <w:r>
        <w:rPr>
          <w:rFonts w:cs="Arial" w:ascii="Arial" w:hAnsi="Arial"/>
          <w:sz w:val="22"/>
          <w:szCs w:val="22"/>
        </w:rPr>
        <w:t xml:space="preserve"> frota de veículos e máquinas da Prefeitura Municipal de Vera Cruz.</w:t>
      </w:r>
    </w:p>
    <w:p>
      <w:pPr>
        <w:pStyle w:val="Normal"/>
        <w:numPr>
          <w:ilvl w:val="0"/>
          <w:numId w:val="1"/>
        </w:numPr>
        <w:spacing w:lineRule="auto" w:line="36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 xml:space="preserve">1. DEFINIÇÃO DO OBJETO </w:t>
      </w:r>
    </w:p>
    <w:p>
      <w:pPr>
        <w:pStyle w:val="Corpodotexto"/>
        <w:numPr>
          <w:ilvl w:val="0"/>
          <w:numId w:val="1"/>
        </w:numPr>
        <w:spacing w:lineRule="auto" w:line="360"/>
        <w:rPr>
          <w:rFonts w:ascii="Arial" w:hAnsi="Arial"/>
          <w:sz w:val="22"/>
          <w:szCs w:val="22"/>
        </w:rPr>
      </w:pPr>
      <w:r>
        <w:rPr>
          <w:rFonts w:eastAsia="Arial" w:cs="Arial" w:ascii="Arial" w:hAnsi="Arial"/>
          <w:sz w:val="22"/>
          <w:szCs w:val="22"/>
        </w:rPr>
        <w:t xml:space="preserve"> </w:t>
      </w:r>
      <w:r>
        <w:rPr>
          <w:rFonts w:cs="Arial" w:ascii="Arial" w:hAnsi="Arial"/>
          <w:sz w:val="22"/>
          <w:szCs w:val="22"/>
        </w:rPr>
        <w:t>O objeto da presente licitação é o Registro de Preços para Aquisição de filtros lubrificantes para frota de veículos e máquinas da Prefeitura Municipal de Vera Cruz. Portanto, a aquisição dos filtros lubrificantes é imprescindível para o funcionamento adequado e a manutenção preventiva dos veículos e máquinas, garantindo a eficiência na prestação do serviço público. Esses itens possuem vida útil limitada, sendo necessária a reposição periódica para assegurar o bom desempenho e a durabilidade dos equipamentos.</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As especificações dos itens, quantidades estimadas e preços de referência são especificações da tabela abaixo e compreendem o estipulado no ETP – Estudo Técnico Preliminar:</w:t>
      </w:r>
    </w:p>
    <w:p>
      <w:pPr>
        <w:pStyle w:val="Normal"/>
        <w:spacing w:lineRule="auto" w:line="360" w:before="0" w:after="0"/>
        <w:jc w:val="both"/>
        <w:rPr>
          <w:rFonts w:ascii="Arial" w:hAnsi="Arial" w:cs="Arial"/>
          <w:sz w:val="22"/>
          <w:szCs w:val="22"/>
        </w:rPr>
      </w:pPr>
      <w:r>
        <w:rPr>
          <w:rFonts w:cs="Arial" w:ascii="Arial" w:hAnsi="Arial"/>
          <w:sz w:val="22"/>
          <w:szCs w:val="22"/>
        </w:rPr>
      </w:r>
    </w:p>
    <w:p>
      <w:pPr>
        <w:pStyle w:val="Normal"/>
        <w:spacing w:lineRule="auto" w:line="360" w:before="0" w:after="0"/>
        <w:jc w:val="both"/>
        <w:rPr>
          <w:rFonts w:ascii="Arial" w:hAnsi="Arial" w:cs="Arial"/>
          <w:sz w:val="22"/>
          <w:szCs w:val="22"/>
        </w:rPr>
      </w:pPr>
      <w:r>
        <w:rPr>
          <w:rFonts w:cs="Arial" w:ascii="Arial" w:hAnsi="Arial"/>
          <w:sz w:val="22"/>
          <w:szCs w:val="22"/>
        </w:rPr>
      </w:r>
    </w:p>
    <w:p>
      <w:pPr>
        <w:pStyle w:val="Normal"/>
        <w:spacing w:lineRule="auto" w:line="360" w:before="0" w:after="0"/>
        <w:jc w:val="both"/>
        <w:rPr>
          <w:rFonts w:ascii="Arial" w:hAnsi="Arial" w:cs="Arial"/>
          <w:sz w:val="22"/>
          <w:szCs w:val="22"/>
        </w:rPr>
      </w:pPr>
      <w:r>
        <w:rPr>
          <w:rFonts w:cs="Arial" w:ascii="Arial" w:hAnsi="Arial"/>
          <w:sz w:val="22"/>
          <w:szCs w:val="22"/>
        </w:rPr>
      </w:r>
    </w:p>
    <w:p>
      <w:pPr>
        <w:pStyle w:val="Normal"/>
        <w:spacing w:lineRule="auto" w:line="360" w:before="0" w:after="0"/>
        <w:jc w:val="both"/>
        <w:rPr>
          <w:rFonts w:ascii="Arial" w:hAnsi="Arial" w:cs="Arial"/>
          <w:sz w:val="22"/>
          <w:szCs w:val="22"/>
        </w:rPr>
      </w:pPr>
      <w:r>
        <w:rPr>
          <w:rFonts w:cs="Arial" w:ascii="Arial" w:hAnsi="Arial"/>
          <w:sz w:val="22"/>
          <w:szCs w:val="22"/>
        </w:rPr>
      </w:r>
    </w:p>
    <w:tbl>
      <w:tblPr>
        <w:tblW w:w="5000" w:type="pct"/>
        <w:jc w:val="left"/>
        <w:tblInd w:w="55" w:type="dxa"/>
        <w:tblLayout w:type="fixed"/>
        <w:tblCellMar>
          <w:top w:w="55" w:type="dxa"/>
          <w:left w:w="55" w:type="dxa"/>
          <w:bottom w:w="55" w:type="dxa"/>
          <w:right w:w="55" w:type="dxa"/>
        </w:tblCellMar>
      </w:tblPr>
      <w:tblGrid>
        <w:gridCol w:w="405"/>
        <w:gridCol w:w="536"/>
        <w:gridCol w:w="3215"/>
        <w:gridCol w:w="643"/>
        <w:gridCol w:w="659"/>
        <w:gridCol w:w="941"/>
        <w:gridCol w:w="833"/>
        <w:gridCol w:w="957"/>
        <w:gridCol w:w="706"/>
        <w:gridCol w:w="659"/>
        <w:gridCol w:w="821"/>
      </w:tblGrid>
      <w:tr>
        <w:trPr/>
        <w:tc>
          <w:tcPr>
            <w:tcW w:w="405"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Item</w:t>
            </w:r>
          </w:p>
        </w:tc>
        <w:tc>
          <w:tcPr>
            <w:tcW w:w="536"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Produto - Código</w:t>
            </w:r>
          </w:p>
        </w:tc>
        <w:tc>
          <w:tcPr>
            <w:tcW w:w="3215"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Produto - Descrição</w:t>
            </w:r>
          </w:p>
        </w:tc>
        <w:tc>
          <w:tcPr>
            <w:tcW w:w="643"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Unidade - Descrição</w:t>
            </w:r>
          </w:p>
        </w:tc>
        <w:tc>
          <w:tcPr>
            <w:tcW w:w="659"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Quantidade - Requisição</w:t>
            </w:r>
          </w:p>
        </w:tc>
        <w:tc>
          <w:tcPr>
            <w:tcW w:w="941"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LR REUTER</w:t>
            </w:r>
          </w:p>
        </w:tc>
        <w:tc>
          <w:tcPr>
            <w:tcW w:w="833"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SCHULTZ</w:t>
            </w:r>
          </w:p>
        </w:tc>
        <w:tc>
          <w:tcPr>
            <w:tcW w:w="957"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LUBRIHAUS</w:t>
            </w:r>
          </w:p>
        </w:tc>
        <w:tc>
          <w:tcPr>
            <w:tcW w:w="706"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Média</w:t>
            </w:r>
          </w:p>
        </w:tc>
        <w:tc>
          <w:tcPr>
            <w:tcW w:w="659"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Mediana</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Valores - Total</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757.0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757 - PEÇA MECÂNICA - VEÍCULO AUTOMOTIVO, TIPO: KIT DUAS UNIDADES ELEMENTO FILTRO COMBUSTÍVEL, APLICAÇÃO: MERCEDES BENZ MODELO: 1113 1978, REFERÊNCIA: HDF501A / FCD0710/1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R$ 34,00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MODELO: 1113 1978/ BRITADOR MÓVEL MOTOR 352, REFERÊNCIA: EFL025</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166993.0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MERCEDES BENZ MODELO: 1113 1978, REFERÊNCIA: EFA 421/ WAP 187/S</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R$ 60,50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R$ 62,83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R$ 60,50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R$ 363,00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4832.0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MERCEDES BENZ MODELO: 1113 1978, REFERÊNCIA: WAP 163/ EFA 405</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9319.0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9319 - PEÇA MECÂNICA - VEÍCULO AUTOMOTIVO, TIPO: FILTRO COMBUSTIVEL, APLICAÇÃO: FORD CARGO MODELO: 2428 E 2006, REFERÊNCIA: FF5421/ FCD2098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R$ 62,00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R$ 63,00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R$ 63,67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R$ 2.646,00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170469.0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FORD CARGO MODELO: 1723 E ANO: 2017, REFERÊNCIA: FCD 3092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R$ 137,33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FORD CARGO MODELOS: 2428E 2006/ 1722E 2010, MICROONIBUS VW 8-160, 2017, REFERÊNCIA: FCD30123/ R120LJ</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R$ 62,00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R$ 63,00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R$ 64,33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R$ 1.512,00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FORD CARGO MODELOS: 2428E 2006/ 1722E 2010. IVECO TECTOR 170E25 2010. FOTON C 10-16 2014, MICROONIBUS VW 8-160, 2017, REFERÊNCIA: P550520/ BT 7237/ WO612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R$ 2.660,00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781.0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FORD CARGO MODELOS: 2428E 2006/ 1722E 2010 / 1723 2017. MERCEDES ATRON 2729 2013. VW CONSTELATION 31330 2018, REFERÊNCIA: EFL964/ WAP 103/S.</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R$ 131,00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R$ 4.536,00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770.0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FORD CARGO MODELOS: 2428E 2006/ 1722E 2010 / 1723 2017. MERCEDES ATRON 2729 2013. VW CONSTELATION 31330 2018, REFERÊNCIA: EFA 964/ WAP 103.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R$ 134,33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R$ 4.752,00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622.0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DESUMIDIFICADOR DO SISTEMA DE FREIO APLICAÇÃO: FORD CARGO MODELOS: 2428E 2006/ 1722E 2010/ 1723 2017 IVECO TECTOR 170E25 2010, REFERÊNCIA: BA5374/ DAF 100.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R$ 3.400,00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721.0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IVECO TECTOR MODELO: 170E25, REFERÊNCIA: MAHLE KC 125 / H705WK.</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594.0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IVECO MODELO: TECTOR 170E25 2010, REFERÊNCIA: CF1550.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596.0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IVECO MODELO: TECTOR 170E25 2010, REFERÊNCIA: C27902.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10646.0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CAMINHÃO FOTON MODELO: C10-16 2014, MICROONIBUS VW 8-160, 2017, REFERÊNCIA: FCD-4000.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10645.0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CAM. FOTON C 10-16 2014, REFERÊNCIA: K223019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R$ 1.812,00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10373.0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FOTON 1039 3110B, ANO: 2015, REFERÊNCIA: FOBR91S / WOP 1002.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10822.0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FOTON 1039 3110B, ANO: 2015, REFERÊNCIA: EFS104 / FCD0732.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10821.0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FOTON 1039 3110B 2015, REFERÊNCIA: K223019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R$ 359,00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R$ 1.755,00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9257.0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9257 - PEÇA/COMPONENTE RETROESCAVADEIRA, TIPO: FILTRO COMBUSTIVEL, APLICAÇÃO: RETROESCAVADEIRA RANDON RK406B/ RD406 ADVANCED. CAMINHÃO AGRALE 8500 2008, REFERÊNCIA: ECO796/ FDC0796.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R$ 2.310,00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9837.0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9837 - PEÇA/COMPONENTE RETROESCAVADEIRA, TIPO: FILTRO COMBUSTIVEL, APLICAÇÃO: RETROESCAVADEIRA RANDON RK406B/ RD 406 ADVANCED, REFERÊNCIA: R26A50.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9615.0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9615 - PEÇA/COMPONENTE RETROESCAVADEIRA, TIPO: FILTRO LUBRIFICANTE MOTOR, APLICAÇÃO: RETROESCAVADEIRA RANDON RK406B/ RD406 ADVANCED. CAMINHÃO AGRALE 8500 2008., REFERÊNCIA: WO480 / EFL521.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R$ 1.750,00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9332.0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RANDON RK406B ASPIRADA, REFERÊNCIA: EFA 948/ WAP 200/S</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R$ 48,00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9529.0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RANDON RK406B ASPIRADA, REFERÊNCIA: EFA 949/ WR 200/4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9072.0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9072 - PEÇA/COMPONENTE RETROESCAVADEIRA, TIPO: ELEMENTO FILTRO HIDRÁULICO, APLICAÇÃO: RETROESCAVADEIRA RANDON RK406B, REFERÊNCIA: TURBO TH 1101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9316.0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TRANSMISSÃO, APLICAÇÃO: RETROESCAVADEIRA RANDON RK406B/ RD406 ADVANCED/ CASE 580N, REFERÊNCIA: BT 8439 - MPG</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175872.0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CONDICIONADO, APLICAÇÃO: RETROESCAVADEIRA RANDON RK406B/RD406B, REFERÊNCIA: SK 1104.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9530.0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AR INTERNO, APLICAÇÃO: RETROESCAVADEIRA RANDON RK406B/ RD406 ADVANCED TURBINADA, RFERÊNCIA: EFA 942.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R$ 48,00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R$ 51,00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R$ 1.225,00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9018.0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AR EXTERNO, APLICAÇÃO: RETROESCAVADEIRA RANDON RK406B/ RD406 ADVANCED TURBINADA, REFERÊNCIA: EFA 945</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10399.0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TANQUE HIDRAULICO, APLICAÇÃO: RETROESCAVADEIRA RANDON RD406 ADVANCED. ROÇADEIRA ARTICULADA LAVRALE, REFERÊNCIA: UNIFILTER UH125VUS305.</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R$ 2.652,00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9620.0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R90-30M.</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R$ 1.512,00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9023.0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HDF500A/ H17WK06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R$ 768,00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8718.0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140 LC 7/ MOTONIVELADORA KOMAT'SU GD555, REFERÊNCIA: EFL721 / WO 680.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9173.0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DE AR INTERNO, APLICAÇÃO: ESCAVADEIRA HIDRAULICA HYUNDAI 140 LC 7, REFERÊNCIA: TR 62453.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R$ 118,00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R$ 122,00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R$ 480,00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9174.0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DE AR EXTERNO. APLICAÇÃO: ESCAVADEIRA HIDRAULICA HYUNDAI 140 LC 7, REFERÊNCIA: TURBO TR 62452 PU</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R$ 844,00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175701.0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CX180C CASE, REFERÊNCIA: P502422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R$ 1.452,00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CX180C CASE, REFERÊNCIA: EFS103 / FDC2056.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R$ 555,00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CX180C CASE, REFERÊNCIA: MMH 80900 / B7416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R$ 2.648,00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CX180C CASE, REFERÊNCIA: P573481.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R$ 3.216,00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CX180C CASE, REFERÊNCIA: TURBO TR 780522.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R$ 1.146,00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CX180C CASE, REFERÊNCIA: TURBO TR 780523.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R$ 726,00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9816.0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COMBUSTÍVEL APLICAÇÃO: CARREGADEIRA HYUNDAI HL730-7, REFERÊNCIA: BF1356.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R$ 191,67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R$ 1.146,00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9684.0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COMBUSTÍVEL RACOR, APLICAÇÃO: CARREGADEIRA HYUNDAI HL730-7, REFERÊNCIA: R45-10M.</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9685.0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LUBRIFICANTE MOTOR APLICAÇÃO: CARREGADEIRA HYUNDAI HL730-7, REFERÊNCIA: BT 427 / EFL723.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R$ 71,67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R$ 568,00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6322.0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AR INTERNO, APLICAÇÃO: CARREGADEIRA HYUNDAI HL730-7, REFERÊNCIA: TURBO TR 62453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R$ 968,00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6939.0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AR EXTERNO. APLICAÇÃO: CARREGADEIRA HYUNDAI HL730-7, REFERÊNCIA: TURBO TR 62452 PU</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R$ 964,00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8428.0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DO AR CONDICIONADO, EXTERNO, APLICAÇÃO: CARREGADEIRA HYUNDAI HL730-7, REFERÊNCIA: FB 070.010.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R$ 171,67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R$ 684,00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9696.0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TANQUE HIDRÁULICO, APLICAÇÃO: CARREGADEIRA HYUNDAI HL730-7, REFERÊNCIA: 31L1-4041-A.</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R$ 295,00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R$ 297,00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R$ 296,00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R$ 296,00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R$ 296,00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R$ 592,00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9697.0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HIDRÁULICO DE LINHA APLICAÇÃO: CARREGADEIRA HYUNDAI HL730-7, REFERÊNCIA: 31L14041A.</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9695.0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TRANSMISSÃO, APLICAÇÃO: CARREGADEIRA HYUNDAI HL730-7, REFERÊNCIA: BT9422.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9262.0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KOMAT'SU GD555, REFERÊNCIA: HDF 762/ FCD0769.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9143.0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AR INTERNO, APLICAÇÃO: MOTONIVELADORA KOMAT'SU GD555, REFERÊNCIA: TURBO TR 25491.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R$ 484,00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9145.0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AR EXTERNO, APLICAÇÃO: MOTONIVELADORA KOMAT'SU GD555, REFERÊNCIA: TURBO TR 25492.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9146.0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HIDRÁULICO, APLICAÇÃO: MOTONIVELADORA KOMAT'SU GD555, REFERÊNCIA: UNIFILTER UH 385 P.</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R$ 251,67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10279.0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10279 - PEÇA MECÂNICA - VEÍCULO AUTOMOTIVO, TIPO: FILTRO DE COMBUSTÍVEL, APLICAÇÃO: CAMINHÃO AGRALE, MODELO: AGRALE 8500, REFERÊNCIA: EFS102.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R$ 81,00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6689.0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AR INTERNO, APLICAÇÃO: CAMINHÃO AGRALE, MODELO: AGRALE 8500, REFERÊNCIA: EFA959.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6741.0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CAMINHÃO AGRALE, MODELO: AGRALE 8500, REFERÊNCIA: EFA 941.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R$ 564,00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175563.0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HYUNDAI HR 2010, REFERÊNCIA: JFC 901.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R$ 81,00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R$ 78,00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R$ 78,00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R$ 78,00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R$ 1.560,00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175562.0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ÓLEO MOTOR, APLICAÇÃO: HYUNDAI HR 2010, REFERÊNCIA: PSL332 / EFL755 / OC1224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R$ 44,00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R$ 552,00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175564.0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DE AR, APLICAÇÃO: HYUNDAI HR 2010, REFERÊNCIA: LX3236 / JFA0H13 / CA10564.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R$ 86,33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R$ 1.032,00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166511.0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MERCEDES BENZ, ATRON 2729 K 6X4 2014, REFERÊNCIA: FCD 0768.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R$ 61,67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169833.0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MERCEDES BENZ, ATRON 2729 K 6X4 2014, REFERÊNCIA: EFS 111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R$ 131,67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166705.0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ATRON 2729 K 6X4 2014, REFERÊNCIA: REL-802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R$ 98,00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R$ 101,00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R$ 99,67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164614.0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DO AR CONDICIONADO. APLICAÇÃO: MERCEDES BENZ, ATRON 2729 K 6X4 2014, REFERÊNCIA: AKX4014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R$ 48,00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10421.0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CASE 845B, REFERÊNCIA: H215WK</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10519.0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COMBUSTÍVEL RACOR, APLICAÇÃO: MOTONIVELADORA CASE 845B, REFERÊNCIA: HDF422.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8717.0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RETRO ESCAVADEIRA CASE 580N 2018/ MOTONIVELADORA CASE 845B 2017, REFERÊNCIA: B7327.</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10574.0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AR INTERNO APLICAÇÃO: MOTONIVELADORA CASE 845B, REFERÊNCIA: TURBO TR 1532.</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R$ 968,00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10575.0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AR EXTERNO, APLICAÇÃO: MOTONIVELADORA CASE 845B, REFERÊNCIA: TURBO TR 1533.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10505.0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10505 - PEÇA/COMPONENTE MOTONIVELADORA, TIPO: FILTRO AR CONDICIONADO. APLICAÇÃO: MOTONIVELADORA CASE 845B, REFERÊNCIA: UARS157275P/ TACO 2.1PU</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R$ 1.830,00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TRANSMISSÃO. APLICAÇÃO: MOTONIVELADORA CASE 845B, REFERÊNCIA: BT 8851-MPG</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R$ 276,00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R$ 280,00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R$ 277,00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R$ 1.104,00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10520 - PEÇA/COMPONENTE RETROESCAVADEIRA, TIPO: FILTRO COMBUSTÍVEL. APLICAÇÃO: RETROESCAVADEIRA CASE 580N, REFERÊNCIA: FCD2295/ FS19927</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R$ 142,00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10673.0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10673 - PEÇA/COMPONENTE RETROESCAVADEIRA, TIPO: FILTRO COMBUSTÍVEL RACOR. APLICAÇÃO: RETROESCAVADEIRA CASE 580N, REFERÊNCIA: TURBO TBC877I/ ORIGINAL OFC1586 ST</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10688.0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CASE 580N, REFERÊNCIA: EFA 984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R$ 848,00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10677.0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CASE 580N, REFERÊNCIA: TURBO TR 5590.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R$ 67,67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R$ 68,00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R$ 816,00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175929.0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HIDRAULICO, APLICAÇÃO: RETROESCAVADEIRA CASE 580N, REFERÊNCIA: P569206.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R$ 470,00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R$ 477,00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R$ 473,00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R$ 473,33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R$ 473,00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R$ 3.784,00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220, REFERÊNCIA: 11LG-70010.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R$ 198,00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R$ 201,00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R$ 800,00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HYUNDAI 220, REFERÊNCIA: 11QA-71040 BR-11LB-20310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R$ 918,00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220, REFERÊNCIA: 11N8-70110/LF3970.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R$ 612,00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HYUNDAI 220, REFERÊNCIA: 11Q6-28030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R$ 3.216,00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HYUNDAI 220, REFERÊNCIA: 11Q6-28020.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R$ 154,00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R$ 1.232,00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HYUNDAI 220, REFERÊNCIA: 31K6-01320.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R$ 209,00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R$ 203,00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R$ 204,00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R$ 1.218,00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175937.0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PRE FILTRO COMBUSTÍVEL, APLICAÇÃO: ESCAVADEIRA HIDRAULICA HYUNDAI 220, REFERÊNCIA: 11QG-70120.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R$ 423,00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HYUNDAI 220, REFERÊNCIA: 31Q6-20340.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R$ 279,00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R$ 280,00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R$ 278,00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R$ 279,00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R$ 558,00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175939.0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XCMG 150BR, REFERÊNCIA: 800154563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R$ 223,00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R$ 223,00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R$ 1.338,00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XCMG 150BR, REFERÊNCIA: 800514448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R$ 2.408,00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XCMG 150BR, REFERÊNCIA: 800159597</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R$ 254,00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R$ 1.512,00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XCMG 150BR, REFERÊNCIA: 800104248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R$ 454,00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R$ 452,00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R$ 452,00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R$ 3.616,00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XCMG 150BR, REFERÊNCIA: 800104249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R$ 251,00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R$ 251,00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XCMG 150BR, REFERÊNCIA: 803408563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R$ 695,00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R$ 697,00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R$ 700,00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R$ 697,33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R$ 697,00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R$ 2.788,00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RETORNO. APLICAÇÃO: ESCAVADEIRA HIDRAULICA XCMG 150BR, REFERÊNCIA: 803408564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R$ 655,00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XCMG 150BR, REFERÊNCIA: 80385529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R$ 497,67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R$ 498,00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R$ 996,00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10485.0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MASSEY FERGUSSON 4275, REFERÊNCIA: EFL 028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R$ 49,00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R$ 200,00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10396.0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MASSEY FERGUSSON 4275, REFERÊNCIA: TURBO TR 23619.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R$ 126,67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R$ 127,00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10523.0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HIDRÁULICO. APLICAÇÃO: TRATOR MASSEY FERGUSSON 4275, REFERÊNCIA: TURBO TR 23619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R$ 310,00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10765.0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COMBUSTÍVEL, APLICAÇÃO: TRATOR JOHN DEERE. CARACTERÍSTICAS ADICIONAIS: LINHA/ SÉRIE 5000/6000. REFERÊNCIA: P551424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R$ 426,00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10766.0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COMBUSTIVEL RACOR. APLICAÇÃO: TRATOR JOHN DEERE. CARACTERÍSTICAS ADICIONAIS: LINHA/ SÉRIE 5000/6000, REFERÊNCIA: P 551424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R$ 213,00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R$ 426,00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10764.0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JOHN DEERE. CARACTERÍSTICAS ADICIONAIS: LINHA/ SÉRIE 5000/6000. REFERÊNCIA: LF 3703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R$ 110,00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R$ 107,67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R$ 108,00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R$ 432,00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175955.0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JOHN DEERE. CARACTERÍSTICAS ADICIONAIS: LINHA/ SÉRIE 5000/6000. REFERÊNCIA: P606119.</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R$ 385,00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R$ 387,00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R$ 400,00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R$ 390,67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R$ 387,00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R$ 1.548,00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6910.0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COMBUSTÍVEL. APLICAÇÃO: VW GOL/SAVEIRO/SANTANA, REFERÊNCIA: FCL 1630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R$ 104,00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6935.0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VW GOL/SAVEIRO/SANTANA, REFERÊNCIA: EFL 563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R$ 25,00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R$ 28,00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R$ 26,00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7392.0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DE AR. APLICAÇÃO: VW GOL/SAVEIRO/SANTANA, REFERÊNCIA: EFA 965</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R$ 396,00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10348.0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RENAULT SANDERO, REFERÊNCIA: WO 205</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R$ 330,00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104.0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10650.0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DE AR. APLICAÇÃO: RENAULT SANDERO, REFERÊNCIA: ARL5144</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R$ 416,00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7235.0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CELTA/PRISMA, REFERÊNCIA: EFL 747</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R$ 16,00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R$ 19,00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R$ 17,00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R$ 136,00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167002.0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CRUZE, REFERÊNCIA: WOE-313</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R$ 51,33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R$ 312,00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10514.0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DO ARAPLICAÇÃO: CHEVROLET CRUZE, REFERÊNCIA: C26106.</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R$ 77,00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R$ 72,00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R$ 432,00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108.0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175974.0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KIA BONGO 2020, REFERÊNCIA: 319224H900N</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R$ 104,00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R$ 936,00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109.0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175975.0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CAMINHÃO KIA BONGO 2020, REFERÊNCIA: 263304A001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R$ 103,33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R$ 105,00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R$ 945,00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110.0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175976.0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AR. APLICAÇÃO: CAMINHÃO KIA BONGO 2020, REFERÊNCIA: 252124A750</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R$ 152,33</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111.0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170616.0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VOLKSWAGEN 31.330 CRC 6X4, 2017, REFERÊNCIA: WO 711</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R$ 184,00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R$ 183,00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R$ 184,00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R$ 1.472,00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112.0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166991.0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VOLKSWAGEN 31.330 CRC 6X4, 2017, REFERÊNCIA: FCD 2238.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R$ 1.530,00</w:t>
            </w:r>
          </w:p>
        </w:tc>
      </w:tr>
      <w:tr>
        <w:trPr/>
        <w:tc>
          <w:tcPr>
            <w:tcW w:w="40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113.0</w:t>
            </w:r>
          </w:p>
        </w:tc>
        <w:tc>
          <w:tcPr>
            <w:tcW w:w="53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170268.0</w:t>
            </w:r>
          </w:p>
        </w:tc>
        <w:tc>
          <w:tcPr>
            <w:tcW w:w="3215"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VOLKSWAGEN 31.330 CRC 6X4, 2017, REFERÊNCIA: FCD 0958.</w:t>
            </w:r>
          </w:p>
        </w:tc>
        <w:tc>
          <w:tcPr>
            <w:tcW w:w="64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41"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R$ 150,00</w:t>
            </w:r>
          </w:p>
        </w:tc>
        <w:tc>
          <w:tcPr>
            <w:tcW w:w="83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957"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R$ 155,00</w:t>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R$ 152,67</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R$ 1.530,00</w:t>
            </w:r>
          </w:p>
        </w:tc>
      </w:tr>
      <w:tr>
        <w:trPr/>
        <w:tc>
          <w:tcPr>
            <w:tcW w:w="6399" w:type="dxa"/>
            <w:gridSpan w:val="6"/>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sz w:val="18"/>
                <w:szCs w:val="18"/>
              </w:rPr>
              <w:t>Total Estimado</w:t>
            </w:r>
          </w:p>
        </w:tc>
        <w:tc>
          <w:tcPr>
            <w:tcW w:w="833" w:type="dxa"/>
            <w:tcBorders>
              <w:left w:val="single" w:sz="4" w:space="0" w:color="000000"/>
              <w:bottom w:val="single" w:sz="4" w:space="0" w:color="000000"/>
            </w:tcBorders>
            <w:vAlign w:val="center"/>
          </w:tcPr>
          <w:p>
            <w:pPr>
              <w:pStyle w:val="Contedodatabela"/>
              <w:widowControl w:val="false"/>
              <w:numPr>
                <w:ilvl w:val="0"/>
                <w:numId w:val="1"/>
              </w:numPr>
              <w:snapToGrid w:val="false"/>
              <w:spacing w:lineRule="auto" w:line="360"/>
              <w:jc w:val="center"/>
              <w:rPr>
                <w:rFonts w:ascii="Arial" w:hAnsi="Arial" w:cs="Arial"/>
                <w:sz w:val="18"/>
                <w:szCs w:val="18"/>
              </w:rPr>
            </w:pPr>
            <w:r>
              <w:rPr>
                <w:rFonts w:cs="Arial" w:ascii="Arial" w:hAnsi="Arial"/>
                <w:sz w:val="18"/>
                <w:szCs w:val="18"/>
              </w:rPr>
            </w:r>
          </w:p>
        </w:tc>
        <w:tc>
          <w:tcPr>
            <w:tcW w:w="957" w:type="dxa"/>
            <w:tcBorders>
              <w:left w:val="single" w:sz="4" w:space="0" w:color="000000"/>
              <w:bottom w:val="single" w:sz="4" w:space="0" w:color="000000"/>
            </w:tcBorders>
            <w:vAlign w:val="center"/>
          </w:tcPr>
          <w:p>
            <w:pPr>
              <w:pStyle w:val="Contedodatabela"/>
              <w:widowControl w:val="false"/>
              <w:numPr>
                <w:ilvl w:val="0"/>
                <w:numId w:val="1"/>
              </w:numPr>
              <w:snapToGrid w:val="false"/>
              <w:spacing w:lineRule="auto" w:line="360"/>
              <w:jc w:val="center"/>
              <w:rPr>
                <w:rFonts w:ascii="Arial" w:hAnsi="Arial" w:cs="Arial"/>
                <w:sz w:val="18"/>
                <w:szCs w:val="18"/>
              </w:rPr>
            </w:pPr>
            <w:r>
              <w:rPr>
                <w:rFonts w:cs="Arial" w:ascii="Arial" w:hAnsi="Arial"/>
                <w:sz w:val="18"/>
                <w:szCs w:val="18"/>
              </w:rPr>
            </w:r>
          </w:p>
        </w:tc>
        <w:tc>
          <w:tcPr>
            <w:tcW w:w="706"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C9211E"/>
                <w:sz w:val="18"/>
                <w:szCs w:val="18"/>
              </w:rPr>
              <w:t>R$ 19.265,50</w:t>
            </w:r>
          </w:p>
        </w:tc>
        <w:tc>
          <w:tcPr>
            <w:tcW w:w="659"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388E3C"/>
                <w:sz w:val="18"/>
                <w:szCs w:val="18"/>
              </w:rPr>
              <w:t>R$ 19.209,50</w:t>
            </w:r>
          </w:p>
        </w:tc>
        <w:tc>
          <w:tcPr>
            <w:tcW w:w="821"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sz w:val="18"/>
                <w:szCs w:val="18"/>
              </w:rPr>
              <w:t>R$ 148.176,00</w:t>
            </w:r>
          </w:p>
        </w:tc>
      </w:tr>
    </w:tbl>
    <w:p>
      <w:pPr>
        <w:pStyle w:val="Normal"/>
        <w:numPr>
          <w:ilvl w:val="0"/>
          <w:numId w:val="1"/>
        </w:numPr>
        <w:spacing w:lineRule="auto" w:line="360" w:before="0" w:after="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Os itens desta contratação são caracterizados como comuns, </w:t>
      </w:r>
      <w:r>
        <w:rPr>
          <w:rFonts w:cs="Arial" w:ascii="Arial" w:hAnsi="Arial"/>
          <w:sz w:val="22"/>
          <w:szCs w:val="22"/>
        </w:rPr>
        <w:t>ou seja, são aqueles cujos padrões de desempenho e qualidade possam ser objetivamente definidos pelo edital, por meio de especificações reconhecidas e usuais do mercado (art. 6º, XIII da Lei nº 14.133/2021)</w:t>
      </w:r>
      <w:r>
        <w:rPr>
          <w:rFonts w:cs="Arial" w:ascii="Arial" w:hAnsi="Arial"/>
          <w:color w:val="000000"/>
          <w:sz w:val="22"/>
          <w:szCs w:val="22"/>
        </w:rPr>
        <w:t>.</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objeto desta contratação não se enquadra como sendo de bem de luxo.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O prazo de vigência da contratação é de 12 meses contados da assinatura da ata de registo de preços, na forma do artigo 105 da Lei Nº 14.133/21, </w:t>
      </w:r>
      <w:r>
        <w:rPr>
          <w:rFonts w:cs="Arial" w:ascii="Arial" w:hAnsi="Arial"/>
          <w:b/>
          <w:bCs/>
          <w:color w:val="000000"/>
          <w:sz w:val="22"/>
          <w:szCs w:val="22"/>
        </w:rPr>
        <w:t>com possibilidade de prorrogação de igual período</w:t>
      </w:r>
      <w:r>
        <w:rPr>
          <w:rFonts w:cs="Arial" w:ascii="Arial" w:hAnsi="Arial"/>
          <w:color w:val="000000"/>
          <w:sz w:val="22"/>
          <w:szCs w:val="22"/>
        </w:rPr>
        <w:t>, conforme Artigo 84 da Lei 14133</w:t>
      </w:r>
      <w:r>
        <w:rPr>
          <w:rFonts w:cs="Arial" w:ascii="Arial" w:hAnsi="Arial"/>
          <w:sz w:val="22"/>
          <w:szCs w:val="22"/>
        </w:rPr>
        <w:t xml:space="preserve">, desde que comprovado o preço vantajoso. </w:t>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As notas de empenhos serão emitidas conforme a necessidade da secretaria solicitante.</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prazo da entre</w:t>
      </w:r>
      <w:r>
        <w:rPr>
          <w:rFonts w:cs="Arial" w:ascii="Arial" w:hAnsi="Arial"/>
          <w:color w:val="000000"/>
          <w:sz w:val="22"/>
          <w:szCs w:val="22"/>
          <w:shd w:fill="auto" w:val="clear"/>
        </w:rPr>
        <w:t>ga é de até 10 (DEZ) dias, contados do recebimento da nota de empenho, podendo ser prorrogado por igual período.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Os produtos deverão ser entregues, nas quantidades solicitadas, em regra, no seguinte endereço abaixo: </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ALMOXARIFADO:</w:t>
      </w:r>
      <w:r>
        <w:rPr>
          <w:rFonts w:cs="Arial" w:ascii="Arial" w:hAnsi="Arial"/>
          <w:color w:val="000000"/>
          <w:sz w:val="22"/>
          <w:szCs w:val="22"/>
        </w:rPr>
        <w:t xml:space="preserve"> Rua Olívio Fischborn, 510 – Parque de Máquinas – Bairro Arco-íris, Vera Cruz – RS – 96880-000, Tel. (51) 3718 1613, (51) 3718 1760, de segunda a sexta, no horário das 07h30 às 11h30 ou da 13:00h às 16:00h.</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SECRETARIA DE SAÚDE – GUARITA:</w:t>
      </w:r>
      <w:r>
        <w:rPr>
          <w:rFonts w:cs="Arial" w:ascii="Arial" w:hAnsi="Arial"/>
          <w:color w:val="000000"/>
          <w:sz w:val="22"/>
          <w:szCs w:val="22"/>
        </w:rPr>
        <w:t xml:space="preserve"> Av. Nestor Frederico Henn, 1645, Bairro Centro, Vera Cruz – RS – 96880-000, Tel. (51) 3718-3383, (51) 3718 1327, de segunda a sexta, no horário das 07h30 às 11h30 ou da 13:00h às 16:00h.</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SECRETARIA DE EDUCAÇÃO:</w:t>
      </w:r>
      <w:r>
        <w:rPr>
          <w:rFonts w:cs="Arial" w:ascii="Arial" w:hAnsi="Arial"/>
          <w:color w:val="000000"/>
          <w:sz w:val="22"/>
          <w:szCs w:val="22"/>
        </w:rPr>
        <w:t xml:space="preserve"> Rua Jacob Doern, 87, Bairro Centro, Vera Cruz – RS – 96880-000, Tel. (51) 3718 2759, de segunda a sexta, no horário das 07h30 às 11h30 ou da 13:00h às 16:00h.</w:t>
      </w:r>
    </w:p>
    <w:p>
      <w:pPr>
        <w:pStyle w:val="NormalWeb"/>
        <w:numPr>
          <w:ilvl w:val="0"/>
          <w:numId w:val="1"/>
        </w:numPr>
        <w:spacing w:lineRule="auto" w:line="360" w:before="0" w:after="0"/>
        <w:jc w:val="both"/>
        <w:rPr>
          <w:rFonts w:ascii="Arial" w:hAnsi="Arial"/>
          <w:sz w:val="22"/>
          <w:szCs w:val="22"/>
        </w:rPr>
      </w:pPr>
      <w:r>
        <w:rPr>
          <w:rFonts w:cs="Arial" w:ascii="Arial" w:hAnsi="Arial"/>
          <w:sz w:val="22"/>
          <w:szCs w:val="22"/>
        </w:rPr>
        <w:t>A empresa vencedora será responsável por despesas com fretes taxas para envio dos materiais.</w:t>
      </w:r>
    </w:p>
    <w:p>
      <w:pPr>
        <w:pStyle w:val="NormalWeb"/>
        <w:numPr>
          <w:ilvl w:val="0"/>
          <w:numId w:val="1"/>
        </w:numPr>
        <w:spacing w:lineRule="auto" w:line="360" w:before="0" w:after="0"/>
        <w:jc w:val="both"/>
        <w:rPr>
          <w:rFonts w:ascii="Arial" w:hAnsi="Arial"/>
          <w:sz w:val="22"/>
          <w:szCs w:val="22"/>
        </w:rPr>
      </w:pPr>
      <w:r>
        <w:rPr>
          <w:rFonts w:eastAsia="Arial-BoldMT" w:cs="Arial" w:ascii="Arial" w:hAnsi="Arial"/>
          <w:color w:val="000000"/>
          <w:sz w:val="22"/>
          <w:szCs w:val="22"/>
          <w:shd w:fill="FFFFFF" w:val="clear"/>
        </w:rPr>
        <w:t>Não serão aceitas entregas cujo objeto não esteja rigorosamente de acordo com a especificação e a solicitação de fornecimento.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Compete ao gestor e fiscal responsável promover o aceite provisório e definitivo dos serviços e também atestar as faturas para pagamento.</w:t>
      </w:r>
    </w:p>
    <w:p>
      <w:pPr>
        <w:pStyle w:val="Normal"/>
        <w:numPr>
          <w:ilvl w:val="0"/>
          <w:numId w:val="1"/>
        </w:numPr>
        <w:spacing w:lineRule="auto" w:line="360"/>
        <w:jc w:val="both"/>
        <w:rPr>
          <w:rFonts w:ascii="Arial" w:hAnsi="Arial"/>
          <w:sz w:val="22"/>
          <w:szCs w:val="22"/>
        </w:rPr>
      </w:pPr>
      <w:r>
        <w:rPr>
          <w:rFonts w:cs="Arial" w:ascii="Arial" w:hAnsi="Arial"/>
          <w:sz w:val="22"/>
          <w:szCs w:val="22"/>
        </w:rPr>
        <w:t>A contratação da presente licitação será efetuada de forma parcelada, conforme necessidade da secretaria solicitante, respectivamente, através da emissão da Ordem de Compra, em um prazo máximo determinado para cada ocasião, local e necessidade dos serviços.</w:t>
      </w:r>
    </w:p>
    <w:p>
      <w:pPr>
        <w:pStyle w:val="Normal"/>
        <w:numPr>
          <w:ilvl w:val="0"/>
          <w:numId w:val="1"/>
        </w:numPr>
        <w:spacing w:lineRule="auto" w:line="360"/>
        <w:jc w:val="both"/>
        <w:rPr>
          <w:rFonts w:ascii="Arial" w:hAnsi="Arial"/>
          <w:sz w:val="22"/>
          <w:szCs w:val="22"/>
        </w:rPr>
      </w:pPr>
      <w:r>
        <w:rPr>
          <w:rFonts w:cs="Arial" w:ascii="Arial" w:hAnsi="Arial"/>
          <w:sz w:val="22"/>
          <w:szCs w:val="22"/>
        </w:rPr>
        <w:t>Todas as despesas decorrentes com pessoal, combustível e equipamentos utilizados para execução dos Serviços, correrão por conta da contratada.</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Após a conferência do serviço prestado, o responsável pela fiscalização deverá assinar seu nome no verso da nota fiscal atestando a execução do serviço e perfeitas condições. </w:t>
      </w:r>
    </w:p>
    <w:p>
      <w:pPr>
        <w:pStyle w:val="Normal"/>
        <w:numPr>
          <w:ilvl w:val="0"/>
          <w:numId w:val="1"/>
        </w:numPr>
        <w:spacing w:lineRule="auto" w:line="360"/>
        <w:jc w:val="both"/>
        <w:rPr>
          <w:rFonts w:ascii="Arial" w:hAnsi="Arial"/>
          <w:sz w:val="22"/>
          <w:szCs w:val="22"/>
        </w:rPr>
      </w:pPr>
      <w:r>
        <w:rPr>
          <w:rFonts w:cs="Arial" w:ascii="Arial" w:hAnsi="Arial"/>
          <w:sz w:val="22"/>
          <w:szCs w:val="22"/>
        </w:rPr>
        <w:t>É vedado/proibido a TERCEIRIZAÇÃO dos serviços para outras empresas.</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A entrega do material, mesmo que definitivo, não exclui a responsabilidade da empresa detentora pela qualidade e características do material entregue, cabendo-lhe sanar quaisquer irregularidades detectadas, durante todo prazo de vigência da Ata de Registro de Preços ou outro instrumento que lhe vier substituir. </w:t>
      </w:r>
    </w:p>
    <w:p>
      <w:pPr>
        <w:pStyle w:val="Normal"/>
        <w:numPr>
          <w:ilvl w:val="0"/>
          <w:numId w:val="1"/>
        </w:numPr>
        <w:spacing w:lineRule="auto" w:line="360"/>
        <w:jc w:val="both"/>
        <w:rPr>
          <w:rFonts w:ascii="Arial" w:hAnsi="Arial"/>
          <w:sz w:val="22"/>
          <w:szCs w:val="22"/>
        </w:rPr>
      </w:pPr>
      <w:r>
        <w:rPr>
          <w:rFonts w:cs="Arial" w:ascii="Arial" w:hAnsi="Arial"/>
          <w:sz w:val="22"/>
          <w:szCs w:val="22"/>
        </w:rPr>
        <w:t>À presença de fiscalização pela contratante não elimina e nem diminui a responsabilidade da empresa contratada.</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2. FUNDAMENTAÇÃO DA CONTRATAÇÃO</w:t>
      </w:r>
    </w:p>
    <w:p>
      <w:pPr>
        <w:pStyle w:val="Normal"/>
        <w:numPr>
          <w:ilvl w:val="0"/>
          <w:numId w:val="1"/>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color w:val="000000"/>
          <w:sz w:val="22"/>
          <w:szCs w:val="22"/>
        </w:rPr>
        <w:t>A contratação baseia-se no Estudo Técnico Preliminar realizado pela Secretaria de Obras, Saneamento e Trânsito, o qual identifica a necessidade de registro de preços para a aquisição de filtros lubrificante para garantir a plena operacionalidade e contribuir para a eficiência dos serviços públicos prestados pelo município.</w:t>
      </w:r>
    </w:p>
    <w:p>
      <w:pPr>
        <w:pStyle w:val="Normal"/>
        <w:numPr>
          <w:ilvl w:val="0"/>
          <w:numId w:val="1"/>
        </w:numPr>
        <w:spacing w:lineRule="auto" w:line="360"/>
        <w:jc w:val="both"/>
        <w:rPr>
          <w:rFonts w:ascii="Arial" w:hAnsi="Arial"/>
          <w:sz w:val="22"/>
          <w:szCs w:val="22"/>
        </w:rPr>
      </w:pPr>
      <w:r>
        <w:rPr>
          <w:rFonts w:cs="Arial" w:ascii="Arial" w:hAnsi="Arial"/>
          <w:sz w:val="22"/>
          <w:szCs w:val="22"/>
        </w:rPr>
        <w:t>A contratação pretendida está prevista no Plano de Contratações Anual do Município de Vera Cruz – RS, o valor estimado da presente licitação foi realizado, em conformidade com o artigo 23 da Lei Federal nº 14.133/2021, pelo Secretaria de Obras, Saneamento e Trânsito do Município. O valor de cada item foi cotado unidade (unitário).</w:t>
      </w:r>
    </w:p>
    <w:p>
      <w:pPr>
        <w:pStyle w:val="Normal"/>
        <w:numPr>
          <w:ilvl w:val="0"/>
          <w:numId w:val="1"/>
        </w:numPr>
        <w:spacing w:lineRule="auto" w:line="360"/>
        <w:jc w:val="both"/>
        <w:rPr>
          <w:rFonts w:ascii="Arial" w:hAnsi="Arial"/>
          <w:sz w:val="22"/>
          <w:szCs w:val="22"/>
        </w:rPr>
      </w:pPr>
      <w:r>
        <w:rPr>
          <w:rFonts w:cs="Arial" w:ascii="Arial" w:hAnsi="Arial"/>
          <w:sz w:val="22"/>
          <w:szCs w:val="22"/>
        </w:rPr>
        <w:t>Quanto ao fornecimento dos produtos, o mesmo pode ser realizado por apenas um ou por mais de um fornecedor/licitante, visto que o objeto será adquirido conforme a necessidade do Setor e de maneira periódica, aproveitando as peculiaridades do mercado local com vistas à economicidade e manutenção dos parâmetros de qualidade, sem que isso afete a competição ou haja concentração de mercado (menor preço unitário)</w:t>
      </w:r>
    </w:p>
    <w:p>
      <w:pPr>
        <w:pStyle w:val="NormalWeb"/>
        <w:spacing w:lineRule="auto" w:line="360" w:before="0" w:after="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sz w:val="22"/>
          <w:szCs w:val="22"/>
        </w:rPr>
        <w:t>3. JUSTIFICATIVA RELATIVA</w:t>
      </w:r>
    </w:p>
    <w:p>
      <w:pPr>
        <w:pStyle w:val="NormalWeb"/>
        <w:numPr>
          <w:ilvl w:val="0"/>
          <w:numId w:val="1"/>
        </w:numPr>
        <w:spacing w:lineRule="auto" w:line="360" w:before="0" w:after="0"/>
        <w:jc w:val="both"/>
        <w:rPr>
          <w:rFonts w:ascii="Arial" w:hAnsi="Arial"/>
          <w:sz w:val="22"/>
          <w:szCs w:val="22"/>
        </w:rPr>
      </w:pPr>
      <w:r>
        <w:rPr>
          <w:rFonts w:cs="Arial" w:ascii="Arial" w:hAnsi="Arial"/>
          <w:sz w:val="22"/>
          <w:szCs w:val="22"/>
        </w:rPr>
        <w:t>O uso de filtros lubrificantes de qualidade prolonga a vida útil dos equipamentos, reduzindo a frequência de manutenções corretivas e minimizando custos associados a paradas inesperadas. Além disso, eles contribuem para a economia no consumo de óleo lubrificante, pois evitam a contaminação e a necessidade de substituições frequentes.</w:t>
      </w:r>
    </w:p>
    <w:p>
      <w:pPr>
        <w:pStyle w:val="NormalWeb"/>
        <w:numPr>
          <w:ilvl w:val="0"/>
          <w:numId w:val="1"/>
        </w:numPr>
        <w:spacing w:lineRule="auto" w:line="360" w:before="0" w:after="0"/>
        <w:jc w:val="left"/>
        <w:rPr>
          <w:rFonts w:ascii="Arial" w:hAnsi="Arial"/>
          <w:sz w:val="22"/>
          <w:szCs w:val="22"/>
        </w:rPr>
      </w:pPr>
      <w:r>
        <w:rPr>
          <w:rFonts w:cs="Arial" w:ascii="Arial" w:hAnsi="Arial"/>
          <w:sz w:val="22"/>
          <w:szCs w:val="22"/>
        </w:rPr>
        <w:t>Os equipamentos e veículos dependem de manutenções preventivas regulares, sendo os filtros lubrificantes parte fundamental desse processo.</w:t>
        <w:br/>
        <w:t>A licitação para a compra dos filtros permite a seleção das melhores condições de preço, prazo e qualidade, alinhando-se aos princípios da economicidade e eficiência na gestão pública.</w:t>
      </w:r>
    </w:p>
    <w:p>
      <w:pPr>
        <w:pStyle w:val="Corpodotexto"/>
        <w:numPr>
          <w:ilvl w:val="0"/>
          <w:numId w:val="1"/>
        </w:numPr>
        <w:spacing w:lineRule="auto" w:line="360"/>
        <w:jc w:val="left"/>
        <w:rPr>
          <w:rFonts w:ascii="Arial" w:hAnsi="Arial"/>
          <w:sz w:val="22"/>
          <w:szCs w:val="22"/>
        </w:rPr>
      </w:pPr>
      <w:r>
        <w:rPr>
          <w:rFonts w:cs="Arial" w:ascii="Arial" w:hAnsi="Arial"/>
          <w:sz w:val="22"/>
          <w:szCs w:val="22"/>
        </w:rPr>
        <w:t>Dessa forma, a aquisição de filtros lubrificantes por meio de licitação visa atender às demandas operacionais do Município, garantindo a qualidade e a continuidade dos serviços, além de assegurar a utilização racional dos recursos disponíveis.</w:t>
      </w:r>
    </w:p>
    <w:p>
      <w:pPr>
        <w:pStyle w:val="Normal"/>
        <w:spacing w:lineRule="auto" w:line="360"/>
        <w:jc w:val="both"/>
        <w:rPr>
          <w:rFonts w:ascii="Arial" w:hAnsi="Arial" w:cs="Arial"/>
          <w:sz w:val="22"/>
          <w:szCs w:val="22"/>
        </w:rPr>
      </w:pPr>
      <w:r>
        <w:rPr>
          <w:rFonts w:cs="Arial" w:ascii="Arial" w:hAnsi="Arial"/>
          <w:sz w:val="22"/>
          <w:szCs w:val="22"/>
        </w:rPr>
      </w:r>
    </w:p>
    <w:p>
      <w:pPr>
        <w:pStyle w:val="NormalWeb"/>
        <w:numPr>
          <w:ilvl w:val="0"/>
          <w:numId w:val="1"/>
        </w:numPr>
        <w:spacing w:lineRule="auto" w:line="360" w:before="0" w:after="0"/>
        <w:jc w:val="both"/>
        <w:rPr>
          <w:rFonts w:ascii="Arial" w:hAnsi="Arial"/>
          <w:sz w:val="22"/>
          <w:szCs w:val="22"/>
        </w:rPr>
      </w:pPr>
      <w:bookmarkStart w:id="7" w:name="art6xxiiid_Copia_1"/>
      <w:bookmarkEnd w:id="7"/>
      <w:r>
        <w:rPr>
          <w:rFonts w:cs="Arial" w:ascii="Arial" w:hAnsi="Arial"/>
          <w:b/>
          <w:bCs/>
          <w:color w:val="000000"/>
          <w:sz w:val="22"/>
          <w:szCs w:val="22"/>
        </w:rPr>
        <w:t>4. REQUISITOS DA CONTRATAÇÃO</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Os produtos têm natureza de bens comuns, tendo em vista que seus </w:t>
      </w:r>
      <w:r>
        <w:rPr>
          <w:rFonts w:cs="Arial" w:ascii="Arial" w:hAnsi="Arial"/>
          <w:color w:val="000000"/>
          <w:sz w:val="22"/>
          <w:szCs w:val="22"/>
        </w:rPr>
        <w:t xml:space="preserve">padrões de desempenho e qualidade podem ser objetivamente definidos pelo edital, por meio de especificações usuais de mercado, </w:t>
      </w:r>
      <w:r>
        <w:rPr>
          <w:rFonts w:cs="Arial" w:ascii="Arial" w:hAnsi="Arial"/>
          <w:sz w:val="22"/>
          <w:szCs w:val="22"/>
        </w:rPr>
        <w:t>nos termos do art. 6º, inciso XIII, da Lei Federal nº 14.133/2021.</w:t>
      </w:r>
    </w:p>
    <w:p>
      <w:pPr>
        <w:pStyle w:val="Normal"/>
        <w:numPr>
          <w:ilvl w:val="0"/>
          <w:numId w:val="1"/>
        </w:numPr>
        <w:spacing w:lineRule="auto" w:line="360"/>
        <w:jc w:val="both"/>
        <w:rPr>
          <w:rFonts w:ascii="Arial" w:hAnsi="Arial"/>
          <w:sz w:val="22"/>
          <w:szCs w:val="22"/>
        </w:rPr>
      </w:pPr>
      <w:r>
        <w:rPr>
          <w:rFonts w:cs="Arial" w:ascii="Arial" w:hAnsi="Arial"/>
          <w:sz w:val="22"/>
          <w:szCs w:val="22"/>
        </w:rPr>
        <w:t>A contratação será realizada por meio de licitação, na modalidade Pregão, na sua forma eletrônica, de forma parcelada, com critério de julgamento por menor preço, nos termos dos artigos 6º, inciso XLI, 17, § 2º, e 34, todos da Lei Federal nº 14.133/2021.</w:t>
      </w:r>
    </w:p>
    <w:p>
      <w:pPr>
        <w:pStyle w:val="Normal"/>
        <w:numPr>
          <w:ilvl w:val="0"/>
          <w:numId w:val="1"/>
        </w:numPr>
        <w:spacing w:lineRule="auto" w:line="36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5. MODELO DE EXECUÇÃO DO OBJETO</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Condições de entrega</w:t>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 xml:space="preserve">O prazo de vigência da contratação é de 12 meses, contados da assinatura da ata de registo de preços, na forma do artigo 105 da Lei Nº 14.133/21, </w:t>
      </w:r>
      <w:r>
        <w:rPr>
          <w:rFonts w:cs="Arial" w:ascii="Arial" w:hAnsi="Arial"/>
          <w:b/>
          <w:bCs/>
          <w:color w:val="000000"/>
          <w:sz w:val="22"/>
          <w:szCs w:val="22"/>
        </w:rPr>
        <w:t>com possibilidade de prorrogação de igual período</w:t>
      </w:r>
      <w:r>
        <w:rPr>
          <w:rFonts w:cs="Arial" w:ascii="Arial" w:hAnsi="Arial"/>
          <w:color w:val="000000"/>
          <w:sz w:val="22"/>
          <w:szCs w:val="22"/>
        </w:rPr>
        <w:t>, conforme Artigo 84 da Lei 14133</w:t>
      </w:r>
      <w:r>
        <w:rPr>
          <w:rFonts w:cs="Arial" w:ascii="Arial" w:hAnsi="Arial"/>
          <w:sz w:val="22"/>
          <w:szCs w:val="22"/>
        </w:rPr>
        <w:t>, desde que comprovado o preço vantajoso.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prazo da entre</w:t>
      </w:r>
      <w:r>
        <w:rPr>
          <w:rFonts w:cs="Arial" w:ascii="Arial" w:hAnsi="Arial"/>
          <w:color w:val="000000"/>
          <w:sz w:val="22"/>
          <w:szCs w:val="22"/>
          <w:shd w:fill="auto" w:val="clear"/>
        </w:rPr>
        <w:t>ga é de até 10 (dez) dias, contados do recebimento da nota de empenho, podendo ser prorrogado por igual período.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Os produtos deverão ser entregues, nas quantidades solicitadas, em regra, no seguinte endereço abaixo: </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ALMOXARIFADO:</w:t>
      </w:r>
      <w:r>
        <w:rPr>
          <w:rFonts w:cs="Arial" w:ascii="Arial" w:hAnsi="Arial"/>
          <w:color w:val="000000"/>
          <w:sz w:val="22"/>
          <w:szCs w:val="22"/>
        </w:rPr>
        <w:t xml:space="preserve"> Rua Olívio Fischborn, 510 – Parque de Máquinas – Bairro Arco-íris, Vera Cruz – RS – 96880-000, Tel. (51) 3718 1613, (51) 3718 1760, de segunda a sexta, no horário das 07h30 às 11h30 ou da 13:00h às 16:00h.</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SECRETARIA DE SAÚDE – GUARITA:</w:t>
      </w:r>
      <w:r>
        <w:rPr>
          <w:rFonts w:cs="Arial" w:ascii="Arial" w:hAnsi="Arial"/>
          <w:color w:val="000000"/>
          <w:sz w:val="22"/>
          <w:szCs w:val="22"/>
        </w:rPr>
        <w:t xml:space="preserve"> Av. Nestor Frederico Henn, 1645, Bairro Centro, Vera Cruz – RS – 96880-000, Tel. (51) 3718-3383, (51) 3718 1327, de segunda a sexta, no horário das 07h30 às 11h30 ou da 13:00h às 16:00h.</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SECRETARIA DE EDUCAÇÃO:</w:t>
      </w:r>
      <w:r>
        <w:rPr>
          <w:rFonts w:cs="Arial" w:ascii="Arial" w:hAnsi="Arial"/>
          <w:color w:val="000000"/>
          <w:sz w:val="22"/>
          <w:szCs w:val="22"/>
        </w:rPr>
        <w:t xml:space="preserve"> Rua Jacob Doern, 87, Bairro Centro, Vera Cruz – RS – 96880-000, Tel. (51) 3718 2759, de segunda a sexta, no horário das 07h30 às 11h30 ou da 13:00h às 16:00h.</w:t>
      </w:r>
    </w:p>
    <w:p>
      <w:pPr>
        <w:pStyle w:val="NormalWeb"/>
        <w:numPr>
          <w:ilvl w:val="0"/>
          <w:numId w:val="1"/>
        </w:numPr>
        <w:spacing w:lineRule="auto" w:line="360" w:before="0" w:after="0"/>
        <w:jc w:val="both"/>
        <w:rPr>
          <w:rFonts w:ascii="Arial" w:hAnsi="Arial"/>
          <w:sz w:val="22"/>
          <w:szCs w:val="22"/>
        </w:rPr>
      </w:pPr>
      <w:r>
        <w:rPr>
          <w:rFonts w:cs="Arial" w:ascii="Arial" w:hAnsi="Arial"/>
          <w:sz w:val="22"/>
          <w:szCs w:val="22"/>
        </w:rPr>
        <w:t>A empresa vencedora será responsável por despesas com fretes taxas para envio dos materiais.</w:t>
      </w:r>
    </w:p>
    <w:p>
      <w:pPr>
        <w:pStyle w:val="NormalWeb"/>
        <w:numPr>
          <w:ilvl w:val="0"/>
          <w:numId w:val="1"/>
        </w:numPr>
        <w:spacing w:lineRule="auto" w:line="360" w:before="0" w:after="0"/>
        <w:jc w:val="both"/>
        <w:rPr>
          <w:rFonts w:ascii="Arial" w:hAnsi="Arial"/>
          <w:sz w:val="22"/>
          <w:szCs w:val="22"/>
        </w:rPr>
      </w:pPr>
      <w:r>
        <w:rPr>
          <w:rFonts w:eastAsia="Arial-BoldMT" w:cs="Arial" w:ascii="Arial" w:hAnsi="Arial"/>
          <w:color w:val="000000"/>
          <w:sz w:val="22"/>
          <w:szCs w:val="22"/>
          <w:shd w:fill="FFFFFF" w:val="clear"/>
        </w:rPr>
        <w:t>Não serão aceitas entregas cujo objeto não esteja rigorosamente de acordo com a especificação e a solicitação de fornecimento.</w:t>
      </w:r>
    </w:p>
    <w:p>
      <w:pPr>
        <w:pStyle w:val="Normal"/>
        <w:numPr>
          <w:ilvl w:val="0"/>
          <w:numId w:val="1"/>
        </w:numPr>
        <w:spacing w:lineRule="auto" w:line="360"/>
        <w:jc w:val="both"/>
        <w:rPr>
          <w:rFonts w:ascii="Arial" w:hAnsi="Arial" w:eastAsia="Arial-BoldMT" w:cs="Arial"/>
          <w:color w:val="000000"/>
          <w:sz w:val="22"/>
          <w:szCs w:val="22"/>
          <w:shd w:fill="FFFFFF" w:val="clear"/>
        </w:rPr>
      </w:pPr>
      <w:r>
        <w:rPr>
          <w:rFonts w:eastAsia="Arial-BoldMT" w:cs="Arial" w:ascii="Arial" w:hAnsi="Arial"/>
          <w:color w:val="000000"/>
          <w:sz w:val="22"/>
          <w:szCs w:val="22"/>
          <w:shd w:fill="FFFFFF" w:val="clear"/>
        </w:rPr>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Compete ao gestor e fiscal responsável promover o aceite provisório e definitivo dos serviços e também atestar as faturas para pagamento.</w:t>
      </w:r>
    </w:p>
    <w:p>
      <w:pPr>
        <w:pStyle w:val="Normal"/>
        <w:numPr>
          <w:ilvl w:val="0"/>
          <w:numId w:val="1"/>
        </w:numPr>
        <w:spacing w:lineRule="auto" w:line="360"/>
        <w:jc w:val="both"/>
        <w:rPr>
          <w:rFonts w:ascii="Arial" w:hAnsi="Arial"/>
          <w:sz w:val="22"/>
          <w:szCs w:val="22"/>
        </w:rPr>
      </w:pPr>
      <w:r>
        <w:rPr>
          <w:rFonts w:cs="Arial" w:ascii="Arial" w:hAnsi="Arial"/>
          <w:sz w:val="22"/>
          <w:szCs w:val="22"/>
        </w:rPr>
        <w:t>A contratação da presente licitação será efetuada de forma parcelada, conforme necessidade da secretaria solicitante, respectivamente, através da emissão da Ordem de Compra, em um prazo máximo determinado para cada ocasião, local e necessidade dos serviços.</w:t>
      </w:r>
    </w:p>
    <w:p>
      <w:pPr>
        <w:pStyle w:val="Normal"/>
        <w:numPr>
          <w:ilvl w:val="0"/>
          <w:numId w:val="1"/>
        </w:numPr>
        <w:spacing w:lineRule="auto" w:line="360"/>
        <w:jc w:val="both"/>
        <w:rPr>
          <w:rFonts w:ascii="Arial" w:hAnsi="Arial"/>
          <w:sz w:val="22"/>
          <w:szCs w:val="22"/>
        </w:rPr>
      </w:pPr>
      <w:r>
        <w:rPr>
          <w:rFonts w:cs="Arial" w:ascii="Arial" w:hAnsi="Arial"/>
          <w:sz w:val="22"/>
          <w:szCs w:val="22"/>
        </w:rPr>
        <w:t>Todas as despesas decorrentes com pessoal, combustível e equipamentos utilizados para execução dos Serviços, correrão por conta da contratada.</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Após a conferência do serviço prestado, o responsável pela fiscalização deverá assinar seu nome no verso da nota fiscal atestando a execução do serviço e perfeitas condições. </w:t>
      </w:r>
    </w:p>
    <w:p>
      <w:pPr>
        <w:pStyle w:val="Normal"/>
        <w:numPr>
          <w:ilvl w:val="0"/>
          <w:numId w:val="1"/>
        </w:numPr>
        <w:spacing w:lineRule="auto" w:line="360"/>
        <w:jc w:val="both"/>
        <w:rPr>
          <w:rFonts w:ascii="Arial" w:hAnsi="Arial"/>
          <w:sz w:val="22"/>
          <w:szCs w:val="22"/>
        </w:rPr>
      </w:pPr>
      <w:r>
        <w:rPr>
          <w:rFonts w:cs="Arial" w:ascii="Arial" w:hAnsi="Arial"/>
          <w:sz w:val="22"/>
          <w:szCs w:val="22"/>
        </w:rPr>
        <w:t>É vedado/proibido a TERCEIRIZAÇÃO dos serviços para outras empresas.</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A entrega do material, mesmo que definitivo, não exclui a responsabilidade da empresa detentora pela qualidade e características do material entregue, cabendo-lhe sanar quaisquer irregularidades detectadas, durante todo prazo de vigência da Ata de Registro de Preços ou outro instrumento que lhe vier substituir. </w:t>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À presença de fiscalização pela contratante não elimina e nem diminui a responsabilidade da empresa contratada.</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sz w:val="22"/>
          <w:szCs w:val="22"/>
        </w:rPr>
      </w:pPr>
      <w:bookmarkStart w:id="8" w:name="art6xxiiif_Copia_1"/>
      <w:bookmarkEnd w:id="8"/>
      <w:r>
        <w:rPr>
          <w:rFonts w:cs="Arial" w:ascii="Arial" w:hAnsi="Arial"/>
          <w:b/>
          <w:bCs/>
          <w:color w:val="000000"/>
          <w:sz w:val="22"/>
          <w:szCs w:val="22"/>
        </w:rPr>
        <w:t>6. MODELO DE GESTÃO DO CONTRATO</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Da fiscalização administrativa</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cs="Arial" w:ascii="Arial" w:hAnsi="Arial"/>
          <w:sz w:val="22"/>
          <w:szCs w:val="22"/>
        </w:rPr>
        <w:t xml:space="preserve"> </w:t>
      </w:r>
    </w:p>
    <w:p>
      <w:pPr>
        <w:pStyle w:val="NormalWeb"/>
        <w:numPr>
          <w:ilvl w:val="0"/>
          <w:numId w:val="1"/>
        </w:numPr>
        <w:spacing w:lineRule="auto" w:line="360" w:before="0" w:after="0"/>
        <w:jc w:val="both"/>
        <w:rPr>
          <w:rFonts w:ascii="Arial" w:hAnsi="Arial"/>
          <w:sz w:val="22"/>
          <w:szCs w:val="22"/>
        </w:rPr>
      </w:pPr>
      <w:r>
        <w:rPr>
          <w:rFonts w:cs="Arial" w:ascii="Arial" w:hAnsi="Arial"/>
          <w:sz w:val="22"/>
          <w:szCs w:val="22"/>
        </w:rPr>
        <w:t xml:space="preserve">Caso Ata/contrato ocorram descumprimento informará a seus superiores, em tempo hábil para a adoção das medidas convenientes, a situação que demandar decisão ou providência que ultrapasse sua competência. O fiscal da Ata/contrato será auxiliado pelos órgãos de assessoramento jurídico e de controle interno da Administração, que </w:t>
      </w:r>
      <w:r>
        <w:rPr>
          <w:rFonts w:cs="Arial" w:ascii="Arial" w:hAnsi="Arial"/>
          <w:color w:val="000000"/>
          <w:sz w:val="22"/>
          <w:szCs w:val="22"/>
        </w:rPr>
        <w:t>atuará tempestivamente na solução do problema</w:t>
      </w:r>
      <w:r>
        <w:rPr>
          <w:rFonts w:cs="Arial" w:ascii="Arial" w:hAnsi="Arial"/>
          <w:sz w:val="22"/>
          <w:szCs w:val="22"/>
        </w:rPr>
        <w:t xml:space="preserve"> dirimir dúvidas e subsidiá-lo com informações relevantes para prevenir riscos na execução contratual.</w:t>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Gestor do contrato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O gestor do Ata/contrato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Gestor: Maiquel Aretz</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Fiscal: Samuel O. Mateus / Marlene Haas/ Rosângela Overbeck</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7. CRITÉRIOS DE MEDIÇÃO e DE PAGAMENTO</w:t>
      </w:r>
    </w:p>
    <w:p>
      <w:pPr>
        <w:pStyle w:val="Default"/>
        <w:numPr>
          <w:ilvl w:val="0"/>
          <w:numId w:val="1"/>
        </w:numPr>
        <w:spacing w:lineRule="auto" w:line="360"/>
        <w:jc w:val="both"/>
        <w:rPr>
          <w:rFonts w:ascii="Arial" w:hAnsi="Arial"/>
          <w:sz w:val="22"/>
          <w:szCs w:val="22"/>
        </w:rPr>
      </w:pPr>
      <w:r>
        <w:rPr>
          <w:rFonts w:cs="Arial" w:ascii="Arial" w:hAnsi="Arial"/>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Default"/>
        <w:numPr>
          <w:ilvl w:val="0"/>
          <w:numId w:val="1"/>
        </w:numPr>
        <w:spacing w:lineRule="auto" w:line="360"/>
        <w:jc w:val="both"/>
        <w:rPr>
          <w:rFonts w:ascii="Arial" w:hAnsi="Arial"/>
          <w:sz w:val="22"/>
          <w:szCs w:val="22"/>
        </w:rPr>
      </w:pPr>
      <w:r>
        <w:rPr>
          <w:rFonts w:cs="Arial" w:ascii="Arial" w:hAnsi="Arial"/>
          <w:sz w:val="22"/>
          <w:szCs w:val="22"/>
        </w:rPr>
        <w:t>O recebimento definitivo ocorrerá no prazo de 10 (dez) dias úteis, podendo ser prorrogável por igual período, a contar do recebimento da nota fiscal ou instrumento de cobrança equivalente pela administração, após a verificação da qualidade e quantidade do material e consequente aceitação mediante termo detalhado.</w:t>
      </w:r>
    </w:p>
    <w:p>
      <w:pPr>
        <w:pStyle w:val="Default"/>
        <w:numPr>
          <w:ilvl w:val="0"/>
          <w:numId w:val="1"/>
        </w:numPr>
        <w:spacing w:lineRule="auto" w:line="360"/>
        <w:jc w:val="both"/>
        <w:rPr>
          <w:rFonts w:ascii="Arial" w:hAnsi="Arial"/>
          <w:sz w:val="22"/>
          <w:szCs w:val="22"/>
        </w:rPr>
      </w:pPr>
      <w:r>
        <w:rPr>
          <w:rFonts w:cs="Arial" w:ascii="Arial" w:hAnsi="Arial"/>
          <w:sz w:val="22"/>
          <w:szCs w:val="22"/>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1"/>
        </w:numPr>
        <w:spacing w:lineRule="auto" w:line="360"/>
        <w:jc w:val="both"/>
        <w:rPr>
          <w:rFonts w:ascii="Arial" w:hAnsi="Arial"/>
          <w:sz w:val="22"/>
          <w:szCs w:val="22"/>
        </w:rPr>
      </w:pPr>
      <w:r>
        <w:rPr>
          <w:rFonts w:cs="Arial" w:ascii="Arial" w:hAnsi="Arial"/>
          <w:sz w:val="22"/>
          <w:szCs w:val="22"/>
        </w:rPr>
        <w:t>As licitantes devem acompanhar a emissão dos empenhos pelo sistema da Prefeitura, por meio do Portal da Transparência.</w:t>
      </w:r>
    </w:p>
    <w:p>
      <w:pPr>
        <w:pStyle w:val="Default"/>
        <w:numPr>
          <w:ilvl w:val="0"/>
          <w:numId w:val="1"/>
        </w:numPr>
        <w:spacing w:lineRule="auto" w:line="360"/>
        <w:jc w:val="both"/>
        <w:rPr>
          <w:rFonts w:ascii="Arial" w:hAnsi="Arial"/>
          <w:sz w:val="22"/>
          <w:szCs w:val="22"/>
        </w:rPr>
      </w:pPr>
      <w:r>
        <w:rPr>
          <w:rFonts w:cs="Arial" w:ascii="Arial" w:hAnsi="Arial"/>
          <w:sz w:val="22"/>
          <w:szCs w:val="22"/>
        </w:rPr>
        <w:t>No caso de execução/fornecimento de peças estar em desacordo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1"/>
        </w:numPr>
        <w:spacing w:lineRule="auto" w:line="360"/>
        <w:jc w:val="both"/>
        <w:rPr>
          <w:rFonts w:ascii="Arial" w:hAnsi="Arial"/>
          <w:sz w:val="22"/>
          <w:szCs w:val="22"/>
        </w:rPr>
      </w:pPr>
      <w:r>
        <w:rPr>
          <w:rFonts w:cs="Arial" w:ascii="Arial" w:hAnsi="Arial"/>
          <w:sz w:val="22"/>
          <w:szCs w:val="22"/>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w:t>
      </w:r>
    </w:p>
    <w:p>
      <w:pPr>
        <w:pStyle w:val="Default"/>
        <w:numPr>
          <w:ilvl w:val="0"/>
          <w:numId w:val="1"/>
        </w:numPr>
        <w:spacing w:lineRule="auto" w:line="360"/>
        <w:jc w:val="both"/>
        <w:rPr>
          <w:rFonts w:ascii="Arial" w:hAnsi="Arial"/>
          <w:sz w:val="22"/>
          <w:szCs w:val="22"/>
        </w:rPr>
      </w:pPr>
      <w:r>
        <w:rPr>
          <w:rFonts w:cs="Arial" w:ascii="Arial" w:hAnsi="Arial"/>
          <w:sz w:val="22"/>
          <w:szCs w:val="22"/>
        </w:rPr>
        <w:t>A licitante vencedora deverá emitir a nota fiscal tão logo ocorra o fornecimento/ prestação dos serviços. Na nota fiscal deve ser especificado o ponto de entrega do objeto e CNPJ da licitante.</w:t>
      </w:r>
    </w:p>
    <w:p>
      <w:pPr>
        <w:pStyle w:val="Default"/>
        <w:numPr>
          <w:ilvl w:val="0"/>
          <w:numId w:val="1"/>
        </w:numPr>
        <w:spacing w:lineRule="auto" w:line="360"/>
        <w:jc w:val="both"/>
        <w:rPr>
          <w:rFonts w:ascii="Arial" w:hAnsi="Arial"/>
          <w:sz w:val="22"/>
          <w:szCs w:val="22"/>
        </w:rPr>
      </w:pPr>
      <w:r>
        <w:rPr>
          <w:rFonts w:cs="Arial" w:ascii="Arial" w:hAnsi="Arial"/>
          <w:sz w:val="22"/>
          <w:szCs w:val="22"/>
        </w:rPr>
        <w:t>Em caso de rejeição da nota fiscal e/ou fatura, motivada por erro ou incorreção, o prazo de até 30 (trinta) dias passará a ser contado a partir da data da reapresentação.</w:t>
      </w:r>
    </w:p>
    <w:p>
      <w:pPr>
        <w:pStyle w:val="Default"/>
        <w:numPr>
          <w:ilvl w:val="0"/>
          <w:numId w:val="1"/>
        </w:numPr>
        <w:spacing w:lineRule="auto" w:line="360"/>
        <w:jc w:val="both"/>
        <w:rPr>
          <w:rFonts w:ascii="Arial" w:hAnsi="Arial"/>
          <w:sz w:val="22"/>
          <w:szCs w:val="22"/>
        </w:rPr>
      </w:pPr>
      <w:r>
        <w:rPr>
          <w:rFonts w:cs="Arial" w:ascii="Arial" w:hAnsi="Arial"/>
          <w:sz w:val="22"/>
          <w:szCs w:val="22"/>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pStyle w:val="Default"/>
        <w:numPr>
          <w:ilvl w:val="0"/>
          <w:numId w:val="1"/>
        </w:numPr>
        <w:spacing w:lineRule="auto" w:line="360"/>
        <w:jc w:val="both"/>
        <w:rPr>
          <w:rFonts w:ascii="Arial" w:hAnsi="Arial"/>
          <w:sz w:val="22"/>
          <w:szCs w:val="22"/>
        </w:rPr>
      </w:pPr>
      <w:r>
        <w:rPr>
          <w:rFonts w:cs="Arial" w:ascii="Arial" w:hAnsi="Arial"/>
          <w:sz w:val="22"/>
          <w:szCs w:val="22"/>
        </w:rPr>
        <w:t>Não serão aceitos boletos bancários, somente serão efetuados depósitos em conta-corrente em nome da empresa licitante vencedora.</w:t>
      </w:r>
    </w:p>
    <w:p>
      <w:pPr>
        <w:pStyle w:val="Default"/>
        <w:numPr>
          <w:ilvl w:val="0"/>
          <w:numId w:val="1"/>
        </w:numPr>
        <w:spacing w:lineRule="auto" w:line="360"/>
        <w:jc w:val="both"/>
        <w:rPr>
          <w:rFonts w:ascii="Arial" w:hAnsi="Arial"/>
          <w:sz w:val="22"/>
          <w:szCs w:val="22"/>
        </w:rPr>
      </w:pPr>
      <w:r>
        <w:rPr>
          <w:rFonts w:cs="Arial" w:ascii="Arial" w:hAnsi="Arial"/>
          <w:sz w:val="22"/>
          <w:szCs w:val="22"/>
        </w:rPr>
        <w:t>Deverão ser entregues sempre que necessário, as Certidões atualizadas (válidas) relativas ao Fundo de Garantia por Tempo de Serviço (FGTS) e de regularidade para com as Fazendas Municipal, Estadual, Federal e Trabalhista.</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Ocorrendo atraso no pagamento, os valores serão corrigidos monetariamente pelo índice IPCA do período, ou outro índice que vier a substituí-lo, e a Administração compensará a contratada com juros de 0,5% ao mês, </w:t>
      </w:r>
      <w:r>
        <w:rPr>
          <w:rFonts w:cs="Arial" w:ascii="Arial" w:hAnsi="Arial"/>
          <w:i/>
          <w:sz w:val="22"/>
          <w:szCs w:val="22"/>
        </w:rPr>
        <w:t>pro rata</w:t>
      </w:r>
      <w:r>
        <w:rPr>
          <w:rFonts w:cs="Arial" w:ascii="Arial" w:hAnsi="Arial"/>
          <w:sz w:val="22"/>
          <w:szCs w:val="22"/>
        </w:rPr>
        <w:t>.</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8. FORMA E CRITÉRIOS DE SELEÇÃO DO FORNECEDOR/PRESTADOR DE SERVIÇO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fornecedor será selecionado por meio da realização de procedimento de Licitação, na modalidade Pregão, sob a forma eletrônica, com adoção do critério de julgamento pelo menor preço por item.</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Será adotada a exclusividade para ME e EPP, conforme LC 123/2006.</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Da forma de fornecimento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O fornecimento do objeto será parcelado.</w:t>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Exigências de habilitação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Para fins de habilitação, deverá o licitante comprovar os seguintes requisitos:</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Habilitação Jurídica:</w:t>
      </w:r>
    </w:p>
    <w:p>
      <w:pPr>
        <w:pStyle w:val="Default"/>
        <w:numPr>
          <w:ilvl w:val="0"/>
          <w:numId w:val="1"/>
        </w:numPr>
        <w:spacing w:lineRule="auto" w:line="360"/>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Habilitação fiscal, Social e Trabalhista:</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numPr>
          <w:ilvl w:val="0"/>
          <w:numId w:val="1"/>
        </w:numPr>
        <w:spacing w:lineRule="auto" w:line="360"/>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numPr>
          <w:ilvl w:val="0"/>
          <w:numId w:val="1"/>
        </w:numPr>
        <w:spacing w:lineRule="auto" w:line="360"/>
        <w:jc w:val="both"/>
        <w:textAlignment w:val="top"/>
        <w:rPr>
          <w:rFonts w:ascii="Arial" w:hAnsi="Arial"/>
          <w:sz w:val="22"/>
          <w:szCs w:val="22"/>
        </w:rPr>
      </w:pPr>
      <w:r>
        <w:rPr>
          <w:rFonts w:cs="Arial" w:ascii="Arial" w:hAnsi="Arial"/>
          <w:b/>
          <w:color w:val="000000"/>
          <w:sz w:val="22"/>
          <w:szCs w:val="22"/>
        </w:rPr>
        <w:t>Habilitação Econômico-Financeiro:</w:t>
      </w:r>
    </w:p>
    <w:p>
      <w:pPr>
        <w:pStyle w:val="Normal"/>
        <w:numPr>
          <w:ilvl w:val="0"/>
          <w:numId w:val="1"/>
        </w:numPr>
        <w:spacing w:lineRule="auto" w:line="360"/>
        <w:jc w:val="both"/>
        <w:textAlignment w:val="top"/>
        <w:rPr>
          <w:rFonts w:ascii="Arial" w:hAnsi="Arial"/>
          <w:sz w:val="22"/>
          <w:szCs w:val="22"/>
        </w:rPr>
      </w:pPr>
      <w:r>
        <w:rPr>
          <w:rFonts w:cs="Arial" w:ascii="Arial" w:hAnsi="Arial"/>
          <w:b/>
          <w:sz w:val="22"/>
          <w:szCs w:val="22"/>
        </w:rPr>
        <w:t xml:space="preserve">a) </w:t>
      </w:r>
      <w:r>
        <w:rPr>
          <w:rFonts w:cs="Arial" w:ascii="Arial" w:hAnsi="Arial"/>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rPr>
        <w:t>9. ESTIMATIVA DO VALOR DA CONTRATAÇÃO</w:t>
      </w:r>
    </w:p>
    <w:p>
      <w:pPr>
        <w:pStyle w:val="Normal"/>
        <w:numPr>
          <w:ilvl w:val="0"/>
          <w:numId w:val="1"/>
        </w:numPr>
        <w:spacing w:lineRule="auto" w:line="360"/>
        <w:jc w:val="both"/>
        <w:rPr>
          <w:rFonts w:ascii="Arial" w:hAnsi="Arial"/>
          <w:sz w:val="22"/>
          <w:szCs w:val="22"/>
        </w:rPr>
      </w:pPr>
      <w:r>
        <w:rPr>
          <w:rFonts w:cs="Arial" w:ascii="Arial" w:hAnsi="Arial"/>
          <w:b w:val="false"/>
          <w:bCs w:val="false"/>
          <w:sz w:val="22"/>
          <w:szCs w:val="22"/>
        </w:rPr>
        <w:t>Estima-se para a contratação almejada o valor total de</w:t>
      </w:r>
      <w:r>
        <w:rPr>
          <w:rFonts w:cs="Arial" w:ascii="Arial" w:hAnsi="Arial"/>
          <w:b/>
          <w:bCs/>
          <w:sz w:val="22"/>
          <w:szCs w:val="22"/>
        </w:rPr>
        <w:t xml:space="preserve"> </w:t>
      </w:r>
      <w:r>
        <w:rPr>
          <w:rFonts w:cs="Arial" w:ascii="Arial" w:hAnsi="Arial"/>
          <w:b/>
          <w:bCs/>
          <w:color w:val="000000"/>
          <w:sz w:val="22"/>
          <w:szCs w:val="22"/>
          <w:shd w:fill="auto" w:val="clear"/>
        </w:rPr>
        <w:t xml:space="preserve"> R$ 148.176,00 (Cento e quarenta e oito mil, cento e setenta e seis reais).</w:t>
      </w:r>
    </w:p>
    <w:p>
      <w:pPr>
        <w:pStyle w:val="Normal"/>
        <w:numPr>
          <w:ilvl w:val="0"/>
          <w:numId w:val="1"/>
        </w:numPr>
        <w:spacing w:lineRule="auto" w:line="360"/>
        <w:jc w:val="both"/>
        <w:rPr>
          <w:rFonts w:ascii="Arial" w:hAnsi="Arial"/>
          <w:sz w:val="22"/>
          <w:szCs w:val="22"/>
        </w:rPr>
      </w:pPr>
      <w:r>
        <w:rPr>
          <w:rFonts w:cs="Arial" w:ascii="Arial" w:hAnsi="Arial"/>
          <w:sz w:val="22"/>
          <w:szCs w:val="22"/>
        </w:rPr>
        <w:t>Vislumbra-se que tal valor é compatível com o praticado pelo mercado correspondente, observando-se o disposto no Decreto Municipal,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As cotações foram obtidas por meio de pesquisa em comércio local, tendo em vista a variedade de produtos que são oferecidos no mercado e a diversidade de modelos. Para tanto, foi optado pela pesquisa de preços local com a intenção de diminuir as possibilidades de erro na pesquisa de preços, evitando a compra de produtos errados. Essa abordagem também visa garantir maior agilidade no processo de aquisição e assegurar que os produtos atendam às necessidades específicas da frota municipal.</w:t>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O detalhamento do procedimento adotado para o levantamento dos preços e as estimativas de preço de contratação para cada item estão apresentados naquele documento</w:t>
      </w:r>
      <w:r>
        <w:rPr>
          <w:rFonts w:cs="Arial" w:ascii="Arial" w:hAnsi="Arial"/>
          <w:color w:val="FF0000"/>
          <w:sz w:val="22"/>
          <w:szCs w:val="22"/>
        </w:rPr>
        <w:t>.</w:t>
      </w:r>
    </w:p>
    <w:p>
      <w:pPr>
        <w:pStyle w:val="NormalWeb"/>
        <w:numPr>
          <w:ilvl w:val="0"/>
          <w:numId w:val="1"/>
        </w:numPr>
        <w:spacing w:lineRule="auto" w:line="360" w:before="0" w:after="0"/>
        <w:jc w:val="both"/>
        <w:rPr>
          <w:rFonts w:ascii="Arial" w:hAnsi="Arial" w:cs="Arial"/>
          <w:b/>
          <w:bCs/>
          <w:color w:val="000000"/>
          <w:sz w:val="22"/>
          <w:szCs w:val="22"/>
          <w:shd w:fill="FFEB3B" w:val="clear"/>
        </w:rPr>
      </w:pPr>
      <w:r>
        <w:rPr>
          <w:rFonts w:cs="Arial" w:ascii="Arial" w:hAnsi="Arial"/>
          <w:b/>
          <w:bCs/>
          <w:color w:val="000000"/>
          <w:sz w:val="22"/>
          <w:szCs w:val="22"/>
          <w:shd w:fill="FFEB3B" w:val="clear"/>
        </w:rPr>
      </w:r>
    </w:p>
    <w:p>
      <w:pPr>
        <w:pStyle w:val="NormalWeb"/>
        <w:numPr>
          <w:ilvl w:val="0"/>
          <w:numId w:val="1"/>
        </w:numPr>
        <w:spacing w:lineRule="auto" w:line="360" w:before="0" w:after="0"/>
        <w:jc w:val="both"/>
        <w:rPr>
          <w:rFonts w:ascii="Arial" w:hAnsi="Arial"/>
          <w:sz w:val="22"/>
          <w:szCs w:val="22"/>
        </w:rPr>
      </w:pPr>
      <w:r>
        <w:rPr>
          <w:rFonts w:cs="Arial" w:ascii="Arial" w:hAnsi="Arial"/>
          <w:b/>
          <w:bCs/>
          <w:color w:val="000000"/>
          <w:sz w:val="22"/>
          <w:szCs w:val="22"/>
          <w:shd w:fill="auto" w:val="clear"/>
        </w:rPr>
        <w:t>10. ADEQUAÇÃO ORÇAMENTÁRIA</w:t>
      </w:r>
    </w:p>
    <w:p>
      <w:pPr>
        <w:pStyle w:val="Normal"/>
        <w:numPr>
          <w:ilvl w:val="0"/>
          <w:numId w:val="1"/>
        </w:numPr>
        <w:spacing w:lineRule="auto" w:line="360"/>
        <w:jc w:val="both"/>
        <w:rPr>
          <w:rFonts w:ascii="Arial" w:hAnsi="Arial"/>
          <w:sz w:val="22"/>
          <w:szCs w:val="22"/>
        </w:rPr>
      </w:pPr>
      <w:r>
        <w:rPr>
          <w:rFonts w:cs="Arial" w:ascii="Arial" w:hAnsi="Arial"/>
          <w:sz w:val="22"/>
          <w:szCs w:val="22"/>
        </w:rPr>
        <w:t>O dispêndio financeiro decorrente da contratação ora pretendida decorrerá das seguintes dotações orçamentárias:</w:t>
      </w:r>
    </w:p>
    <w:p>
      <w:pPr>
        <w:pStyle w:val="Normal"/>
        <w:numPr>
          <w:ilvl w:val="0"/>
          <w:numId w:val="1"/>
        </w:numPr>
        <w:spacing w:lineRule="auto" w:line="360"/>
        <w:jc w:val="both"/>
        <w:rPr>
          <w:rFonts w:ascii="Arial" w:hAnsi="Arial" w:cs="Arial"/>
          <w:sz w:val="22"/>
          <w:szCs w:val="22"/>
          <w:shd w:fill="FFFF00" w:val="clear"/>
        </w:rPr>
      </w:pPr>
      <w:r>
        <w:rPr>
          <w:rFonts w:cs="Arial" w:ascii="Arial" w:hAnsi="Arial"/>
          <w:sz w:val="22"/>
          <w:szCs w:val="22"/>
          <w:shd w:fill="FFFF00" w:val="clear"/>
        </w:rPr>
      </w:r>
    </w:p>
    <w:tbl>
      <w:tblPr>
        <w:tblW w:w="9870" w:type="dxa"/>
        <w:jc w:val="left"/>
        <w:tblInd w:w="25" w:type="dxa"/>
        <w:tblLayout w:type="fixed"/>
        <w:tblCellMar>
          <w:top w:w="55" w:type="dxa"/>
          <w:left w:w="55" w:type="dxa"/>
          <w:bottom w:w="55" w:type="dxa"/>
          <w:right w:w="55" w:type="dxa"/>
        </w:tblCellMar>
      </w:tblPr>
      <w:tblGrid>
        <w:gridCol w:w="761"/>
        <w:gridCol w:w="502"/>
        <w:gridCol w:w="605"/>
        <w:gridCol w:w="809"/>
        <w:gridCol w:w="729"/>
        <w:gridCol w:w="1980"/>
        <w:gridCol w:w="2999"/>
        <w:gridCol w:w="1483"/>
      </w:tblGrid>
      <w:tr>
        <w:trPr>
          <w:trHeight w:val="716" w:hRule="atLeast"/>
        </w:trPr>
        <w:tc>
          <w:tcPr>
            <w:tcW w:w="761"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Sequência</w:t>
            </w:r>
          </w:p>
        </w:tc>
        <w:tc>
          <w:tcPr>
            <w:tcW w:w="502"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Dotação</w:t>
            </w:r>
          </w:p>
        </w:tc>
        <w:tc>
          <w:tcPr>
            <w:tcW w:w="605"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Unidade</w:t>
            </w:r>
          </w:p>
        </w:tc>
        <w:tc>
          <w:tcPr>
            <w:tcW w:w="809"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Funcional</w:t>
            </w:r>
          </w:p>
        </w:tc>
        <w:tc>
          <w:tcPr>
            <w:tcW w:w="729"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Ação</w:t>
            </w:r>
          </w:p>
        </w:tc>
        <w:tc>
          <w:tcPr>
            <w:tcW w:w="1980"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b/>
                <w:sz w:val="16"/>
                <w:szCs w:val="16"/>
              </w:rPr>
              <w:t>Elemento - Código</w:t>
            </w:r>
          </w:p>
        </w:tc>
        <w:tc>
          <w:tcPr>
            <w:tcW w:w="2999" w:type="dxa"/>
            <w:tcBorders>
              <w:top w:val="single" w:sz="4" w:space="0" w:color="000000"/>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Elemento - Descrição</w:t>
            </w:r>
          </w:p>
        </w:tc>
        <w:tc>
          <w:tcPr>
            <w:tcW w:w="148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b/>
                <w:sz w:val="16"/>
                <w:szCs w:val="16"/>
              </w:rPr>
              <w:t>Vínculo</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10</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0004.0122.0002</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1004</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3.4490303900000002E19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manutencao de veiculos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7</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74</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0004.0122.0007</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2013</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264</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0026.0782.0019</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2036</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895"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11</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267</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0026.0782.0019</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2036</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3.3390391699999998E19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Manutenção e conservação de máquinas e equipamentos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12</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267</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0026.0782.0019</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2036</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3.3390391900000002E19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Manutencao e conservacao de veiculos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14</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332</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0012.0122.0022</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2041</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3</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536</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0020.0606.0029</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2074</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4</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659</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0010.0301.0036</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2088</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15001002</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5</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660</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0010.0301.0036</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2088</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16004500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6</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661</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0010.0301.0036</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2088</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16214011</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8</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836</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0008.0243.0042</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2102</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9</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839</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0008.0244.0040</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2101</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16</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997</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0004.0122.0058</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2131</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15</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1215</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0012.0122.0022</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2041</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25001000</w:t>
            </w:r>
          </w:p>
        </w:tc>
      </w:tr>
      <w:tr>
        <w:trPr>
          <w:trHeight w:val="716" w:hRule="atLeast"/>
        </w:trPr>
        <w:tc>
          <w:tcPr>
            <w:tcW w:w="761"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13</w:t>
            </w:r>
          </w:p>
        </w:tc>
        <w:tc>
          <w:tcPr>
            <w:tcW w:w="502"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1283</w:t>
            </w:r>
          </w:p>
        </w:tc>
        <w:tc>
          <w:tcPr>
            <w:tcW w:w="605"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1</w:t>
            </w:r>
          </w:p>
        </w:tc>
        <w:tc>
          <w:tcPr>
            <w:tcW w:w="80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0010.0301.0036</w:t>
            </w:r>
          </w:p>
        </w:tc>
        <w:tc>
          <w:tcPr>
            <w:tcW w:w="72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2088</w:t>
            </w:r>
          </w:p>
        </w:tc>
        <w:tc>
          <w:tcPr>
            <w:tcW w:w="1980" w:type="dxa"/>
            <w:tcBorders>
              <w:left w:val="single" w:sz="4" w:space="0" w:color="000000"/>
              <w:bottom w:val="single" w:sz="4" w:space="0" w:color="000000"/>
            </w:tcBorders>
            <w:vAlign w:val="bottom"/>
          </w:tcPr>
          <w:p>
            <w:pPr>
              <w:pStyle w:val="Normal"/>
              <w:widowControl w:val="false"/>
              <w:numPr>
                <w:ilvl w:val="0"/>
                <w:numId w:val="1"/>
              </w:numPr>
              <w:spacing w:lineRule="auto" w:line="360"/>
              <w:jc w:val="right"/>
              <w:rPr>
                <w:rFonts w:ascii="Arial" w:hAnsi="Arial"/>
                <w:sz w:val="16"/>
                <w:szCs w:val="16"/>
              </w:rPr>
            </w:pPr>
            <w:r>
              <w:rPr>
                <w:rFonts w:cs="Arial" w:ascii="Arial" w:hAnsi="Arial"/>
                <w:sz w:val="16"/>
                <w:szCs w:val="16"/>
              </w:rPr>
              <w:t>3.3390303900000002E19</w:t>
            </w:r>
          </w:p>
        </w:tc>
        <w:tc>
          <w:tcPr>
            <w:tcW w:w="2999" w:type="dxa"/>
            <w:tcBorders>
              <w:left w:val="single" w:sz="4" w:space="0" w:color="000000"/>
              <w:bottom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Material para manutenção de veículos</w:t>
            </w:r>
          </w:p>
        </w:tc>
        <w:tc>
          <w:tcPr>
            <w:tcW w:w="1483" w:type="dxa"/>
            <w:tcBorders>
              <w:left w:val="single" w:sz="4" w:space="0" w:color="000000"/>
              <w:bottom w:val="single" w:sz="4" w:space="0" w:color="000000"/>
              <w:right w:val="single" w:sz="4" w:space="0" w:color="000000"/>
            </w:tcBorders>
            <w:vAlign w:val="bottom"/>
          </w:tcPr>
          <w:p>
            <w:pPr>
              <w:pStyle w:val="Normal"/>
              <w:widowControl w:val="false"/>
              <w:numPr>
                <w:ilvl w:val="0"/>
                <w:numId w:val="1"/>
              </w:numPr>
              <w:spacing w:lineRule="auto" w:line="360"/>
              <w:jc w:val="left"/>
              <w:rPr>
                <w:rFonts w:ascii="Arial" w:hAnsi="Arial"/>
                <w:sz w:val="16"/>
                <w:szCs w:val="16"/>
              </w:rPr>
            </w:pPr>
            <w:r>
              <w:rPr>
                <w:rFonts w:cs="Arial" w:ascii="Arial" w:hAnsi="Arial"/>
                <w:sz w:val="16"/>
                <w:szCs w:val="16"/>
              </w:rPr>
              <w:t>26214011</w:t>
            </w:r>
          </w:p>
        </w:tc>
      </w:tr>
    </w:tbl>
    <w:p>
      <w:pPr>
        <w:pStyle w:val="Normal"/>
        <w:numPr>
          <w:ilvl w:val="0"/>
          <w:numId w:val="1"/>
        </w:numPr>
        <w:spacing w:lineRule="auto" w:line="360"/>
        <w:jc w:val="right"/>
        <w:rPr>
          <w:rFonts w:ascii="Arial" w:hAnsi="Arial"/>
          <w:b/>
          <w:bCs/>
          <w:sz w:val="22"/>
          <w:szCs w:val="22"/>
        </w:rPr>
      </w:pPr>
      <w:r>
        <w:rPr>
          <w:rFonts w:ascii="Arial" w:hAnsi="Arial"/>
          <w:b/>
          <w:bCs/>
          <w:sz w:val="22"/>
          <w:szCs w:val="22"/>
        </w:rPr>
      </w:r>
    </w:p>
    <w:p>
      <w:pPr>
        <w:pStyle w:val="Normal"/>
        <w:numPr>
          <w:ilvl w:val="0"/>
          <w:numId w:val="1"/>
        </w:numPr>
        <w:spacing w:lineRule="auto" w:line="360"/>
        <w:jc w:val="right"/>
        <w:rPr>
          <w:rFonts w:ascii="Arial" w:hAnsi="Arial"/>
          <w:sz w:val="22"/>
          <w:szCs w:val="22"/>
        </w:rPr>
      </w:pPr>
      <w:r>
        <w:rPr>
          <w:rFonts w:cs="Arial" w:ascii="Arial" w:hAnsi="Arial"/>
          <w:b w:val="false"/>
          <w:bCs w:val="false"/>
          <w:sz w:val="22"/>
          <w:szCs w:val="22"/>
        </w:rPr>
        <w:t>Vera Cruz / RS, 20 de janeiro de 2025.</w:t>
      </w:r>
    </w:p>
    <w:p>
      <w:pPr>
        <w:pStyle w:val="Normal"/>
        <w:numPr>
          <w:ilvl w:val="0"/>
          <w:numId w:val="1"/>
        </w:numPr>
        <w:spacing w:lineRule="auto" w:line="360"/>
        <w:jc w:val="right"/>
        <w:rPr>
          <w:rFonts w:ascii="Arial" w:hAnsi="Arial" w:cs="Arial"/>
          <w:b w:val="false"/>
          <w:bCs w:val="false"/>
          <w:sz w:val="22"/>
          <w:szCs w:val="22"/>
        </w:rPr>
      </w:pPr>
      <w:r>
        <w:rPr>
          <w:rFonts w:cs="Arial" w:ascii="Arial" w:hAnsi="Arial"/>
          <w:b w:val="false"/>
          <w:bCs w:val="false"/>
          <w:sz w:val="22"/>
          <w:szCs w:val="22"/>
        </w:rPr>
      </w:r>
    </w:p>
    <w:p>
      <w:pPr>
        <w:pStyle w:val="Normal"/>
        <w:numPr>
          <w:ilvl w:val="0"/>
          <w:numId w:val="1"/>
        </w:numPr>
        <w:spacing w:lineRule="auto" w:line="360"/>
        <w:jc w:val="both"/>
        <w:rPr>
          <w:rFonts w:ascii="Arial" w:hAnsi="Arial" w:cs="Arial"/>
          <w:b w:val="false"/>
          <w:bCs w:val="false"/>
          <w:sz w:val="22"/>
          <w:szCs w:val="22"/>
        </w:rPr>
      </w:pPr>
      <w:r>
        <w:rPr>
          <w:rFonts w:cs="Arial" w:ascii="Arial" w:hAnsi="Arial"/>
          <w:b w:val="false"/>
          <w:bCs w:val="false"/>
          <w:sz w:val="22"/>
          <w:szCs w:val="22"/>
        </w:rPr>
      </w:r>
    </w:p>
    <w:p>
      <w:pPr>
        <w:pStyle w:val="Normal"/>
        <w:numPr>
          <w:ilvl w:val="0"/>
          <w:numId w:val="1"/>
        </w:numPr>
        <w:spacing w:lineRule="auto" w:line="360"/>
        <w:jc w:val="both"/>
        <w:rPr>
          <w:rFonts w:ascii="Arial" w:hAnsi="Arial"/>
          <w:sz w:val="22"/>
          <w:szCs w:val="22"/>
        </w:rPr>
      </w:pPr>
      <w:r>
        <w:rPr>
          <w:rFonts w:cs="Arial" w:ascii="Arial" w:hAnsi="Arial"/>
          <w:color w:val="000000"/>
          <w:sz w:val="22"/>
          <w:szCs w:val="22"/>
        </w:rPr>
        <w:tab/>
        <w:t>Maiquel Aretz</w:t>
        <w:tab/>
        <w:tab/>
        <w:tab/>
        <w:tab/>
        <w:tab/>
        <w:tab/>
        <w:tab/>
        <w:t>Samuel Oliveira Mateus</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rPr>
        <w:t xml:space="preserve">Secretário M. de Obras, </w:t>
        <w:tab/>
        <w:tab/>
        <w:tab/>
        <w:tab/>
        <w:tab/>
        <w:tab/>
        <w:tab/>
        <w:t>Mecânico</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rPr>
        <w:t>Saneamento e Trânsito</w:t>
        <w:tab/>
        <w:tab/>
        <w:tab/>
        <w:tab/>
        <w:tab/>
        <w:tab/>
        <w:tab/>
        <w:tab/>
        <w:t xml:space="preserve"> 31453/2</w:t>
      </w:r>
      <w:r>
        <w:br w:type="page"/>
      </w:r>
    </w:p>
    <w:p>
      <w:pPr>
        <w:pStyle w:val="Itemdoedital"/>
        <w:numPr>
          <w:ilvl w:val="0"/>
          <w:numId w:val="1"/>
        </w:numPr>
        <w:spacing w:lineRule="auto" w:line="360"/>
        <w:ind w:left="0" w:right="0" w:hanging="0"/>
        <w:jc w:val="center"/>
        <w:rPr>
          <w:rFonts w:ascii="Arial" w:hAnsi="Arial"/>
          <w:sz w:val="22"/>
          <w:szCs w:val="22"/>
        </w:rPr>
      </w:pPr>
      <w:r>
        <w:rPr>
          <w:rFonts w:ascii="Arial" w:hAnsi="Arial"/>
          <w:sz w:val="22"/>
          <w:szCs w:val="22"/>
        </w:rPr>
        <w:t>ANEXO II – DECLARAÇÃO CONJUNTA</w:t>
      </w:r>
    </w:p>
    <w:p>
      <w:pPr>
        <w:pStyle w:val="Normal"/>
        <w:tabs>
          <w:tab w:val="clear" w:pos="408"/>
          <w:tab w:val="left" w:pos="1134" w:leader="none"/>
        </w:tabs>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sz w:val="22"/>
          <w:szCs w:val="22"/>
        </w:rPr>
      </w:pPr>
      <w:r>
        <w:rPr>
          <w:rFonts w:cs="Arial" w:ascii="Arial" w:hAnsi="Arial"/>
          <w:color w:val="000000"/>
          <w:sz w:val="22"/>
          <w:szCs w:val="22"/>
        </w:rPr>
        <w:t>DADOS DA EMPRESA:</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sz w:val="22"/>
          <w:szCs w:val="22"/>
        </w:rPr>
      </w:pPr>
      <w:r>
        <w:rPr>
          <w:rFonts w:cs="Arial" w:ascii="Arial" w:hAnsi="Arial"/>
          <w:color w:val="000000"/>
          <w:sz w:val="22"/>
          <w:szCs w:val="22"/>
        </w:rPr>
        <w:t>RAZÃO SOCIAL:</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sz w:val="22"/>
          <w:szCs w:val="22"/>
        </w:rPr>
      </w:pPr>
      <w:r>
        <w:rPr>
          <w:rFonts w:cs="Arial" w:ascii="Arial" w:hAnsi="Arial"/>
          <w:color w:val="000000"/>
          <w:sz w:val="22"/>
          <w:szCs w:val="22"/>
        </w:rPr>
        <w:t>CNPJ/MF/Nº</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cs="Arial" w:ascii="Arial" w:hAnsi="Arial"/>
          <w:color w:val="000000"/>
          <w:sz w:val="22"/>
          <w:szCs w:val="22"/>
        </w:rPr>
        <w:t xml:space="preserve">ENDEREÇO: </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009</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/2024</w:t>
      </w:r>
      <w:r>
        <w:rPr>
          <w:rFonts w:cs="Arial" w:ascii="Arial" w:hAnsi="Arial"/>
          <w:color w:val="000000"/>
          <w:sz w:val="22"/>
          <w:szCs w:val="22"/>
        </w:rPr>
        <w:t>, que a Empresa por mim apresentada:</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sz w:val="22"/>
          <w:szCs w:val="22"/>
        </w:rPr>
      </w:pPr>
      <w:r>
        <w:rPr>
          <w:rFonts w:cs="Arial" w:ascii="Arial" w:hAnsi="Arial"/>
          <w:color w:val="000000"/>
          <w:sz w:val="22"/>
          <w:szCs w:val="22"/>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40"/>
        <w:jc w:val="both"/>
        <w:rPr>
          <w:rFonts w:ascii="Arial" w:hAnsi="Arial"/>
          <w:sz w:val="22"/>
          <w:szCs w:val="22"/>
        </w:rPr>
      </w:pPr>
      <w:r>
        <w:rPr>
          <w:rFonts w:cs="Arial" w:ascii="Arial" w:hAnsi="Arial"/>
          <w:color w:val="000000"/>
          <w:sz w:val="22"/>
          <w:szCs w:val="22"/>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40"/>
        <w:jc w:val="both"/>
        <w:rPr>
          <w:rFonts w:ascii="Arial" w:hAnsi="Arial"/>
          <w:sz w:val="22"/>
          <w:szCs w:val="22"/>
        </w:rPr>
      </w:pPr>
      <w:r>
        <w:rPr>
          <w:rFonts w:cs="Arial" w:ascii="Arial" w:hAnsi="Arial"/>
          <w:color w:val="000000"/>
          <w:sz w:val="22"/>
          <w:szCs w:val="22"/>
        </w:rPr>
        <w:t>(</w:t>
        <w:tab/>
        <w:t xml:space="preserve">) cumpre os requisitos para a habilitação e a conformidade de sua proposta com as exigências do edital, como condição de participação. </w:t>
      </w:r>
    </w:p>
    <w:p>
      <w:pPr>
        <w:pStyle w:val="Normal"/>
        <w:spacing w:lineRule="auto" w:line="240"/>
        <w:jc w:val="both"/>
        <w:rPr>
          <w:rFonts w:ascii="Arial" w:hAnsi="Arial"/>
          <w:sz w:val="22"/>
          <w:szCs w:val="22"/>
        </w:rPr>
      </w:pPr>
      <w:r>
        <w:rPr>
          <w:rFonts w:cs="Arial" w:ascii="Arial" w:hAnsi="Arial"/>
          <w:color w:val="000000"/>
          <w:sz w:val="22"/>
          <w:szCs w:val="22"/>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40"/>
        <w:jc w:val="both"/>
        <w:rPr>
          <w:rFonts w:ascii="Arial" w:hAnsi="Arial"/>
          <w:sz w:val="22"/>
          <w:szCs w:val="22"/>
        </w:rPr>
      </w:pPr>
      <w:r>
        <w:rPr>
          <w:rFonts w:cs="Arial" w:ascii="Arial" w:hAnsi="Arial"/>
          <w:color w:val="000000"/>
          <w:sz w:val="22"/>
          <w:szCs w:val="22"/>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40"/>
        <w:jc w:val="both"/>
        <w:rPr>
          <w:rFonts w:ascii="Arial" w:hAnsi="Arial"/>
          <w:sz w:val="22"/>
          <w:szCs w:val="22"/>
        </w:rPr>
      </w:pPr>
      <w:r>
        <w:rPr>
          <w:rFonts w:cs="Arial" w:ascii="Arial" w:hAnsi="Arial"/>
          <w:color w:val="000000"/>
          <w:sz w:val="22"/>
          <w:szCs w:val="22"/>
        </w:rPr>
        <w:t>(</w:t>
        <w:tab/>
        <w:t xml:space="preserve">) não possui empregados executando trabalho degradante ou forçado, observando o disposto nos incisos III e IV do art. 1º e no inciso III do art. 5º da Constituição Federal; </w:t>
      </w:r>
    </w:p>
    <w:p>
      <w:pPr>
        <w:pStyle w:val="Normal"/>
        <w:spacing w:lineRule="auto" w:line="240"/>
        <w:jc w:val="both"/>
        <w:rPr>
          <w:rFonts w:ascii="Arial" w:hAnsi="Arial"/>
          <w:sz w:val="22"/>
          <w:szCs w:val="22"/>
        </w:rPr>
      </w:pPr>
      <w:r>
        <w:rPr>
          <w:rFonts w:cs="Arial" w:ascii="Arial" w:hAnsi="Arial"/>
          <w:color w:val="000000"/>
          <w:sz w:val="22"/>
          <w:szCs w:val="22"/>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40"/>
        <w:jc w:val="both"/>
        <w:rPr>
          <w:rFonts w:ascii="Arial" w:hAnsi="Arial"/>
          <w:sz w:val="22"/>
          <w:szCs w:val="22"/>
        </w:rPr>
      </w:pPr>
      <w:r>
        <w:rPr>
          <w:rFonts w:cs="Arial" w:ascii="Arial" w:hAnsi="Arial"/>
          <w:color w:val="000000"/>
          <w:sz w:val="22"/>
          <w:szCs w:val="22"/>
        </w:rPr>
        <w:t>(</w:t>
        <w:tab/>
        <w:t xml:space="preserve">) tomou conhecimento de todas as informações e das condições locais para o cumprimento das obrigações objeto da licitação. </w:t>
      </w:r>
    </w:p>
    <w:p>
      <w:pPr>
        <w:pStyle w:val="Normal"/>
        <w:spacing w:lineRule="auto" w:line="240"/>
        <w:jc w:val="both"/>
        <w:rPr>
          <w:rFonts w:ascii="Arial" w:hAnsi="Arial"/>
          <w:sz w:val="22"/>
          <w:szCs w:val="22"/>
        </w:rPr>
      </w:pPr>
      <w:r>
        <w:rPr>
          <w:rFonts w:cs="Arial" w:ascii="Arial" w:hAnsi="Arial"/>
          <w:color w:val="000000"/>
          <w:sz w:val="22"/>
          <w:szCs w:val="22"/>
        </w:rPr>
        <w:t>(</w:t>
        <w:tab/>
        <w:t xml:space="preserve">) inexistem fatos impeditivos para sua habilitação, estando ciente da obrigatoriedade de declarar ocorrências posteriores. </w:t>
      </w:r>
    </w:p>
    <w:p>
      <w:pPr>
        <w:pStyle w:val="Normal"/>
        <w:spacing w:lineRule="auto" w:line="240"/>
        <w:jc w:val="both"/>
        <w:rPr>
          <w:rFonts w:ascii="Arial" w:hAnsi="Arial"/>
          <w:sz w:val="22"/>
          <w:szCs w:val="22"/>
        </w:rPr>
      </w:pPr>
      <w:r>
        <w:rPr>
          <w:rFonts w:cs="Arial" w:ascii="Arial" w:hAnsi="Arial"/>
          <w:color w:val="000000"/>
          <w:sz w:val="22"/>
          <w:szCs w:val="22"/>
        </w:rPr>
        <w:t>(</w:t>
        <w:tab/>
        <w:t xml:space="preserve">) Declara que não se enquadra em nenhuma das hipóteses de impedimento previstas no artigo 14º, da Lei Federal nº 14.133/21. </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cs="Arial" w:ascii="Arial" w:hAnsi="Arial"/>
          <w:color w:val="000000"/>
          <w:sz w:val="22"/>
          <w:szCs w:val="22"/>
        </w:rPr>
        <w:t>Ressalva CASO EMPREGUE MENOR: emprega menor, a partir de quatorze anos, na condição de aprendiz (</w:t>
        <w:tab/>
        <w:tab/>
        <w:t xml:space="preserve">). </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center"/>
        <w:rPr>
          <w:rFonts w:ascii="Arial" w:hAnsi="Arial"/>
          <w:sz w:val="22"/>
          <w:szCs w:val="22"/>
        </w:rPr>
      </w:pPr>
      <w:r>
        <w:rPr>
          <w:rFonts w:cs="Arial" w:ascii="Arial" w:hAnsi="Arial"/>
          <w:color w:val="000000"/>
          <w:sz w:val="22"/>
          <w:szCs w:val="22"/>
        </w:rPr>
        <w:t>LOCAL: ________________________, ______ de __________________ de 2024.</w:t>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cs="Arial"/>
          <w:color w:val="000000"/>
          <w:sz w:val="22"/>
          <w:szCs w:val="22"/>
        </w:rPr>
      </w:pPr>
      <w:r>
        <w:rPr>
          <w:rFonts w:cs="Arial" w:ascii="Arial" w:hAnsi="Arial"/>
          <w:color w:val="000000"/>
          <w:sz w:val="22"/>
          <w:szCs w:val="22"/>
        </w:rPr>
      </w:r>
    </w:p>
    <w:p>
      <w:pPr>
        <w:pStyle w:val="Normal"/>
        <w:spacing w:lineRule="auto" w:line="240"/>
        <w:jc w:val="both"/>
        <w:rPr>
          <w:rFonts w:ascii="Arial" w:hAnsi="Arial"/>
          <w:sz w:val="22"/>
          <w:szCs w:val="22"/>
        </w:rPr>
      </w:pPr>
      <w:r>
        <w:rPr>
          <w:rFonts w:cs="Arial" w:ascii="Arial" w:hAnsi="Arial"/>
          <w:color w:val="000000"/>
          <w:sz w:val="22"/>
          <w:szCs w:val="22"/>
        </w:rPr>
        <w:t>ASSINATURA:</w:t>
      </w:r>
    </w:p>
    <w:p>
      <w:pPr>
        <w:pStyle w:val="Normal"/>
        <w:spacing w:lineRule="auto" w:line="240"/>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40"/>
        <w:jc w:val="center"/>
        <w:rPr>
          <w:rFonts w:ascii="Arial" w:hAnsi="Arial" w:cs="Arial"/>
          <w:b/>
          <w:color w:val="000000"/>
          <w:sz w:val="22"/>
          <w:szCs w:val="22"/>
        </w:rPr>
      </w:pPr>
      <w:r>
        <w:rPr>
          <w:rFonts w:cs="Arial" w:ascii="Arial" w:hAnsi="Arial"/>
          <w:b/>
          <w:color w:val="000000"/>
          <w:sz w:val="22"/>
          <w:szCs w:val="22"/>
        </w:rPr>
      </w:r>
    </w:p>
    <w:p>
      <w:pPr>
        <w:pStyle w:val="Normal"/>
        <w:tabs>
          <w:tab w:val="clear" w:pos="408"/>
          <w:tab w:val="left" w:pos="1134" w:leader="none"/>
        </w:tabs>
        <w:spacing w:lineRule="auto" w:line="360"/>
        <w:jc w:val="center"/>
        <w:rPr>
          <w:rFonts w:ascii="Arial" w:hAnsi="Arial" w:cs="Arial"/>
          <w:b/>
          <w:color w:val="000000"/>
          <w:sz w:val="22"/>
          <w:szCs w:val="22"/>
        </w:rPr>
      </w:pPr>
      <w:r>
        <w:rPr>
          <w:rFonts w:cs="Arial" w:ascii="Arial" w:hAnsi="Arial"/>
          <w:b/>
          <w:color w:val="000000"/>
          <w:sz w:val="22"/>
          <w:szCs w:val="22"/>
        </w:rPr>
      </w:r>
    </w:p>
    <w:p>
      <w:pPr>
        <w:pStyle w:val="Itemdoedital"/>
        <w:numPr>
          <w:ilvl w:val="0"/>
          <w:numId w:val="1"/>
        </w:numPr>
        <w:spacing w:lineRule="auto" w:line="360"/>
        <w:ind w:left="0" w:right="0" w:hanging="0"/>
        <w:jc w:val="center"/>
        <w:rPr>
          <w:rFonts w:ascii="Arial" w:hAnsi="Arial"/>
          <w:sz w:val="22"/>
          <w:szCs w:val="22"/>
        </w:rPr>
      </w:pPr>
      <w:r>
        <w:rPr>
          <w:rFonts w:ascii="Arial" w:hAnsi="Arial"/>
          <w:sz w:val="22"/>
          <w:szCs w:val="22"/>
        </w:rPr>
        <w:t>ANEXO III - MODELO DE DECLARAÇÃO DO PORTE DA EMPRESA</w:t>
      </w:r>
    </w:p>
    <w:p>
      <w:pPr>
        <w:pStyle w:val="Normal"/>
        <w:tabs>
          <w:tab w:val="clear" w:pos="408"/>
          <w:tab w:val="left" w:pos="1134" w:leader="none"/>
        </w:tabs>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360"/>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sz w:val="22"/>
          <w:szCs w:val="22"/>
        </w:rPr>
      </w:pPr>
      <w:r>
        <w:rPr>
          <w:rFonts w:cs="Arial" w:ascii="Arial" w:hAnsi="Arial"/>
          <w:color w:val="000000"/>
          <w:sz w:val="22"/>
          <w:szCs w:val="22"/>
        </w:rPr>
        <w:t>LOCAL: _______________________, ______ de _________________ de 2024.</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ASSINATURA:</w:t>
      </w:r>
    </w:p>
    <w:p>
      <w:pPr>
        <w:pStyle w:val="Normal"/>
        <w:spacing w:lineRule="auto" w:line="360"/>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jc w:val="center"/>
        <w:rPr>
          <w:rFonts w:ascii="Arial" w:hAnsi="Arial"/>
          <w:sz w:val="22"/>
          <w:szCs w:val="22"/>
        </w:rPr>
      </w:pPr>
      <w:r>
        <w:rPr>
          <w:rFonts w:ascii="Arial" w:hAnsi="Arial"/>
          <w:sz w:val="22"/>
          <w:szCs w:val="22"/>
        </w:rPr>
      </w:r>
      <w:r>
        <w:br w:type="page"/>
      </w:r>
    </w:p>
    <w:p>
      <w:pPr>
        <w:pStyle w:val="Itemdoedital"/>
        <w:numPr>
          <w:ilvl w:val="0"/>
          <w:numId w:val="1"/>
        </w:numPr>
        <w:spacing w:lineRule="auto" w:line="360"/>
        <w:ind w:left="0" w:right="0" w:hanging="0"/>
        <w:jc w:val="center"/>
        <w:rPr>
          <w:rFonts w:ascii="Arial" w:hAnsi="Arial"/>
          <w:sz w:val="22"/>
          <w:szCs w:val="22"/>
        </w:rPr>
      </w:pPr>
      <w:r>
        <w:rPr>
          <w:rFonts w:ascii="Arial" w:hAnsi="Arial"/>
          <w:sz w:val="22"/>
          <w:szCs w:val="22"/>
        </w:rPr>
        <w:t>ANEXO IV – MODELO DE PROPOSTA FINANCEIRA</w:t>
      </w:r>
    </w:p>
    <w:p>
      <w:pPr>
        <w:pStyle w:val="Itemdoedital"/>
        <w:numPr>
          <w:ilvl w:val="0"/>
          <w:numId w:val="1"/>
        </w:numPr>
        <w:spacing w:lineRule="auto" w:line="360"/>
        <w:ind w:left="0" w:right="0" w:hanging="0"/>
        <w:jc w:val="center"/>
        <w:rPr>
          <w:rFonts w:ascii="Arial" w:hAnsi="Arial"/>
          <w:sz w:val="22"/>
          <w:szCs w:val="22"/>
        </w:rPr>
      </w:pPr>
      <w:r>
        <w:rPr>
          <w:rFonts w:ascii="Arial" w:hAnsi="Arial"/>
          <w:sz w:val="22"/>
          <w:szCs w:val="22"/>
        </w:rPr>
        <w:t xml:space="preserve">Pregão Eletrônico nº </w:t>
      </w:r>
      <w:r>
        <w:rPr>
          <w:rFonts w:ascii="Arial" w:hAnsi="Arial"/>
          <w:sz w:val="22"/>
          <w:szCs w:val="22"/>
        </w:rPr>
        <w:fldChar w:fldCharType="begin"/>
      </w:r>
      <w:r>
        <w:rPr>
          <w:sz w:val="22"/>
          <w:szCs w:val="22"/>
          <w:rFonts w:ascii="Arial" w:hAnsi="Arial"/>
        </w:rPr>
        <w:instrText xml:space="preserve"> DOCVARIABLE Npregão </w:instrText>
      </w:r>
      <w:r>
        <w:rPr>
          <w:sz w:val="22"/>
          <w:szCs w:val="22"/>
          <w:rFonts w:ascii="Arial" w:hAnsi="Arial"/>
        </w:rPr>
        <w:fldChar w:fldCharType="separate"/>
      </w:r>
      <w:r>
        <w:rPr>
          <w:sz w:val="22"/>
          <w:szCs w:val="22"/>
          <w:rFonts w:ascii="Arial" w:hAnsi="Arial"/>
        </w:rPr>
        <w:t>009</w:t>
      </w:r>
      <w:r>
        <w:rPr>
          <w:sz w:val="22"/>
          <w:szCs w:val="22"/>
          <w:rFonts w:ascii="Arial" w:hAnsi="Arial"/>
        </w:rPr>
        <w:fldChar w:fldCharType="end"/>
      </w:r>
      <w:r>
        <w:rPr>
          <w:rFonts w:ascii="Arial" w:hAnsi="Arial"/>
          <w:sz w:val="22"/>
          <w:szCs w:val="22"/>
        </w:rPr>
        <w:t>/2024</w:t>
      </w:r>
    </w:p>
    <w:p>
      <w:pPr>
        <w:pStyle w:val="Normal"/>
        <w:spacing w:lineRule="auto" w:line="360"/>
        <w:jc w:val="center"/>
        <w:rPr>
          <w:rFonts w:ascii="Arial" w:hAnsi="Arial"/>
          <w:color w:val="000000"/>
          <w:sz w:val="22"/>
          <w:szCs w:val="22"/>
        </w:rPr>
      </w:pPr>
      <w:r>
        <w:rPr>
          <w:rFonts w:ascii="Arial" w:hAnsi="Arial"/>
          <w:color w:val="000000"/>
          <w:sz w:val="22"/>
          <w:szCs w:val="22"/>
        </w:rPr>
      </w:r>
    </w:p>
    <w:p>
      <w:pPr>
        <w:pStyle w:val="Default"/>
        <w:spacing w:lineRule="auto" w:line="360"/>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tbl>
      <w:tblPr>
        <w:tblW w:w="10097" w:type="dxa"/>
        <w:jc w:val="left"/>
        <w:tblInd w:w="62" w:type="dxa"/>
        <w:tblLayout w:type="fixed"/>
        <w:tblCellMar>
          <w:top w:w="55" w:type="dxa"/>
          <w:left w:w="55" w:type="dxa"/>
          <w:bottom w:w="55" w:type="dxa"/>
          <w:right w:w="55" w:type="dxa"/>
        </w:tblCellMar>
      </w:tblPr>
      <w:tblGrid>
        <w:gridCol w:w="4534"/>
        <w:gridCol w:w="5562"/>
      </w:tblGrid>
      <w:tr>
        <w:trPr/>
        <w:tc>
          <w:tcPr>
            <w:tcW w:w="1009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Razão Social:</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CNPJ:</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Endereço:</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Bairro: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Cidade:</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CEP:</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E-mail:</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Telefone:</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Fax:</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Banco: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Conta Bancária: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N. da Agência: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Representante para assinatura do Contrato:</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rFonts w:ascii="Arial" w:hAnsi="Arial"/>
                <w:sz w:val="22"/>
                <w:szCs w:val="22"/>
              </w:rPr>
            </w:pPr>
            <w:r>
              <w:rPr>
                <w:rFonts w:cs="Arial" w:ascii="Arial" w:hAnsi="Arial"/>
                <w:color w:val="000000"/>
                <w:sz w:val="22"/>
                <w:szCs w:val="22"/>
              </w:rPr>
              <w:t>CPF do Representante:</w:t>
            </w:r>
          </w:p>
        </w:tc>
      </w:tr>
    </w:tbl>
    <w:p>
      <w:pPr>
        <w:pStyle w:val="Normal"/>
        <w:widowControl w:val="false"/>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009</w:t>
      </w:r>
      <w:r>
        <w:rPr>
          <w:sz w:val="22"/>
          <w:b/>
          <w:szCs w:val="22"/>
          <w:rFonts w:cs="Arial" w:ascii="Arial" w:hAnsi="Arial"/>
          <w:color w:val="000000"/>
        </w:rPr>
        <w:fldChar w:fldCharType="end"/>
      </w:r>
      <w:r>
        <w:rPr>
          <w:rFonts w:cs="Arial" w:ascii="Arial" w:hAnsi="Arial"/>
          <w:b/>
          <w:color w:val="000000"/>
          <w:sz w:val="22"/>
          <w:szCs w:val="22"/>
        </w:rPr>
        <w:t>/2024</w:t>
      </w:r>
      <w:r>
        <w:rPr>
          <w:rFonts w:cs="Arial" w:ascii="Arial" w:hAnsi="Arial"/>
          <w:color w:val="000000"/>
          <w:sz w:val="22"/>
          <w:szCs w:val="22"/>
        </w:rPr>
        <w:t>, apresentando a seguinte proposta financeira, para fornecimento do seguinte serviço / produto:</w:t>
      </w:r>
    </w:p>
    <w:p>
      <w:pPr>
        <w:pStyle w:val="Normal"/>
        <w:spacing w:lineRule="auto" w:line="360" w:before="0" w:after="0"/>
        <w:jc w:val="both"/>
        <w:rPr>
          <w:rFonts w:ascii="Arial" w:hAnsi="Arial" w:cs="Arial"/>
          <w:sz w:val="22"/>
          <w:szCs w:val="22"/>
        </w:rPr>
      </w:pPr>
      <w:r>
        <w:rPr>
          <w:rFonts w:cs="Arial" w:ascii="Arial" w:hAnsi="Arial"/>
          <w:sz w:val="22"/>
          <w:szCs w:val="22"/>
        </w:rPr>
      </w:r>
    </w:p>
    <w:tbl>
      <w:tblPr>
        <w:tblW w:w="5000" w:type="pct"/>
        <w:jc w:val="left"/>
        <w:tblInd w:w="55" w:type="dxa"/>
        <w:tblLayout w:type="fixed"/>
        <w:tblCellMar>
          <w:top w:w="55" w:type="dxa"/>
          <w:left w:w="55" w:type="dxa"/>
          <w:bottom w:w="55" w:type="dxa"/>
          <w:right w:w="55" w:type="dxa"/>
        </w:tblCellMar>
      </w:tblPr>
      <w:tblGrid>
        <w:gridCol w:w="573"/>
        <w:gridCol w:w="900"/>
        <w:gridCol w:w="5550"/>
        <w:gridCol w:w="913"/>
        <w:gridCol w:w="682"/>
        <w:gridCol w:w="900"/>
        <w:gridCol w:w="858"/>
      </w:tblGrid>
      <w:tr>
        <w:trPr/>
        <w:tc>
          <w:tcPr>
            <w:tcW w:w="573"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Item</w:t>
            </w:r>
          </w:p>
        </w:tc>
        <w:tc>
          <w:tcPr>
            <w:tcW w:w="900"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Produto - Código</w:t>
            </w:r>
          </w:p>
        </w:tc>
        <w:tc>
          <w:tcPr>
            <w:tcW w:w="5550"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Produto - Descrição</w:t>
            </w:r>
          </w:p>
        </w:tc>
        <w:tc>
          <w:tcPr>
            <w:tcW w:w="913"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Unidade</w:t>
            </w:r>
          </w:p>
        </w:tc>
        <w:tc>
          <w:tcPr>
            <w:tcW w:w="682"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Quant</w:t>
            </w:r>
          </w:p>
        </w:tc>
        <w:tc>
          <w:tcPr>
            <w:tcW w:w="900" w:type="dxa"/>
            <w:tcBorders>
              <w:top w:val="single" w:sz="4" w:space="0" w:color="000000"/>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Valor Unitário</w:t>
            </w:r>
          </w:p>
        </w:tc>
        <w:tc>
          <w:tcPr>
            <w:tcW w:w="858"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b/>
                <w:color w:val="000000"/>
                <w:sz w:val="18"/>
                <w:szCs w:val="18"/>
              </w:rPr>
              <w:t>Valo</w:t>
            </w:r>
            <w:r>
              <w:rPr>
                <w:rFonts w:cs="Arial" w:ascii="Arial" w:hAnsi="Arial"/>
                <w:b/>
                <w:color w:val="000000"/>
                <w:sz w:val="18"/>
                <w:szCs w:val="18"/>
              </w:rPr>
              <w:t>r</w:t>
            </w:r>
            <w:r>
              <w:rPr>
                <w:rFonts w:cs="Arial" w:ascii="Arial" w:hAnsi="Arial"/>
                <w:b/>
                <w:color w:val="000000"/>
                <w:sz w:val="18"/>
                <w:szCs w:val="18"/>
              </w:rPr>
              <w:t xml:space="preserve"> Total</w:t>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757.0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757 - PEÇA MECÂNICA - VEÍCULO AUTOMOTIVO, TIPO: KIT DUAS UNIDADES ELEMENTO FILTRO COMBUSTÍVEL, APLICAÇÃO: MERCEDES BENZ MODELO: 1113 1978, REFERÊNCIA: HDF501A / FCD0710/1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MODELO: 1113 1978/ BRITADOR MÓVEL MOTOR 352, REFERÊNCIA: EFL025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166993.0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MERCEDES BENZ MODELO: 1113 1978, REFERÊNCIA: EFA 421/ WAP 187/S</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4832.0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MERCEDES BENZ MODELO: 1113 1978, REFERÊNCIA: WAP 163/ EFA 405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9319.0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9319 - PEÇA MECÂNICA - VEÍCULO AUTOMOTIVO, TIPO: FILTRO COMBUSTIVEL, APLICAÇÃO: FORD CARGO MODELO: 2428 E 2006, REFERÊNCIA: FF5421/ FCD2098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170469.0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FORD CARGO MODELO: 1723 E ANO: 2017, REFERÊNCIA: FCD 3092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FORD CARGO MODELOS: 2428E 2006/ 1722E 2010, MICROONIBUS VW 8-160, 2017, REFERÊNCIA: FCD30123/ R120LJ</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FORD CARGO MODELOS: 2428E 2006/ 1722E 2010. IVECO TECTOR 170E25 2010. FOTON C 10-16 2014, MICROONIBUS VW 8-160, 2017, REFERÊNCIA: P550520/ BT 7237/ WO612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781.0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FORD CARGO MODELOS: 2428E 2006/ 1722E 2010 / 1723 2017. MERCEDES ATRON 2729 2013. VW CONSTELATION 31330 2018, REFERÊNCIA: EFL964/ WAP 103/S.</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770.0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FORD CARGO MODELOS: 2428E 2006/ 1722E 2010 / 1723 2017. MERCEDES ATRON 2729 2013. VW CONSTELATION 31330 2018, REFERÊNCIA: EFA 964/ WAP 103.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622.0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DESUMIDIFICADOR DO SISTEMA DE FREIO APLICAÇÃO: FORD CARGO MODELOS: 2428E 2006/ 1722E 2010/ 1723 2017 IVECO TECTOR 170E25 2010, REFERÊNCIA: BA5374/ DAF 100.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721.0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IVECO TECTOR MODELO: 170E25, REFERÊNCIA: MAHLE KC 125 / H705WK.</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594.0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IVECO MODELO: TECTOR 170E25 2010, REFERÊNCIA: CF1550.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596.0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IVECO MODELO: TECTOR 170E25 2010, REFERÊNCIA: C27902.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10646.0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CAMINHÃO FOTON MODELO: C10-16 2014, MICROONIBUS VW 8-160, 2017, REFERÊNCIA: FCD-4000.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10645.0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CAM. FOTON C 10-16 2014, REFERÊNCIA: K223019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10373.0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FOTON 1039 3110B, ANO: 2015, REFERÊNCIA: FOBR91S / WOP 1002.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10822.0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FOTON 1039 3110B, ANO: 2015, REFERÊNCIA: EFS104 / FCD0732.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10821.0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FOTON 1039 3110B 2015, REFERÊNCIA: K223019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9257.0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9257 - PEÇA/COMPONENTE RETROESCAVADEIRA, TIPO: FILTRO COMBUSTIVEL, APLICAÇÃO: RETROESCAVADEIRA RANDON RK406B/ RD406 ADVANCED. CAMINHÃO AGRALE 8500 2008, REFERÊNCIA: ECO796/ FDC0796.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9837.0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9837 - PEÇA/COMPONENTE RETROESCAVADEIRA, TIPO: FILTRO COMBUSTIVEL, APLICAÇÃO: RETROESCAVADEIRA RANDON RK406B/ RD 406 ADVANCED, REFERÊNCIA: R26A50.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9615.0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9615 - PEÇA/COMPONENTE RETROESCAVADEIRA, TIPO: FILTRO LUBRIFICANTE MOTOR, APLICAÇÃO: RETROESCAVADEIRA RANDON RK406B/ RD406 ADVANCED. CAMINHÃO AGRALE 8500 2008., REFERÊNCIA: WO480 / EFL521.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9332.0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RANDON RK406B ASPIRADA, REFERÊNCIA: EFA 948/ WAP 200/S</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9529.0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RANDON RK406B ASPIRADA, REFERÊNCIA: EFA 949/ WR 200/4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9072.0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9072 - PEÇA/COMPONENTE RETROESCAVADEIRA, TIPO: ELEMENTO FILTRO HIDRÁULICO, APLICAÇÃO: RETROESCAVADEIRA RANDON RK406B, REFERÊNCIA: TURBO TH 1101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9316.0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TRANSMISSÃO, APLICAÇÃO: RETROESCAVADEIRA RANDON RK406B/ RD406 ADVANCED/ CASE 580N, REFERÊNCIA: BT 8439 - MPG</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175872.0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CONDICIONADO, APLICAÇÃO: RETROESCAVADEIRA RANDON RK406B/RD406B, REFERÊNCIA: SK 1104.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9530.0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AR INTERNO, APLICAÇÃO: RETROESCAVADEIRA RANDON RK406B/ RD406 ADVANCED TURBINADA, RFERÊNCIA: EFA 942.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9018.0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AR EXTERNO, APLICAÇÃO: RETROESCAVADEIRA RANDON RK406B/ RD406 ADVANCED TURBINADA, REFERÊNCIA: EFA 945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10399.0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TANQUE HIDRAULICO, APLICAÇÃO: RETROESCAVADEIRA RANDON RD406 ADVANCED. ROÇADEIRA ARTICULADA LAVRALE, REFERÊNCIA: UNIFILTER UH125VUS305.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9620.0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R90-30M.</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9023.0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HDF500A/ H17WK06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8718.0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140 LC 7/ MOTONIVELADORA KOMAT'SU GD555, REFERÊNCIA: EFL721 / WO 680.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9173.0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DE AR INTERNO, APLICAÇÃO: ESCAVADEIRA HIDRAULICA HYUNDAI 140 LC 7, REFERÊNCIA: TR 62453.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9174.0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DE AR EXTERNO. APLICAÇÃO: ESCAVADEIRA HIDRAULICA HYUNDAI 140 LC 7, REFERÊNCIA: TURBO TR 62452 PU</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175701.0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CX180C CASE, REFERÊNCIA: P502422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CX180C CASE, REFERÊNCIA: EFS103 / FDC2056.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CX180C CASE, REFERÊNCIA: MMH 80900 / B7416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CX180C CASE, REFERÊNCIA: P573481.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CX180C CASE, REFERÊNCIA: TURBO TR 780522.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175887.0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CX180C CASE, REFERÊNCIA: TURBO TR 780523.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9816.0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COMBUSTÍVEL APLICAÇÃO: CARREGADEIRA HYUNDAI HL730-7, REFERÊNCIA: BF1356.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9684.0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COMBUSTÍVEL RACOR, APLICAÇÃO: CARREGADEIRA HYUNDAI HL730-7, REFERÊNCIA: R45-10M.</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9685.0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LUBRIFICANTE MOTOR APLICAÇÃO: CARREGADEIRA HYUNDAI HL730-7, REFERÊNCIA: BT 427 / EFL723.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6322.0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AR INTERNO, APLICAÇÃO: CARREGADEIRA HYUNDAI HL730-7, REFERÊNCIA: TURBO TR 62453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6939.0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DE AR EXTERNO. APLICAÇÃO: CARREGADEIRA HYUNDAI HL730-7, REFERÊNCIA: TURBO TR 62452 PU</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8428.0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DO AR CONDICIONADO, EXTERNO, APLICAÇÃO: CARREGADEIRA HYUNDAI HL730-7, REFERÊNCIA: FB 070.010.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9696.0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TANQUE HIDRÁULICO, APLICAÇÃO: CARREGADEIRA HYUNDAI HL730-7, REFERÊNCIA: 31L1-4041-A.</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9697.0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HIDRÁULICO DE LINHA APLICAÇÃO: CARREGADEIRA HYUNDAI HL730-7, REFERÊNCIA: 31L14041A.</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9695.0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CARREGADEIRA, TIPO: FILTRO TRANSMISSÃO, APLICAÇÃO: CARREGADEIRA HYUNDAI HL730-7, REFERÊNCIA: BT9422.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9262.0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KOMAT'SU GD555, REFERÊNCIA: HDF 762/ FCD0769.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9143.0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AR INTERNO, APLICAÇÃO: MOTONIVELADORA KOMAT'SU GD555, REFERÊNCIA: TURBO TR 25491.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9145.0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AR EXTERNO, APLICAÇÃO: MOTONIVELADORA KOMAT'SU GD555, REFERÊNCIA: TURBO TR 25492.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9146.0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HIDRÁULICO, APLICAÇÃO: MOTONIVELADORA KOMAT'SU GD555, REFERÊNCIA: UNIFILTER UH 385 P.</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10279.0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10279 - PEÇA MECÂNICA - VEÍCULO AUTOMOTIVO, TIPO: FILTRO DE COMBUSTÍVEL, APLICAÇÃO: CAMINHÃO AGRALE, MODELO: AGRALE 8500, REFERÊNCIA: EFS102.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6689.0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AR INTERNO, APLICAÇÃO: CAMINHÃO AGRALE, MODELO: AGRALE 8500, REFERÊNCIA: EFA959.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6741.0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CAMINHÃO AGRALE, MODELO: AGRALE 8500, REFERÊNCIA: EFA 941.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175563.0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HYUNDAI HR 2010, REFERÊNCIA: JFC 901.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175562.0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ÓLEO MOTOR, APLICAÇÃO: HYUNDAI HR 2010, REFERÊNCIA: PSL332 / EFL755 / OC1224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175564.0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DE AR, APLICAÇÃO: HYUNDAI HR 2010, REFERÊNCIA: LX3236 / JFA0H13 / CA10564.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166511.0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MERCEDES BENZ, ATRON 2729 K 6X4 2014, REFERÊNCIA: FCD 0768.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169833.0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MERCEDES BENZ, ATRON 2729 K 6X4 2014, REFERÊNCIA: EFS 111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166705.0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ATRON 2729 K 6X4 2014, REFERÊNCIA: REL-802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164614.0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DO AR CONDICIONADO. APLICAÇÃO: MERCEDES BENZ, ATRON 2729 K 6X4 2014, REFERÊNCIA: AKX4014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10421.0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CASE 845B, REFERÊNCIA: H215WK</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10519.0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DE COMBUSTÍVEL RACOR, APLICAÇÃO: MOTONIVELADORA CASE 845B, REFERÊNCIA: HDF422.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8717.0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RETRO ESCAVADEIRA CASE 580N 2018/ MOTONIVELADORA CASE 845B 2017, REFERÊNCIA: B7327.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10574.0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AR INTERNO APLICAÇÃO: MOTONIVELADORA CASE 845B, REFERÊNCIA: TURBO TR 1532.</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10575.0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AR EXTERNO, APLICAÇÃO: MOTONIVELADORA CASE 845B, REFERÊNCIA: TURBO TR 1533.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10505.0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10505 - PEÇA/COMPONENTE MOTONIVELADORA, TIPO: FILTRO AR CONDICIONADO. APLICAÇÃO: MOTONIVELADORA CASE 845B, REFERÊNCIA: UARS157275P/ TACO 2.1PU</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MOTONIVELADORA, TIPO: FILTRO TRANSMISSÃO. APLICAÇÃO: MOTONIVELADORA CASE 845B, REFERÊNCIA: BT 8851-MPG</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10520 - PEÇA/COMPONENTE RETROESCAVADEIRA, TIPO: FILTRO COMBUSTÍVEL. APLICAÇÃO: RETROESCAVADEIRA CASE 580N, REFERÊNCIA: FCD2295/ FS19927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10673.0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10673 - PEÇA/COMPONENTE RETROESCAVADEIRA, TIPO: FILTRO COMBUSTÍVEL RACOR. APLICAÇÃO: RETROESCAVADEIRA CASE 580N, REFERÊNCIA: TURBO TBC877I/ ORIGINAL OFC1586 ST</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10688.0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CASE 580N, REFERÊNCIA: EFA 984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10677.0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CASE 580N, REFERÊNCIA: TURBO TR 5590.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175929.0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RETROESCAVADEIRA, TIPO: FILTRO HIDRAULICO, APLICAÇÃO: RETROESCAVADEIRA CASE 580N, REFERÊNCIA: P569206.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220, REFERÊNCIA: 11LG-70010.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HYUNDAI 220, REFERÊNCIA: 11QA-71040 BR-11LB-20310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220, REFERÊNCIA: 11N8-70110/LF3970.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HYUNDAI 220, REFERÊNCIA: 11Q6-28030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HYUNDAI 220, REFERÊNCIA: 11Q6-28020.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HYUNDAI 220, REFERÊNCIA: 31K6-01320.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175937.0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PRE FILTRO COMBUSTÍVEL, APLICAÇÃO: ESCAVADEIRA HIDRAULICA HYUNDAI 220, REFERÊNCIA: 11QG-70120.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3</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HYUNDAI 220, REFERÊNCIA: 31Q6-20340.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175939.0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XCMG 150BR, REFERÊNCIA: 800154563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XCMG 150BR, REFERÊNCIA: 800514448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XCMG 150BR, REFERÊNCIA: 800159597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XCMG 150BR, REFERÊNCIA: 800104248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XCMG 150BR, REFERÊNCIA: 800104249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XCMG 150BR, REFERÊNCIA: 803408563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HIDRAULICO RETORNO. APLICAÇÃO: ESCAVADEIRA HIDRAULICA XCMG 150BR, REFERÊNCIA: 803408564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175946.0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XCMG 150BR, REFERÊNCIA: 80385529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10485.0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MASSEY FERGUSSON 4275, REFERÊNCIA: EFL 028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10396.0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MASSEY FERGUSSON 4275, REFERÊNCIA: TURBO TR 23619.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10523.0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HIDRÁULICO. APLICAÇÃO: TRATOR MASSEY FERGUSSON 4275, REFERÊNCIA: TURBO TR 23619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10765.0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COMBUSTÍVEL, APLICAÇÃO: TRATOR JOHN DEERE. CARACTERÍSTICAS ADICIONAIS: LINHA/ SÉRIE 5000/6000. REFERÊNCIA: P551424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10766.0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COMBUSTIVEL RACOR. APLICAÇÃO: TRATOR JOHN DEERE. CARACTERÍSTICAS ADICIONAIS: LINHA/ SÉRIE 5000/6000, REFERÊNCIA: P 551424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10764.0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JOHN DEERE. CARACTERÍSTICAS ADICIONAIS: LINHA/ SÉRIE 5000/6000. REFERÊNCIA: LF 3703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175955.0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JOHN DEERE. CARACTERÍSTICAS ADICIONAIS: LINHA/ SÉRIE 5000/6000. REFERÊNCIA: P606119.</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6910.0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COMBUSTÍVEL. APLICAÇÃO: VW GOL/SAVEIRO/SANTANA, REFERÊNCIA: FCL 1630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6935.0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VW GOL/SAVEIRO/SANTANA, REFERÊNCIA: EFL 563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7392.0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DE AR. APLICAÇÃO: VW GOL/SAVEIRO/SANTANA, REFERÊNCIA: EFA 965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10348.0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RENAULT SANDERO, REFERÊNCIA: WO 205</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104.0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10650.0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DE AR. APLICAÇÃO: RENAULT SANDERO, REFERÊNCIA: ARL5144</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7235.0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CELTA/PRISMA, REFERÊNCIA: EFL 747</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106.0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167002.0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CRUZE, REFERÊNCIA: WOE-313</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107.0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10514.0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DO ARAPLICAÇÃO: CHEVROLET CRUZE, REFERÊNCIA: C26106.</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108.0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175974.0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KIA BONGO 2020, REFERÊNCIA: 319224H900N</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109.0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175975.0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CAMINHÃO KIA BONGO 2020, REFERÊNCIA: 263304A001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9</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110.0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175976.0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PEÇA/COMPONENTE VEÍCULO, TIPO: FILTRO AR. APLICAÇÃO: CAMINHÃO KIA BONGO 2020, REFERÊNCIA: 252124A750</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170616.0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VOLKSWAGEN 31.330 CRC 6X4, 2017, REFERÊNCIA: WO 711</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112.0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166991.0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VOLKSWAGEN 31.330 CRC 6X4, 2017, REFERÊNCIA: FCD 2238.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113.0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170268.0</w:t>
            </w:r>
          </w:p>
        </w:tc>
        <w:tc>
          <w:tcPr>
            <w:tcW w:w="555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VOLKSWAGEN 31.330 CRC 6X4, 2017, REFERÊNCIA: FCD 0958.</w:t>
            </w:r>
          </w:p>
        </w:tc>
        <w:tc>
          <w:tcPr>
            <w:tcW w:w="913"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9518" w:type="dxa"/>
            <w:gridSpan w:val="6"/>
            <w:tcBorders>
              <w:left w:val="single" w:sz="4" w:space="0" w:color="000000"/>
              <w:bottom w:val="single" w:sz="4" w:space="0" w:color="000000"/>
            </w:tcBorders>
            <w:vAlign w:val="center"/>
          </w:tcPr>
          <w:p>
            <w:pPr>
              <w:pStyle w:val="Contedodatabela"/>
              <w:widowControl w:val="false"/>
              <w:spacing w:lineRule="auto" w:line="360"/>
              <w:jc w:val="center"/>
              <w:rPr>
                <w:rFonts w:ascii="Arial" w:hAnsi="Arial" w:cs="Arial"/>
                <w:sz w:val="18"/>
                <w:szCs w:val="18"/>
              </w:rPr>
            </w:pPr>
            <w:r>
              <w:rPr>
                <w:rFonts w:cs="Arial" w:ascii="Arial" w:hAnsi="Arial"/>
                <w:sz w:val="18"/>
                <w:szCs w:val="18"/>
              </w:rPr>
            </w:r>
          </w:p>
        </w:tc>
        <w:tc>
          <w:tcPr>
            <w:tcW w:w="858" w:type="dxa"/>
            <w:tcBorders>
              <w:left w:val="single" w:sz="4" w:space="0" w:color="000000"/>
              <w:bottom w:val="single" w:sz="4" w:space="0" w:color="000000"/>
              <w:right w:val="single" w:sz="4" w:space="0" w:color="000000"/>
            </w:tcBorders>
            <w:vAlign w:val="center"/>
          </w:tcPr>
          <w:p>
            <w:pPr>
              <w:pStyle w:val="Contedodatabela"/>
              <w:widowControl w:val="false"/>
              <w:spacing w:lineRule="auto" w:line="360"/>
              <w:jc w:val="center"/>
              <w:rPr>
                <w:rFonts w:ascii="Arial" w:hAnsi="Arial" w:cs="Arial"/>
                <w:sz w:val="18"/>
                <w:szCs w:val="18"/>
              </w:rPr>
            </w:pPr>
            <w:r>
              <w:rPr>
                <w:rFonts w:cs="Arial" w:ascii="Arial" w:hAnsi="Arial"/>
                <w:sz w:val="18"/>
                <w:szCs w:val="18"/>
              </w:rPr>
            </w:r>
          </w:p>
        </w:tc>
      </w:tr>
    </w:tbl>
    <w:p>
      <w:pPr>
        <w:pStyle w:val="Normal"/>
        <w:spacing w:lineRule="auto" w:line="360" w:before="0" w:after="0"/>
        <w:jc w:val="both"/>
        <w:rPr>
          <w:rFonts w:ascii="Arial" w:hAnsi="Arial" w:cs="Arial"/>
          <w:sz w:val="22"/>
          <w:szCs w:val="22"/>
        </w:rPr>
      </w:pPr>
      <w:r>
        <w:rPr>
          <w:rFonts w:cs="Arial" w:ascii="Arial" w:hAnsi="Arial"/>
          <w:sz w:val="22"/>
          <w:szCs w:val="22"/>
        </w:rPr>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cs="Times New Roman"/>
          <w:b w:val="false"/>
          <w:bCs w:val="false"/>
          <w:sz w:val="22"/>
          <w:szCs w:val="22"/>
          <w:shd w:fill="FFFFFF" w:val="clear"/>
        </w:rPr>
      </w:pPr>
      <w:r>
        <w:rPr>
          <w:rFonts w:cs="Times New Roman" w:ascii="Arial" w:hAnsi="Arial"/>
          <w:b w:val="false"/>
          <w:bCs w:val="false"/>
          <w:sz w:val="22"/>
          <w:szCs w:val="22"/>
          <w:shd w:fill="FFFFFF" w:val="clear"/>
        </w:rPr>
      </w:r>
    </w:p>
    <w:p>
      <w:pPr>
        <w:pStyle w:val="Normal"/>
        <w:tabs>
          <w:tab w:val="clear" w:pos="408"/>
          <w:tab w:val="left" w:pos="1134" w:leader="none"/>
        </w:tabs>
        <w:spacing w:lineRule="auto" w:line="360"/>
        <w:jc w:val="both"/>
        <w:rPr>
          <w:rFonts w:ascii="Arial" w:hAnsi="Arial"/>
          <w:sz w:val="22"/>
          <w:szCs w:val="22"/>
        </w:rPr>
      </w:pPr>
      <w:r>
        <w:rPr>
          <w:rFonts w:cs="Arial" w:ascii="Arial" w:hAnsi="Arial"/>
          <w:color w:val="000000"/>
          <w:sz w:val="22"/>
          <w:szCs w:val="22"/>
        </w:rPr>
        <w:t>Validade da Proposta: 60 dias</w:t>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r>
        <w:br w:type="page"/>
      </w:r>
    </w:p>
    <w:p>
      <w:pPr>
        <w:pStyle w:val="Normal"/>
        <w:numPr>
          <w:ilvl w:val="0"/>
          <w:numId w:val="1"/>
        </w:numPr>
        <w:spacing w:lineRule="auto" w:line="360"/>
        <w:jc w:val="center"/>
        <w:rPr>
          <w:rFonts w:ascii="Arial" w:hAnsi="Arial"/>
          <w:sz w:val="22"/>
          <w:szCs w:val="22"/>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1"/>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1"/>
        </w:numPr>
        <w:spacing w:lineRule="auto" w:line="360"/>
        <w:ind w:left="0" w:right="-15" w:hanging="0"/>
        <w:jc w:val="both"/>
        <w:rPr>
          <w:rFonts w:ascii="Arial" w:hAnsi="Arial"/>
          <w:sz w:val="22"/>
          <w:szCs w:val="22"/>
        </w:rPr>
      </w:pPr>
      <w:r>
        <w:rPr>
          <w:rFonts w:cs="Arial" w:ascii="Arial" w:hAnsi="Arial"/>
          <w:color w:val="000000"/>
          <w:sz w:val="22"/>
          <w:szCs w:val="22"/>
          <w:shd w:fill="auto" w:val="clear"/>
        </w:rPr>
        <w:t>MUNICÍPIO DE VERA CRUZ / RS</w:t>
      </w:r>
    </w:p>
    <w:p>
      <w:pPr>
        <w:pStyle w:val="Normal"/>
        <w:widowControl w:val="false"/>
        <w:numPr>
          <w:ilvl w:val="0"/>
          <w:numId w:val="1"/>
        </w:numPr>
        <w:spacing w:lineRule="auto" w:line="360"/>
        <w:ind w:left="0" w:right="-30" w:hanging="0"/>
        <w:jc w:val="both"/>
        <w:rPr>
          <w:rFonts w:ascii="Arial" w:hAnsi="Arial"/>
          <w:sz w:val="22"/>
          <w:szCs w:val="22"/>
        </w:rPr>
      </w:pPr>
      <w:r>
        <w:rPr>
          <w:rFonts w:cs="Arial" w:ascii="Arial" w:hAnsi="Arial"/>
          <w:color w:val="000000"/>
          <w:sz w:val="22"/>
          <w:szCs w:val="22"/>
          <w:shd w:fill="auto" w:val="clear"/>
        </w:rPr>
        <w:t xml:space="preserve">ATA DE REGISTRO DE PREÇOS </w:t>
      </w:r>
    </w:p>
    <w:p>
      <w:pPr>
        <w:pStyle w:val="Normal"/>
        <w:widowControl w:val="false"/>
        <w:numPr>
          <w:ilvl w:val="0"/>
          <w:numId w:val="1"/>
        </w:numPr>
        <w:spacing w:lineRule="auto" w:line="360"/>
        <w:ind w:left="0" w:right="-30" w:hanging="0"/>
        <w:jc w:val="both"/>
        <w:rPr>
          <w:rFonts w:ascii="Arial" w:hAnsi="Arial"/>
          <w:sz w:val="22"/>
          <w:szCs w:val="22"/>
        </w:rPr>
      </w:pPr>
      <w:r>
        <w:rPr>
          <w:rFonts w:cs="Arial" w:ascii="Arial" w:hAnsi="Arial"/>
          <w:bCs/>
          <w:color w:val="000000"/>
          <w:sz w:val="22"/>
          <w:szCs w:val="22"/>
          <w:shd w:fill="auto" w:val="clear"/>
        </w:rPr>
        <w:t>N.º .........</w:t>
      </w:r>
    </w:p>
    <w:p>
      <w:pPr>
        <w:pStyle w:val="Normal"/>
        <w:widowControl w:val="false"/>
        <w:numPr>
          <w:ilvl w:val="0"/>
          <w:numId w:val="1"/>
        </w:numPr>
        <w:spacing w:lineRule="auto" w:line="360"/>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tabs>
          <w:tab w:val="clear" w:pos="408"/>
          <w:tab w:val="left" w:pos="9475" w:leader="none"/>
        </w:tabs>
        <w:spacing w:lineRule="auto" w:line="360"/>
        <w:jc w:val="both"/>
        <w:rPr>
          <w:rFonts w:ascii="Arial" w:hAnsi="Arial"/>
          <w:sz w:val="22"/>
          <w:szCs w:val="22"/>
        </w:rPr>
      </w:pPr>
      <w:r>
        <w:rPr>
          <w:rFonts w:cs="Arial" w:ascii="Arial" w:hAnsi="Arial"/>
          <w:color w:val="000000"/>
          <w:sz w:val="22"/>
          <w:szCs w:val="22"/>
          <w:shd w:fill="auto" w:val="clear"/>
        </w:rPr>
        <w:t xml:space="preserve">Aos XXXXX dias do mês de XXXXXX de dois mil e vinte e quatro,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009</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/2024</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1"/>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1"/>
        </w:numPr>
        <w:spacing w:lineRule="auto" w:line="360" w:before="0" w:after="0"/>
        <w:ind w:left="0" w:right="0" w:hanging="0"/>
        <w:jc w:val="both"/>
        <w:rPr>
          <w:rFonts w:ascii="Arial" w:hAnsi="Arial"/>
          <w:sz w:val="22"/>
          <w:szCs w:val="22"/>
        </w:rPr>
      </w:pPr>
      <w:r>
        <w:rPr>
          <w:rFonts w:cs="Arial" w:ascii="Arial" w:hAnsi="Arial"/>
          <w:color w:val="000000"/>
          <w:sz w:val="22"/>
          <w:szCs w:val="22"/>
          <w:shd w:fill="auto" w:val="clear"/>
        </w:rPr>
        <w:t>1. DO OBJETO</w:t>
      </w:r>
    </w:p>
    <w:p>
      <w:pPr>
        <w:pStyle w:val="Normal"/>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ObjPregão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aquisição de filtros lubrificantes para frota de veículos e máquinas da Prefeitura Municipal de Vera Cruz</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87</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/2024,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009</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/2024, para Registro de Preços.</w:t>
      </w:r>
    </w:p>
    <w:p>
      <w:pPr>
        <w:pStyle w:val="Nivel2"/>
        <w:numPr>
          <w:ilvl w:val="0"/>
          <w:numId w:val="1"/>
        </w:numPr>
        <w:spacing w:lineRule="auto" w:line="360" w:before="0" w:after="0"/>
        <w:ind w:left="1283" w:right="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1"/>
        </w:numPr>
        <w:spacing w:lineRule="auto" w:line="360" w:before="0" w:after="0"/>
        <w:ind w:left="0" w:right="0" w:hanging="0"/>
        <w:jc w:val="both"/>
        <w:rPr>
          <w:rFonts w:ascii="Arial" w:hAnsi="Arial"/>
          <w:sz w:val="22"/>
          <w:szCs w:val="22"/>
        </w:rPr>
      </w:pPr>
      <w:r>
        <w:rPr>
          <w:rFonts w:cs="Arial" w:ascii="Arial" w:hAnsi="Arial"/>
          <w:color w:val="000000"/>
          <w:sz w:val="22"/>
          <w:szCs w:val="22"/>
          <w:shd w:fill="auto" w:val="clear"/>
        </w:rPr>
        <w:t>2. DOS PREÇOS, ESPECIFICAÇÕES E QUANTITATIVOS</w:t>
      </w:r>
    </w:p>
    <w:p>
      <w:pPr>
        <w:pStyle w:val="Nivel2"/>
        <w:numPr>
          <w:ilvl w:val="0"/>
          <w:numId w:val="1"/>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tbl>
      <w:tblPr>
        <w:tblW w:w="5000" w:type="pct"/>
        <w:jc w:val="left"/>
        <w:tblInd w:w="55" w:type="dxa"/>
        <w:tblLayout w:type="fixed"/>
        <w:tblCellMar>
          <w:top w:w="55" w:type="dxa"/>
          <w:left w:w="55" w:type="dxa"/>
          <w:bottom w:w="55" w:type="dxa"/>
          <w:right w:w="55" w:type="dxa"/>
        </w:tblCellMar>
      </w:tblPr>
      <w:tblGrid>
        <w:gridCol w:w="573"/>
        <w:gridCol w:w="900"/>
        <w:gridCol w:w="5550"/>
        <w:gridCol w:w="913"/>
        <w:gridCol w:w="682"/>
        <w:gridCol w:w="900"/>
        <w:gridCol w:w="859"/>
      </w:tblGrid>
      <w:tr>
        <w:trPr/>
        <w:tc>
          <w:tcPr>
            <w:tcW w:w="573"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Item</w:t>
            </w:r>
          </w:p>
        </w:tc>
        <w:tc>
          <w:tcPr>
            <w:tcW w:w="900"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Produto - Código</w:t>
            </w:r>
          </w:p>
        </w:tc>
        <w:tc>
          <w:tcPr>
            <w:tcW w:w="5550"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Produto - Descrição</w:t>
            </w:r>
          </w:p>
        </w:tc>
        <w:tc>
          <w:tcPr>
            <w:tcW w:w="913"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Unidade</w:t>
            </w:r>
          </w:p>
        </w:tc>
        <w:tc>
          <w:tcPr>
            <w:tcW w:w="682"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Quant</w:t>
            </w:r>
          </w:p>
        </w:tc>
        <w:tc>
          <w:tcPr>
            <w:tcW w:w="900" w:type="dxa"/>
            <w:tcBorders>
              <w:top w:val="single" w:sz="4" w:space="0" w:color="000000"/>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Valor Unitário</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b/>
                <w:color w:val="000000"/>
                <w:sz w:val="18"/>
                <w:szCs w:val="18"/>
              </w:rPr>
              <w:t>Valo</w:t>
            </w:r>
            <w:r>
              <w:rPr>
                <w:rFonts w:cs="Arial" w:ascii="Arial" w:hAnsi="Arial"/>
                <w:b/>
                <w:color w:val="000000"/>
                <w:sz w:val="18"/>
                <w:szCs w:val="18"/>
              </w:rPr>
              <w:t>r</w:t>
            </w:r>
            <w:r>
              <w:rPr>
                <w:rFonts w:cs="Arial" w:ascii="Arial" w:hAnsi="Arial"/>
                <w:b/>
                <w:color w:val="000000"/>
                <w:sz w:val="18"/>
                <w:szCs w:val="18"/>
              </w:rPr>
              <w:t xml:space="preserve"> Total</w:t>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757.0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757 - PEÇA MECÂNICA - VEÍCULO AUTOMOTIVO, TIPO: KIT DUAS UNIDADES ELEMENTO FILTRO COMBUSTÍVEL, APLICAÇÃO: MERCEDES BENZ MODELO: 1113 1978, REFERÊNCIA: HDF501A / FCD0710/1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MODELO: 1113 1978/ BRITADOR MÓVEL MOTOR 352, REFERÊNCIA: EFL025</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166993.0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MERCEDES BENZ MODELO: 1113 1978, REFERÊNCIA: EFA 421/ WAP 187/S</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4832.0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MERCEDES BENZ MODELO: 1113 1978, REFERÊNCIA: WAP 163/ EFA 405</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9319.0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9319 - PEÇA MECÂNICA - VEÍCULO AUTOMOTIVO, TIPO: FILTRO COMBUSTIVEL, APLICAÇÃO: FORD CARGO MODELO: 2428 E 2006, REFERÊNCIA: FF5421/ FCD2098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170469.0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FORD CARGO MODELO: 1723 E ANO: 2017, REFERÊNCIA: FCD 3092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FORD CARGO MODELOS: 2428E 2006/ 1722E 2010, MICROONIBUS VW 8-160, 2017, REFERÊNCIA: FCD30123/ R120LJ</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FORD CARGO MODELOS: 2428E 2006/ 1722E 2010. IVECO TECTOR 170E25 2010. FOTON C 10-16 2014, MICROONIBUS VW 8-160, 2017, REFERÊNCIA: P550520/ BT 7237/ WO612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781.0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FORD CARGO MODELOS: 2428E 2006/ 1722E 2010 / 1723 2017. MERCEDES ATRON 2729 2013. VW CONSTELATION 31330 2018, REFERÊNCIA: EFL964/ WAP 103/S.</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770.0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FORD CARGO MODELOS: 2428E 2006/ 1722E 2010 / 1723 2017. MERCEDES ATRON 2729 2013. VW CONSTELATION 31330 2018, REFERÊNCIA: EFA 964/ WAP 103.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622.0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DESUMIDIFICADOR DO SISTEMA DE FREIO APLICAÇÃO: FORD CARGO MODELOS: 2428E 2006/ 1722E 2010/ 1723 2017 IVECO TECTOR 170E25 2010, REFERÊNCIA: BA5374/ DAF 100.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721.0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COMBUSTIVEL, APLICAÇÃO: IVECO TECTOR MODELO: 170E25, REFERÊNCIA: MAHLE KC 125 / H705WK.</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594.0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INTERNO APLICAÇÃO: IVECO MODELO: TECTOR 170E25 2010, REFERÊNCIA: CF1550.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596.0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IVECO MODELO: TECTOR 170E25 2010, REFERÊNCIA: C27902.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10646.0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CAMINHÃO FOTON MODELO: C10-16 2014, MICROONIBUS VW 8-160, 2017, REFERÊNCIA: FCD-4000.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10645.0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DE AR EXTERNO, APLICAÇÃO: CAM. FOTON C 10-16 2014, REFERÊNCIA: K223019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10373.0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FOTON 1039 3110B, ANO: 2015, REFERÊNCIA: FOBR91S / WOP 1002.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10822.0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COMBUSTIVEL, APLICAÇÃO: FOTON 1039 3110B, ANO: 2015, REFERÊNCIA: EFS104 / FCD0732.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10821.0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FOTON 1039 3110B 2015, REFERÊNCIA: K223019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9257.0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9257 - PEÇA/COMPONENTE RETROESCAVADEIRA, TIPO: FILTRO COMBUSTIVEL, APLICAÇÃO: RETROESCAVADEIRA RANDON RK406B/ RD406 ADVANCED. CAMINHÃO AGRALE 8500 2008, REFERÊNCIA: ECO796/ FDC0796.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9837.0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9837 - PEÇA/COMPONENTE RETROESCAVADEIRA, TIPO: FILTRO COMBUSTIVEL, APLICAÇÃO: RETROESCAVADEIRA RANDON RK406B/ RD 406 ADVANCED, REFERÊNCIA: R26A50.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9615.0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9615 - PEÇA/COMPONENTE RETROESCAVADEIRA, TIPO: FILTRO LUBRIFICANTE MOTOR, APLICAÇÃO: RETROESCAVADEIRA RANDON RK406B/ RD406 ADVANCED. CAMINHÃO AGRALE 8500 2008., REFERÊNCIA: WO480 / EFL521.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9332.0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RANDON RK406B ASPIRADA, REFERÊNCIA: EFA 948/ WAP 200/S</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9529.0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RANDON RK406B ASPIRADA, REFERÊNCIA: EFA 949/ WR 200/4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9072.0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9072 - PEÇA/COMPONENTE RETROESCAVADEIRA, TIPO: ELEMENTO FILTRO HIDRÁULICO, APLICAÇÃO: RETROESCAVADEIRA RANDON RK406B, REFERÊNCIA: TURBO TH 1101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9316.0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TRANSMISSÃO, APLICAÇÃO: RETROESCAVADEIRA RANDON RK406B/ RD406 ADVANCED/ CASE 580N, REFERÊNCIA: BT 8439 - MPG</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175872.0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CONDICIONADO, APLICAÇÃO: RETROESCAVADEIRA RANDON RK406B/RD406B, REFERÊNCIA: SK 1104.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9530.0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AR INTERNO, APLICAÇÃO: RETROESCAVADEIRA RANDON RK406B/ RD406 ADVANCED TURBINADA, RFERÊNCIA: EFA 942.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9018.0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AR EXTERNO, APLICAÇÃO: RETROESCAVADEIRA RANDON RK406B/ RD406 ADVANCED TURBINADA, REFERÊNCIA: EFA 945</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10399.0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TANQUE HIDRAULICO, APLICAÇÃO: RETROESCAVADEIRA RANDON RD406 ADVANCED. ROÇADEIRA ARTICULADA LAVRALE, REFERÊNCIA: UNIFILTER UH125VUS305.</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9620.0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R90-30M.</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9023.0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140 LC 7, REFERÊNCIA: HDF500A/ H17WK06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8718.0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140 LC 7/ MOTONIVELADORA KOMAT'SU GD555, REFERÊNCIA: EFL721 / WO 680.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9173.0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DE AR INTERNO, APLICAÇÃO: ESCAVADEIRA HIDRAULICA HYUNDAI 140 LC 7, REFERÊNCIA: TR 62453.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9174.0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DE AR EXTERNO. APLICAÇÃO: ESCAVADEIRA HIDRAULICA HYUNDAI 140 LC 7, REFERÊNCIA: TURBO TR 62452 PU</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175701.0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CX180C CASE, REFERÊNCIA: P502422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CX180C CASE, REFERÊNCIA: EFS103 / FDC2056.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CX180C CASE, REFERÊNCIA: MMH 80900 / B7416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CX180C CASE, REFERÊNCIA: P573481.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CX180C CASE, REFERÊNCIA: TURBO TR 780522.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175887.0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CX180C CASE, REFERÊNCIA: TURBO TR 780523.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9816.0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COMBUSTÍVEL APLICAÇÃO: CARREGADEIRA HYUNDAI HL730-7, REFERÊNCIA: BF1356.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9684.0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COMBUSTÍVEL RACOR, APLICAÇÃO: CARREGADEIRA HYUNDAI HL730-7, REFERÊNCIA: R45-10M.</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9685.0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LUBRIFICANTE MOTOR APLICAÇÃO: CARREGADEIRA HYUNDAI HL730-7, REFERÊNCIA: BT 427 / EFL723.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6322.0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AR INTERNO, APLICAÇÃO: CARREGADEIRA HYUNDAI HL730-7, REFERÊNCIA: TURBO TR 62453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6939.0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DE AR EXTERNO. APLICAÇÃO: CARREGADEIRA HYUNDAI HL730-7, REFERÊNCIA: TURBO TR 62452 PU</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8428.0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DO AR CONDICIONADO, EXTERNO, APLICAÇÃO: CARREGADEIRA HYUNDAI HL730-7, REFERÊNCIA: FB 070.010.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9696.0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TANQUE HIDRÁULICO, APLICAÇÃO: CARREGADEIRA HYUNDAI HL730-7, REFERÊNCIA: 31L1-4041-A.</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9697.0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HIDRÁULICO DE LINHA APLICAÇÃO: CARREGADEIRA HYUNDAI HL730-7, REFERÊNCIA: 31L14041A.</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9695.0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CARREGADEIRA, TIPO: FILTRO TRANSMISSÃO, APLICAÇÃO: CARREGADEIRA HYUNDAI HL730-7, REFERÊNCIA: BT9422.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9262.0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KOMAT'SU GD555, REFERÊNCIA: HDF 762/ FCD0769.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9143.0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AR INTERNO, APLICAÇÃO: MOTONIVELADORA KOMAT'SU GD555, REFERÊNCIA: TURBO TR 25491.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9145.0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AR EXTERNO, APLICAÇÃO: MOTONIVELADORA KOMAT'SU GD555, REFERÊNCIA: TURBO TR 25492.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9146.0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HIDRÁULICO, APLICAÇÃO: MOTONIVELADORA KOMAT'SU GD555, REFERÊNCIA: UNIFILTER UH 385 P.</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10279.0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10279 - PEÇA MECÂNICA - VEÍCULO AUTOMOTIVO, TIPO: FILTRO DE COMBUSTÍVEL, APLICAÇÃO: CAMINHÃO AGRALE, MODELO: AGRALE 8500, REFERÊNCIA: EFS102.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6689.0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AR INTERNO, APLICAÇÃO: CAMINHÃO AGRALE, MODELO: AGRALE 8500, REFERÊNCIA: EFA959.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6741.0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AR EXTERNO, APLICAÇÃO: CAMINHÃO AGRALE, MODELO: AGRALE 8500, REFERÊNCIA: EFA 941.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175563.0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HYUNDAI HR 2010, REFERÊNCIA: JFC 901.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175562.0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ÓLEO MOTOR, APLICAÇÃO: HYUNDAI HR 2010, REFERÊNCIA: PSL332 / EFL755 / OC1224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175564.0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DE AR, APLICAÇÃO: HYUNDAI HR 2010, REFERÊNCIA: LX3236 / JFA0H13 / CA10564.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166511.0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MERCEDES BENZ, ATRON 2729 K 6X4 2014, REFERÊNCIA: FCD 0768.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169833.0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MERCEDES BENZ, ATRON 2729 K 6X4 2014, REFERÊNCIA: EFS 111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166705.0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MERCEDES BENZ, ATRON 2729 K 6X4 2014, REFERÊNCIA: REL-802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164614.0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DO AR CONDICIONADO. APLICAÇÃO: MERCEDES BENZ, ATRON 2729 K 6X4 2014, REFERÊNCIA: AKX4014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10421.0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COMBUSTÍVEL. APLICAÇÃO: MOTONIVELADORA CASE 845B, REFERÊNCIA: H215WK</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10519.0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DE COMBUSTÍVEL RACOR, APLICAÇÃO: MOTONIVELADORA CASE 845B, REFERÊNCIA: HDF422.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8717.0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RETRO ESCAVADEIRA CASE 580N 2018/ MOTONIVELADORA CASE 845B 2017, REFERÊNCIA: B7327.</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10574.0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AR INTERNO APLICAÇÃO: MOTONIVELADORA CASE 845B, REFERÊNCIA: TURBO TR 1532.</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10575.0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AR EXTERNO, APLICAÇÃO: MOTONIVELADORA CASE 845B, REFERÊNCIA: TURBO TR 1533.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10505.0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10505 - PEÇA/COMPONENTE MOTONIVELADORA, TIPO: FILTRO AR CONDICIONADO. APLICAÇÃO: MOTONIVELADORA CASE 845B, REFERÊNCIA: UARS157275P/ TACO 2.1PU</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MOTONIVELADORA, TIPO: FILTRO TRANSMISSÃO. APLICAÇÃO: MOTONIVELADORA CASE 845B, REFERÊNCIA: BT 8851-MPG</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10520 - PEÇA/COMPONENTE RETROESCAVADEIRA, TIPO: FILTRO COMBUSTÍVEL. APLICAÇÃO: RETROESCAVADEIRA CASE 580N, REFERÊNCIA: FCD2295/ FS19927</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10673.0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10673 - PEÇA/COMPONENTE RETROESCAVADEIRA, TIPO: FILTRO COMBUSTÍVEL RACOR. APLICAÇÃO: RETROESCAVADEIRA CASE 580N, REFERÊNCIA: TURBO TBC877I/ ORIGINAL OFC1586 ST</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10688.0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EXTERNO. APLICAÇÃO: RETROESCAVADEIRA CASE 580N, REFERÊNCIA: EFA 984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10677.0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DE AR INTERNO, APLICAÇÃO: RETROESCAVADEIRA CASE 580N, REFERÊNCIA: TURBO TR 5590.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175929.0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RETROESCAVADEIRA, TIPO: FILTRO HIDRAULICO, APLICAÇÃO: RETROESCAVADEIRA CASE 580N, REFERÊNCIA: P569206.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HYUNDAI 220, REFERÊNCIA: 11LG-70010.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HYUNDAI 220, REFERÊNCIA: 11QA-71040 BR-11LB-20310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HYUNDAI 220, REFERÊNCIA: 11N8-70110/LF3970.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HYUNDAI 220, REFERÊNCIA: 11Q6-28030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HYUNDAI 220, REFERÊNCIA: 11Q6-28020.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HYUNDAI 220, REFERÊNCIA: 31K6-01320.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175937.0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PRE FILTRO COMBUSTÍVEL, APLICAÇÃO: ESCAVADEIRA HIDRAULICA HYUNDAI 220, REFERÊNCIA: 11QG-70120.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3</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HYUNDAI 220, REFERÊNCIA: 31Q6-20340.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175939.0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APLICAÇÃO: ESCAVADEIRA HIDRAULICA XCMG 150BR, REFERÊNCIA: 800154563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COMBUSTÍVEL RACOR. APLICAÇÃO: ESCAVADEIRA HIDRAULICA XCMG 150BR, REFERÊNCIA: 800514448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LUBRIFICANTE MOTOR. APLICAÇÃO: ESCAVADEIRA HIDRAULICA XCMG 150BR, REFERÊNCIA: 800159597</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EXTERNO, APLICAÇÃO: ESCAVADEIRA HIDRAULICA XCMG 150BR, REFERÊNCIA: 800104248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AR INTERNO. APLICAÇÃO: ESCAVADEIRA HIDRAULICA XCMG 150BR, REFERÊNCIA: 800104249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APLICAÇÃO: ESCAVADEIRA HIDRAULICA XCMG 150BR, REFERÊNCIA: 803408563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HIDRAULICO RETORNO. APLICAÇÃO: ESCAVADEIRA HIDRAULICA XCMG 150BR, REFERÊNCIA: 803408564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175946.0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ESCAVADEIRA HIDRAULICA, TIPO: FILTRO PILOTO HIDRAULICO. APLICAÇÃO: ESCAVADEIRA HIDRAULICA XCMG 150BR, REFERÊNCIA: 80385529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10485.0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MASSEY FERGUSSON 4275, REFERÊNCIA: EFL 028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10396.0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MASSEY FERGUSSON 4275, REFERÊNCIA: TURBO TR 23619.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10523.0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HIDRÁULICO. APLICAÇÃO: TRATOR MASSEY FERGUSSON 4275, REFERÊNCIA: TURBO TR 23619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10765.0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COMBUSTÍVEL, APLICAÇÃO: TRATOR JOHN DEERE. CARACTERÍSTICAS ADICIONAIS: LINHA/ SÉRIE 5000/6000. REFERÊNCIA: P551424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10766.0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COMBUSTIVEL RACOR. APLICAÇÃO: TRATOR JOHN DEERE. CARACTERÍSTICAS ADICIONAIS: LINHA/ SÉRIE 5000/6000, REFERÊNCIA: P 551424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10764.0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LUBRIFICANTE MOTOR, APLICAÇÃO: TRATOR JOHN DEERE. CARACTERÍSTICAS ADICIONAIS: LINHA/ SÉRIE 5000/6000. REFERÊNCIA: LF 3703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175955.0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 COMPONENTE TRATOR AGRÍCOLA, TIPO: FILTRO DE AR, APLICAÇÃO: TRATOR JOHN DEERE. CARACTERÍSTICAS ADICIONAIS: LINHA/ SÉRIE 5000/6000. REFERÊNCIA: P606119.</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6910.0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COMBUSTÍVEL. APLICAÇÃO: VW GOL/SAVEIRO/SANTANA, REFERÊNCIA: FCL 1630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4</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6935.0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VW GOL/SAVEIRO/SANTANA, REFERÊNCIA: EFL 563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5</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7392.0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DE AR. APLICAÇÃO: VW GOL/SAVEIRO/SANTANA, REFERÊNCIA: EFA 965</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12</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10348.0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RENAULT SANDERO, REFERÊNCIA: WO 205</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104.0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10650.0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DE AR. APLICAÇÃO: RENAULT SANDERO, REFERÊNCIA: ARL5144</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7235.0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CELTA/PRISMA, REFERÊNCIA: EFL 747</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106.0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167002.0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CHEVROLET CRUZE, REFERÊNCIA: WOE-313</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107.0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10514.0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DO ARAPLICAÇÃO: CHEVROLET CRUZE, REFERÊNCIA: C26106.</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6</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108.0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175974.0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COMBUSTIVEL. APLICAÇÃO: CAMINHÃO KIA BONGO 2020, REFERÊNCIA: 319224H900N</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109.0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175975.0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LUBRIFICANTE MOTOR. APLICAÇÃO: CAMINHÃO KIA BONGO 2020, REFERÊNCIA: 263304A001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9</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110.0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175976.0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PEÇA/COMPONENTE VEÍCULO, TIPO: FILTRO AR. APLICAÇÃO: CAMINHÃO KIA BONGO 2020, REFERÊNCIA: 252124A750</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UNIDADE</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170616.0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LUBRIFICANTE MOTOR. APLICAÇÃO: VOLKSWAGEN 31.330 CRC 6X4, 2017, REFERÊNCIA: WO 711</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8</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112.0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166991.0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APLICAÇÃO: VOLKSWAGEN 31.330 CRC 6X4, 2017, REFERÊNCIA: FCD 2238.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57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113.0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170268.0</w:t>
            </w:r>
          </w:p>
        </w:tc>
        <w:tc>
          <w:tcPr>
            <w:tcW w:w="555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 MECÂNICA - VEÍCULO AUTOMOTIVO, TIPO: FILTRO COMBUSTÍVEL RACOR. APLICAÇÃO: VOLKSWAGEN 31.330 CRC 6X4, 2017, REFERÊNCIA: FCD 0958.</w:t>
            </w:r>
          </w:p>
        </w:tc>
        <w:tc>
          <w:tcPr>
            <w:tcW w:w="913"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PEÇA</w:t>
            </w:r>
          </w:p>
        </w:tc>
        <w:tc>
          <w:tcPr>
            <w:tcW w:w="682"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sz w:val="18"/>
                <w:szCs w:val="18"/>
              </w:rPr>
            </w:pPr>
            <w:r>
              <w:rPr>
                <w:rFonts w:cs="Arial" w:ascii="Arial" w:hAnsi="Arial"/>
                <w:color w:val="000000"/>
                <w:sz w:val="18"/>
                <w:szCs w:val="18"/>
              </w:rPr>
              <w:t>10</w:t>
            </w:r>
          </w:p>
        </w:tc>
        <w:tc>
          <w:tcPr>
            <w:tcW w:w="900" w:type="dxa"/>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color w:val="000000"/>
                <w:sz w:val="18"/>
                <w:szCs w:val="18"/>
              </w:rPr>
            </w:pPr>
            <w:r>
              <w:rPr>
                <w:rFonts w:cs="Arial" w:ascii="Arial" w:hAnsi="Arial"/>
                <w:color w:val="000000"/>
                <w:sz w:val="18"/>
                <w:szCs w:val="18"/>
              </w:rPr>
            </w:r>
          </w:p>
        </w:tc>
      </w:tr>
      <w:tr>
        <w:trPr/>
        <w:tc>
          <w:tcPr>
            <w:tcW w:w="9518" w:type="dxa"/>
            <w:gridSpan w:val="6"/>
            <w:tcBorders>
              <w:left w:val="single" w:sz="4" w:space="0" w:color="000000"/>
              <w:bottom w:val="single" w:sz="4" w:space="0" w:color="000000"/>
            </w:tcBorders>
            <w:vAlign w:val="center"/>
          </w:tcPr>
          <w:p>
            <w:pPr>
              <w:pStyle w:val="Contedodatabela"/>
              <w:widowControl w:val="false"/>
              <w:numPr>
                <w:ilvl w:val="0"/>
                <w:numId w:val="1"/>
              </w:numPr>
              <w:spacing w:lineRule="auto" w:line="360"/>
              <w:jc w:val="center"/>
              <w:rPr>
                <w:rFonts w:ascii="Arial" w:hAnsi="Arial" w:cs="Arial"/>
                <w:sz w:val="18"/>
                <w:szCs w:val="18"/>
              </w:rPr>
            </w:pPr>
            <w:r>
              <w:rPr>
                <w:rFonts w:cs="Arial" w:ascii="Arial" w:hAnsi="Arial"/>
                <w:sz w:val="18"/>
                <w:szCs w:val="18"/>
              </w:rPr>
            </w:r>
          </w:p>
        </w:tc>
        <w:tc>
          <w:tcPr>
            <w:tcW w:w="859" w:type="dxa"/>
            <w:tcBorders>
              <w:left w:val="single" w:sz="4" w:space="0" w:color="000000"/>
              <w:bottom w:val="single" w:sz="4" w:space="0" w:color="000000"/>
              <w:right w:val="single" w:sz="4" w:space="0" w:color="000000"/>
            </w:tcBorders>
            <w:vAlign w:val="center"/>
          </w:tcPr>
          <w:p>
            <w:pPr>
              <w:pStyle w:val="Contedodatabela"/>
              <w:widowControl w:val="false"/>
              <w:numPr>
                <w:ilvl w:val="0"/>
                <w:numId w:val="1"/>
              </w:numPr>
              <w:spacing w:lineRule="auto" w:line="360"/>
              <w:jc w:val="center"/>
              <w:rPr>
                <w:rFonts w:ascii="Arial" w:hAnsi="Arial" w:cs="Arial"/>
                <w:sz w:val="18"/>
                <w:szCs w:val="18"/>
              </w:rPr>
            </w:pPr>
            <w:r>
              <w:rPr>
                <w:rFonts w:cs="Arial" w:ascii="Arial" w:hAnsi="Arial"/>
                <w:sz w:val="18"/>
                <w:szCs w:val="18"/>
              </w:rPr>
            </w:r>
          </w:p>
        </w:tc>
      </w:tr>
    </w:tbl>
    <w:p>
      <w:pPr>
        <w:pStyle w:val="Default"/>
        <w:numPr>
          <w:ilvl w:val="0"/>
          <w:numId w:val="1"/>
        </w:numPr>
        <w:spacing w:lineRule="auto" w:line="360"/>
        <w:jc w:val="both"/>
        <w:rPr>
          <w:rFonts w:cs="Arial"/>
          <w:b/>
          <w:color w:val="000000"/>
          <w:shd w:fill="auto" w:val="clear"/>
          <w:lang w:eastAsia="zh-CN"/>
        </w:rPr>
      </w:pPr>
      <w:r>
        <w:rPr>
          <w:rFonts w:ascii="Arial" w:hAnsi="Arial"/>
          <w:sz w:val="22"/>
          <w:szCs w:val="22"/>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1"/>
        </w:numPr>
        <w:spacing w:lineRule="auto" w:line="360"/>
        <w:jc w:val="both"/>
        <w:rPr>
          <w:rFonts w:ascii="Arial" w:hAnsi="Arial"/>
          <w:sz w:val="22"/>
          <w:szCs w:val="22"/>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 DAS CONDIÇÕES DE PAGAMENTO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4. DOS EMPENHOS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 DO CONTROLE E ATUALIZAÇÃO DOS PREÇOS REGISTRADOS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das Saúde ou dos serviços registrados, nas seguintes situações: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1"/>
        </w:numPr>
        <w:spacing w:lineRule="auto" w:line="360"/>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1"/>
        </w:numPr>
        <w:spacing w:lineRule="auto" w:line="360"/>
        <w:jc w:val="both"/>
        <w:rPr>
          <w:rFonts w:ascii="Arial" w:hAnsi="Arial"/>
          <w:sz w:val="22"/>
          <w:szCs w:val="22"/>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spacing w:lineRule="auto" w:line="36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Default"/>
        <w:spacing w:lineRule="auto" w:line="36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1"/>
        </w:numPr>
        <w:spacing w:lineRule="auto" w:line="360"/>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8. DA EXECUÇÃO/ E DO RECEBIMENTO</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de peças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1"/>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9. DAS OBRIGAÇÕES DA EMPRESA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10. DAS SANÇÕES PARA O INADIMPLEMENTO </w:t>
      </w:r>
    </w:p>
    <w:p>
      <w:pPr>
        <w:pStyle w:val="Default"/>
        <w:numPr>
          <w:ilvl w:val="0"/>
          <w:numId w:val="1"/>
        </w:numPr>
        <w:spacing w:lineRule="auto" w:line="360"/>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1"/>
        </w:numPr>
        <w:spacing w:lineRule="auto" w:line="360"/>
        <w:jc w:val="both"/>
        <w:rPr/>
      </w:pPr>
      <w:bookmarkStart w:id="9" w:name="_3znysh71"/>
      <w:bookmarkEnd w:id="9"/>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1"/>
        </w:numPr>
        <w:spacing w:lineRule="auto" w:line="360"/>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1"/>
        </w:numPr>
        <w:spacing w:lineRule="auto" w:line="360"/>
        <w:jc w:val="both"/>
        <w:rPr>
          <w:rFonts w:ascii="Arial" w:hAnsi="Arial"/>
          <w:sz w:val="22"/>
          <w:szCs w:val="22"/>
        </w:rPr>
      </w:pPr>
      <w:r>
        <w:rPr>
          <w:rFonts w:eastAsia="Arial" w:cs="Arial" w:ascii="Arial" w:hAnsi="Arial"/>
          <w:b/>
          <w:color w:val="000000"/>
          <w:sz w:val="22"/>
          <w:szCs w:val="22"/>
          <w:u w:val="none"/>
          <w:shd w:fill="auto" w:val="clear"/>
        </w:rPr>
        <w:t>10.2.4 Multa:</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rFonts w:ascii="Arial" w:hAnsi="Arial"/>
          <w:sz w:val="22"/>
          <w:szCs w:val="22"/>
        </w:rPr>
      </w:pPr>
      <w:bookmarkStart w:id="10" w:name="_2et92p01"/>
      <w:bookmarkEnd w:id="10"/>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1"/>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1"/>
        </w:numPr>
        <w:spacing w:lineRule="auto" w:line="360"/>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1"/>
        </w:numPr>
        <w:spacing w:lineRule="auto" w:line="360"/>
        <w:jc w:val="both"/>
        <w:rPr>
          <w:rFonts w:ascii="Arial" w:hAnsi="Arial"/>
          <w:sz w:val="22"/>
          <w:szCs w:val="22"/>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11. CASOS FORTUITOS OU DE FORÇA MAIOR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1"/>
        </w:numPr>
        <w:spacing w:lineRule="auto" w:line="360"/>
        <w:jc w:val="both"/>
        <w:rPr>
          <w:rFonts w:ascii="Arial" w:hAnsi="Arial"/>
          <w:sz w:val="22"/>
          <w:szCs w:val="22"/>
        </w:rPr>
      </w:pPr>
      <w:r>
        <w:rPr>
          <w:rFonts w:cs="Arial" w:ascii="Arial" w:hAnsi="Arial"/>
          <w:color w:val="000000"/>
          <w:sz w:val="22"/>
          <w:szCs w:val="22"/>
          <w:shd w:fill="auto" w:val="clear"/>
        </w:rPr>
        <w:t xml:space="preserve">a) greve geral; </w:t>
      </w:r>
    </w:p>
    <w:p>
      <w:pPr>
        <w:pStyle w:val="Default"/>
        <w:numPr>
          <w:ilvl w:val="0"/>
          <w:numId w:val="1"/>
        </w:numPr>
        <w:spacing w:lineRule="auto" w:line="360"/>
        <w:jc w:val="both"/>
        <w:rPr>
          <w:rFonts w:ascii="Arial" w:hAnsi="Arial"/>
          <w:sz w:val="22"/>
          <w:szCs w:val="22"/>
        </w:rPr>
      </w:pPr>
      <w:r>
        <w:rPr>
          <w:rFonts w:cs="Arial" w:ascii="Arial" w:hAnsi="Arial"/>
          <w:color w:val="000000"/>
          <w:sz w:val="22"/>
          <w:szCs w:val="22"/>
          <w:shd w:fill="auto" w:val="clear"/>
        </w:rPr>
        <w:t xml:space="preserve">b) calamidade pública; </w:t>
      </w:r>
    </w:p>
    <w:p>
      <w:pPr>
        <w:pStyle w:val="Default"/>
        <w:numPr>
          <w:ilvl w:val="0"/>
          <w:numId w:val="1"/>
        </w:numPr>
        <w:spacing w:lineRule="auto" w:line="360"/>
        <w:jc w:val="both"/>
        <w:rPr>
          <w:rFonts w:ascii="Arial" w:hAnsi="Arial"/>
          <w:sz w:val="22"/>
          <w:szCs w:val="22"/>
        </w:rPr>
      </w:pPr>
      <w:r>
        <w:rPr>
          <w:rFonts w:cs="Arial" w:ascii="Arial" w:hAnsi="Arial"/>
          <w:color w:val="000000"/>
          <w:sz w:val="22"/>
          <w:szCs w:val="22"/>
          <w:shd w:fill="auto" w:val="clear"/>
        </w:rPr>
        <w:t xml:space="preserve">c) interrupção dos meios de transporte; </w:t>
      </w:r>
    </w:p>
    <w:p>
      <w:pPr>
        <w:pStyle w:val="Default"/>
        <w:numPr>
          <w:ilvl w:val="0"/>
          <w:numId w:val="1"/>
        </w:numPr>
        <w:spacing w:lineRule="auto" w:line="360"/>
        <w:jc w:val="both"/>
        <w:rPr>
          <w:rFonts w:ascii="Arial" w:hAnsi="Arial"/>
          <w:sz w:val="22"/>
          <w:szCs w:val="22"/>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1"/>
        </w:numPr>
        <w:spacing w:lineRule="auto" w:line="360"/>
        <w:jc w:val="both"/>
        <w:rPr>
          <w:rFonts w:ascii="Arial" w:hAnsi="Arial"/>
          <w:sz w:val="22"/>
          <w:szCs w:val="22"/>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12. DAS DISPOSIÇÕES GERAIS </w:t>
      </w:r>
    </w:p>
    <w:p>
      <w:pPr>
        <w:pStyle w:val="Default"/>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1"/>
        </w:numPr>
        <w:spacing w:lineRule="auto" w:line="360"/>
        <w:jc w:val="both"/>
        <w:rPr>
          <w:rFonts w:ascii="Arial" w:hAnsi="Arial"/>
          <w:sz w:val="22"/>
          <w:szCs w:val="22"/>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/RS, com renúncia de quaisquer outros ainda que privilegiados. E por estarem as partes justas e acertadas assinam a presente Ata de Registro de Preços.</w:t>
      </w:r>
    </w:p>
    <w:p>
      <w:pPr>
        <w:pStyle w:val="Normal"/>
        <w:numPr>
          <w:ilvl w:val="0"/>
          <w:numId w:val="1"/>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jc w:val="center"/>
        <w:rPr>
          <w:rFonts w:ascii="Arial" w:hAnsi="Arial"/>
          <w:sz w:val="22"/>
          <w:szCs w:val="22"/>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1"/>
        </w:numPr>
        <w:spacing w:lineRule="auto" w:line="360"/>
        <w:jc w:val="center"/>
        <w:rPr>
          <w:rFonts w:ascii="Arial" w:hAnsi="Arial"/>
          <w:sz w:val="22"/>
          <w:szCs w:val="22"/>
        </w:rPr>
      </w:pPr>
      <w:r>
        <w:rPr>
          <w:rFonts w:cs="Arial" w:ascii="Arial" w:hAnsi="Arial"/>
          <w:color w:val="000000"/>
          <w:sz w:val="22"/>
          <w:szCs w:val="22"/>
          <w:shd w:fill="auto" w:val="clear"/>
        </w:rPr>
        <w:t>Prefeito Municipal de Vera Cruz, RS.</w:t>
      </w:r>
    </w:p>
    <w:p>
      <w:pPr>
        <w:pStyle w:val="Normal"/>
        <w:numPr>
          <w:ilvl w:val="0"/>
          <w:numId w:val="1"/>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jc w:val="center"/>
        <w:rPr>
          <w:rFonts w:ascii="Arial" w:hAnsi="Arial"/>
          <w:sz w:val="22"/>
          <w:szCs w:val="22"/>
        </w:rPr>
      </w:pPr>
      <w:bookmarkStart w:id="11" w:name="art6xxiiid"/>
      <w:bookmarkStart w:id="12" w:name="art6xxiiif"/>
      <w:bookmarkStart w:id="13" w:name="art6xxiiij"/>
      <w:bookmarkStart w:id="14" w:name="art6xxiiij_Copia_1"/>
      <w:bookmarkStart w:id="15" w:name="art6xxiii.i"/>
      <w:bookmarkStart w:id="16" w:name="art6xxiii.i_Copia_1"/>
      <w:bookmarkStart w:id="17" w:name="art6xxiiig"/>
      <w:bookmarkStart w:id="18" w:name="art6xxiiig_Copia_1_Copia_1"/>
      <w:bookmarkStart w:id="19" w:name="30j0zll"/>
      <w:bookmarkStart w:id="20" w:name="30j0zll_Copia_1"/>
      <w:bookmarkStart w:id="21" w:name="art6xxiiic"/>
      <w:bookmarkStart w:id="22" w:name="art6xxiiic_Copia_1"/>
      <w:r>
        <w:rPr>
          <w:rFonts w:cs="Arial" w:ascii="Arial" w:hAnsi="Arial"/>
          <w:b/>
          <w:bCs/>
          <w:iCs/>
          <w:color w:val="000000"/>
          <w:sz w:val="22"/>
          <w:szCs w:val="22"/>
          <w:shd w:fill="auto" w:val="clear"/>
        </w:rPr>
        <w:t>EMPRESA</w:t>
      </w:r>
      <w:bookmarkEnd w:id="11"/>
      <w:bookmarkEnd w:id="12"/>
      <w:bookmarkEnd w:id="13"/>
      <w:bookmarkEnd w:id="14"/>
      <w:bookmarkEnd w:id="15"/>
      <w:bookmarkEnd w:id="16"/>
      <w:bookmarkEnd w:id="17"/>
      <w:bookmarkEnd w:id="18"/>
      <w:bookmarkEnd w:id="19"/>
      <w:bookmarkEnd w:id="20"/>
      <w:bookmarkEnd w:id="21"/>
      <w:bookmarkEnd w:id="22"/>
    </w:p>
    <w:sectPr>
      <w:headerReference w:type="default" r:id="rId8"/>
      <w:footerReference w:type="default" r:id="rId9"/>
      <w:type w:val="nextPage"/>
      <w:pgSz w:w="11906" w:h="16838"/>
      <w:pgMar w:left="968" w:right="561" w:gutter="0" w:header="454" w:top="2268"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Arial MT">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12">
          <wp:simplePos x="0" y="0"/>
          <wp:positionH relativeFrom="column">
            <wp:posOffset>1990090</wp:posOffset>
          </wp:positionH>
          <wp:positionV relativeFrom="paragraph">
            <wp:posOffset>-400685</wp:posOffset>
          </wp:positionV>
          <wp:extent cx="2720975" cy="398780"/>
          <wp:effectExtent l="0" t="0" r="0" b="0"/>
          <wp:wrapSquare wrapText="largest"/>
          <wp:docPr id="2"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descr=""/>
                  <pic:cNvPicPr>
                    <a:picLocks noChangeAspect="1" noChangeArrowheads="1"/>
                  </pic:cNvPicPr>
                </pic:nvPicPr>
                <pic:blipFill>
                  <a:blip r:embed="rId1"/>
                  <a:srcRect l="-161" t="-1301" r="-161" b="-1301"/>
                  <a:stretch>
                    <a:fillRect/>
                  </a:stretch>
                </pic:blipFill>
                <pic:spPr bwMode="auto">
                  <a:xfrm>
                    <a:off x="0" y="0"/>
                    <a:ext cx="2720975" cy="39878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1">
          <wp:simplePos x="0" y="0"/>
          <wp:positionH relativeFrom="column">
            <wp:align>center</wp:align>
          </wp:positionH>
          <wp:positionV relativeFrom="paragraph">
            <wp:posOffset>635</wp:posOffset>
          </wp:positionV>
          <wp:extent cx="4533900" cy="85661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4533900" cy="856615"/>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408"/>
  <w:autoHyphenation w:val="true"/>
  <w:compat>
    <w:compatSetting w:name="compatibilityMode" w:uri="http://schemas.microsoft.com/office/word" w:val="12"/>
  </w:compat>
  <w:themeFontLang w:val="" w:eastAsia="" w:bidi=""/>
  <w:docVars>
    <w:docVar w:name="Npregão" w:val="009"/>
    <w:docVar w:name="Qsecretaria" w:val="Secretaria Municipal de Administração, Secretaria Municipal de Saúde, Secretaria Municipal de Obras, Saneamento e Trânsito, Secretaria Municipal de Desenvolvimento Rural e Meio Ambiente, Secretaria Municipal de Educação, Secretaria Municipal de Desenvolvimento Social, Secretaria Municipal de Cultura, Esporte e Lazer"/>
    <w:docVar w:name="Nprocesso" w:val="017"/>
    <w:docVar w:name="Tjulgamento" w:val="menor preço unitário"/>
    <w:docVar w:name="ObjPregão" w:val="aquisição de filtros lubrificantes para frota de veículos e máquinas da Prefeitura Municipal de Vera Cruz"/>
    <w:docVar w:name="Nreq" w:val="87"/>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3206</TotalTime>
  <Application>LibreOffice/7.5.5.2$Windows_X86_64 LibreOffice_project/ca8fe7424262805f223b9a2334bc7181abbcbf5e</Application>
  <AppVersion>15.0000</AppVersion>
  <Pages>99</Pages>
  <Words>29511</Words>
  <Characters>173099</Characters>
  <CharactersWithSpaces>198602</CharactersWithSpaces>
  <Paragraphs>4225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2025-02-04T15:30:55Z</cp:lastPrinted>
  <dcterms:modified xsi:type="dcterms:W3CDTF">2025-02-04T15:34:26Z</dcterms:modified>
  <cp:revision>199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