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276"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011</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276" w:before="0" w:after="0"/>
        <w:jc w:val="center"/>
        <w:rPr>
          <w:rFonts w:ascii="Arial" w:hAnsi="Arial"/>
          <w:sz w:val="22"/>
          <w:szCs w:val="22"/>
        </w:rPr>
      </w:pPr>
      <w:r>
        <w:rPr>
          <w:rFonts w:cs="Arial" w:ascii="Arial" w:hAnsi="Arial"/>
          <w:b/>
          <w:bCs/>
          <w:color w:val="000000"/>
          <w:sz w:val="22"/>
          <w:szCs w:val="22"/>
        </w:rPr>
        <w:t>REGISTRO DE PREÇOS</w:t>
      </w:r>
    </w:p>
    <w:p>
      <w:pPr>
        <w:pStyle w:val="Corpodotexto"/>
        <w:spacing w:lineRule="auto" w:line="276" w:before="0" w:after="0"/>
        <w:jc w:val="center"/>
        <w:rPr>
          <w:rFonts w:ascii="Arial" w:hAnsi="Arial"/>
          <w:sz w:val="22"/>
          <w:szCs w:val="22"/>
        </w:rPr>
      </w:pPr>
      <w:r>
        <w:rPr>
          <w:rFonts w:ascii="Arial" w:hAnsi="Arial"/>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276"/>
        <w:jc w:val="both"/>
        <w:rPr>
          <w:rFonts w:ascii="Arial" w:hAnsi="Arial"/>
          <w:sz w:val="22"/>
          <w:szCs w:val="22"/>
        </w:rPr>
      </w:pP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Qsecretaria </w:instrText>
      </w:r>
      <w:r>
        <w:rPr>
          <w:sz w:val="22"/>
          <w:b/>
          <w:szCs w:val="22"/>
          <w:bCs/>
          <w:rFonts w:cs="Arial" w:ascii="Arial" w:hAnsi="Arial"/>
          <w:color w:val="000000"/>
        </w:rPr>
        <w:fldChar w:fldCharType="separate"/>
      </w:r>
      <w:r>
        <w:rPr>
          <w:sz w:val="22"/>
          <w:b/>
          <w:szCs w:val="22"/>
          <w:bCs/>
          <w:rFonts w:cs="Arial" w:ascii="Arial" w:hAnsi="Arial"/>
          <w:color w:val="000000"/>
        </w:rPr>
        <w:t>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w:t>
      </w:r>
      <w:r>
        <w:rPr>
          <w:sz w:val="22"/>
          <w:b/>
          <w:szCs w:val="22"/>
          <w:bCs/>
          <w:rFonts w:cs="Arial" w:ascii="Arial" w:hAnsi="Arial"/>
          <w:color w:val="000000"/>
        </w:rPr>
        <w:fldChar w:fldCharType="end"/>
      </w:r>
    </w:p>
    <w:p>
      <w:pPr>
        <w:pStyle w:val="Normal"/>
        <w:spacing w:lineRule="auto" w:line="276"/>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023</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276"/>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ind w:left="0" w:right="0" w:hanging="0"/>
        <w:jc w:val="both"/>
        <w:rPr>
          <w:rFonts w:ascii="Arial" w:hAnsi="Arial"/>
          <w:sz w:val="22"/>
          <w:szCs w:val="22"/>
        </w:rPr>
      </w:pPr>
      <w:r>
        <w:rPr>
          <w:rFonts w:cs="Arial" w:ascii="Arial" w:hAnsi="Arial"/>
          <w:b/>
          <w:bCs/>
          <w:color w:val="000000"/>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276"/>
        <w:ind w:left="0" w:right="0" w:firstLine="1134"/>
        <w:jc w:val="both"/>
        <w:rPr>
          <w:rFonts w:ascii="Arial" w:hAnsi="Arial" w:cs="Arial"/>
          <w:b/>
          <w:bCs/>
          <w:i/>
          <w:i/>
          <w:color w:val="000000"/>
          <w:sz w:val="22"/>
          <w:szCs w:val="22"/>
        </w:rPr>
      </w:pPr>
      <w:r>
        <w:rPr>
          <w:rFonts w:cs="Arial" w:ascii="Arial" w:hAnsi="Arial"/>
          <w:b/>
          <w:bCs/>
          <w:i/>
          <w:color w:val="000000"/>
          <w:sz w:val="22"/>
          <w:szCs w:val="22"/>
        </w:rPr>
      </w:r>
    </w:p>
    <w:p>
      <w:pPr>
        <w:pStyle w:val="Normal"/>
        <w:spacing w:lineRule="auto" w:line="276"/>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aquisição de óleo lubrificante e produtos de limpeza automotiva, destinados à manutenção e conservação da frota de veículos e máquinas da Prefeitura Municipal de Vera Cruz</w:t>
      </w:r>
      <w:r>
        <w:rPr>
          <w:sz w:val="22"/>
          <w:shd w:fill="auto" w:val="clear"/>
          <w:szCs w:val="22"/>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tbl>
      <w:tblPr>
        <w:tblW w:w="10147" w:type="dxa"/>
        <w:jc w:val="left"/>
        <w:tblInd w:w="12" w:type="dxa"/>
        <w:tblLayout w:type="fixed"/>
        <w:tblCellMar>
          <w:top w:w="55" w:type="dxa"/>
          <w:left w:w="55" w:type="dxa"/>
          <w:bottom w:w="55" w:type="dxa"/>
          <w:right w:w="55" w:type="dxa"/>
        </w:tblCellMar>
      </w:tblPr>
      <w:tblGrid>
        <w:gridCol w:w="10147"/>
      </w:tblGrid>
      <w:tr>
        <w:trPr>
          <w:trHeight w:val="2441" w:hRule="atLeast"/>
        </w:trPr>
        <w:tc>
          <w:tcPr>
            <w:tcW w:w="1014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25/02/2025 -</w:t>
            </w:r>
            <w:r>
              <w:rPr>
                <w:rFonts w:cs="Arial" w:ascii="Arial" w:hAnsi="Arial"/>
                <w:b/>
                <w:bCs/>
                <w:color w:val="000000"/>
                <w:sz w:val="22"/>
                <w:szCs w:val="22"/>
                <w:shd w:fill="auto" w:val="clear"/>
              </w:rPr>
              <w:t xml:space="preserve"> 07h55</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25/02/2025</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HORÁRIO: 08h</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276"/>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IMPUGNAÇÕES E ESCLARECIMENTOS: até as 17:00 do dia </w:t>
            </w:r>
            <w:r>
              <w:rPr>
                <w:rFonts w:cs="Arial" w:ascii="Arial" w:hAnsi="Arial"/>
                <w:b/>
                <w:bCs/>
                <w:color w:val="000000"/>
                <w:sz w:val="22"/>
                <w:szCs w:val="22"/>
                <w:shd w:fill="auto" w:val="clear"/>
              </w:rPr>
              <w:t>20/02/2025</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276"/>
        <w:jc w:val="both"/>
        <w:rPr>
          <w:rFonts w:ascii="Arial" w:hAnsi="Arial"/>
          <w:sz w:val="22"/>
          <w:szCs w:val="22"/>
        </w:rPr>
      </w:pPr>
      <w:r>
        <w:rPr>
          <w:rFonts w:cs="Arial" w:ascii="Arial" w:hAnsi="Arial"/>
          <w:b w:val="false"/>
          <w:bCs w:val="false"/>
          <w:color w:val="000000"/>
          <w:sz w:val="22"/>
          <w:szCs w:val="22"/>
        </w:rPr>
        <w:t>Equipe de apoio: Alexandra Barcelos Vogt, Jonny Francisco Wagner e Paula Daiana Barbian.</w:t>
      </w:r>
    </w:p>
    <w:p>
      <w:pPr>
        <w:pStyle w:val="Normal"/>
        <w:spacing w:lineRule="auto" w:line="276"/>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1. DO OBJETO:</w:t>
      </w:r>
    </w:p>
    <w:p>
      <w:pPr>
        <w:pStyle w:val="Normal"/>
        <w:spacing w:lineRule="auto" w:line="276"/>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de óleo lubrificante e produtos de limpeza automotiva, destinados à manutenção e conservação da frota de veículos e máquinas da Prefeitura Municipal de Vera Cruz</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100</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 xml:space="preserve">). </w:t>
      </w:r>
    </w:p>
    <w:p>
      <w:pPr>
        <w:pStyle w:val="Normal"/>
        <w:spacing w:lineRule="auto" w:line="276"/>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276"/>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276"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Normal"/>
        <w:spacing w:lineRule="auto" w:line="276" w:before="0" w:after="0"/>
        <w:jc w:val="both"/>
        <w:rPr>
          <w:rFonts w:ascii="Arial" w:hAnsi="Arial"/>
          <w:sz w:val="22"/>
          <w:szCs w:val="22"/>
        </w:rPr>
      </w:pPr>
      <w:r>
        <w:rPr>
          <w:rFonts w:ascii="Arial" w:hAnsi="Arial"/>
          <w:sz w:val="22"/>
          <w:szCs w:val="22"/>
        </w:rPr>
      </w:r>
    </w:p>
    <w:tbl>
      <w:tblPr>
        <w:tblW w:w="9791" w:type="dxa"/>
        <w:jc w:val="left"/>
        <w:tblInd w:w="25" w:type="dxa"/>
        <w:tblLayout w:type="fixed"/>
        <w:tblCellMar>
          <w:top w:w="55" w:type="dxa"/>
          <w:left w:w="55" w:type="dxa"/>
          <w:bottom w:w="55" w:type="dxa"/>
          <w:right w:w="55" w:type="dxa"/>
        </w:tblCellMar>
      </w:tblPr>
      <w:tblGrid>
        <w:gridCol w:w="703"/>
        <w:gridCol w:w="824"/>
        <w:gridCol w:w="4650"/>
        <w:gridCol w:w="914"/>
        <w:gridCol w:w="736"/>
        <w:gridCol w:w="1009"/>
        <w:gridCol w:w="955"/>
      </w:tblGrid>
      <w:tr>
        <w:trPr>
          <w:trHeight w:val="256" w:hRule="atLeast"/>
        </w:trPr>
        <w:tc>
          <w:tcPr>
            <w:tcW w:w="979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TABELA DE VALORES</w:t>
            </w:r>
          </w:p>
        </w:tc>
      </w:tr>
      <w:tr>
        <w:trPr>
          <w:trHeight w:val="716"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Item</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Produto - Código</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Produto - Descrição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Unidade</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Quant</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PAINEL DE PREÇOS</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Valores - Total</w:t>
            </w:r>
          </w:p>
        </w:tc>
      </w:tr>
      <w:tr>
        <w:trPr>
          <w:trHeight w:val="1253"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1885.0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DETERGENTE LIMPEZA VEÍCULO, ASPECTO FÍSICO: LÍQUIDO VISCOSO, COMPOSIÇÃO: ÁCIDO SULFÔNICO, HIDRÓXIDO DE SÓDIO, TENSOATIVO, APLICAÇÃO: LAVAGEM VEÍCULOS E SUPERFÍCIES PINTADAS, CARACTERÍSTICAS ADICIONAIS: LÍQUIDO CONCENTRADO, SOLÚVEL EM ÁGUA, BASE NEUTRA. EMBALAGENS A CRITÉRIO DO FORNECEDOR.</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600.0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R$ 17,50</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R$ 10.500,00</w:t>
            </w:r>
          </w:p>
        </w:tc>
      </w:tr>
      <w:tr>
        <w:trPr>
          <w:trHeight w:val="895"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1909.0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DETERGENTE DESENGRAXANTE ALCALINO PARA USO EM EQUIPAMENTOS DE CONSTRUÇÃO, TERRAPLANAGEM, CAMINHÕES E DEMAIS. NA REMOÇÃO DE GAXAS, ÓLEOS E SUJEIRAS EM CHASSI, MOTORES E DEMAIS. (EMBALAGENS DE 05 LITROS)</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GALAO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40.0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R$ 56,37</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R$ 2.254,80</w:t>
            </w:r>
          </w:p>
        </w:tc>
      </w:tr>
      <w:tr>
        <w:trPr>
          <w:trHeight w:val="722"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2499.0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QUEROSENE, USO: LIMPEZA, DESENGRAXANTE, SOLVENTE, TIPO:COMUM. EMBALAGEM DE 50 LITROS.</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400.0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R$ 18,02</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R$ 7.208,00</w:t>
            </w:r>
          </w:p>
        </w:tc>
      </w:tr>
      <w:tr>
        <w:trPr>
          <w:trHeight w:val="3165"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4.0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2503.0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LUBRIFICANTE SAE 40 ESPECIALMENTE DESENVOLVIDO PARA TRANSMISSÕES MANUAIS SINCRONIZADOS DE CAMINHÕES E ÔNIBUS, FORMALMENTE APROVADO PELA MERCEDES-BENZ CONFORME ESPECIFICAÇÃO MB 235.12;</w:t>
              <w:br/>
              <w:t>PONTO DE FULGOR MAIOR OU IGUAL A 240 °C;</w:t>
              <w:br/>
              <w:t>PONTO DE FLUIDEZ MENOR OU IGUAL A - 24 °C;</w:t>
              <w:br/>
              <w:t>VISCOSIDADE A 100°C (CST) ENTRE 14,6 E 15,6;</w:t>
              <w:br/>
              <w:t>VISCOSIDADE A 40°C (CST) ENTRE 137,5 E 149,2;</w:t>
              <w:br/>
              <w:t>ÍNDICE DE VISCOSIDADE ENTRE 99 E 108;</w:t>
              <w:br/>
              <w:t>EMBALAGEM: 20 LITROS (BALDE);</w:t>
              <w:br/>
              <w:t>PONTO DE FULGOR MAIOR OU IGUAL A 240 °C;</w:t>
              <w:br/>
              <w:t>PONTO DE FLUIDEZ MENOR OU IGUAL A - 24 °C;</w:t>
              <w:br/>
              <w:t>VISCOSIDADE A 100°C (CST) ENTRE 14,6 E 15,6;</w:t>
              <w:br/>
              <w:t>VISCOSIDADE A 40°C (CST) ENTRE 137,5 E 149,2;</w:t>
              <w:br/>
              <w:t>ÍNDICE DE VISCOSIDADE ENTRE 99 E 108;</w:t>
              <w:br/>
              <w:t>EMBALAGEM: 20 LITROS (BALDE)</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BALDE</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R$ 450,21</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R$ 4.502,10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5.0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2502.0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LUBRIFICANTE PARA TRANSMISSÃO E DIFERENCIAIS, SAE 90, COM ADITIVOS EP, DESEMPENHO API GL-5 E MIL-L-2105D;</w:t>
              <w:br/>
              <w:t>VISCOSIDADE A 40°C, CST, ENTRE 175,4 E 207;</w:t>
              <w:br/>
              <w:t xml:space="preserve">VISCOSIDADE A 100°C, CST, ENTRE 16 E 18,2; </w:t>
              <w:br/>
              <w:t>ÍNDICE DE VISCOSIDADE ENTRE 90,8 E 97,2;</w:t>
              <w:br/>
              <w:t>PONTO DE FLUIDEZ MENOR OU IGUAL A -6 °C;</w:t>
              <w:br/>
              <w:t xml:space="preserve">PONTO DE FULGOR MAIOR OU IGUAL A 220 °C; </w:t>
              <w:br/>
              <w:t>EMBALAGEM: 20 LITROS (BALDE);</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GALAO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R$ 523,25</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R$ 10.465,00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6.0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2505.0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ÓLEO LUBRIFICANTE PARA MOTORES 02 TEMPOS A GASOLINA, UTILIZADO EM MOTOSSERRAS, CORTADORES DE GRAMA, ROÇADEIRAS, MOTOPODAS, ETC. </w:t>
              <w:br/>
              <w:t>VISCOSIDADE A 40°C, CST, ENTRE 81,7 E 92,2;</w:t>
              <w:br/>
              <w:t>VISCOSIDADE A 100°C, CST, ENTRE 8,7 E 10,8;</w:t>
              <w:br/>
              <w:t>PONTO DE FULGOR MAIOR OU IGUAL A 116 °C;</w:t>
              <w:br/>
              <w:t>CLASSIFICAÇÃO DE DESEMPENHO: JASO - FB OU SUPERIOR (JASO - FC, JASO - FD).</w:t>
              <w:br/>
              <w:t>EMBALAGEM: 500 ML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TUBO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150.0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R$ 21,79</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R$ 3.268,50</w:t>
            </w:r>
          </w:p>
        </w:tc>
      </w:tr>
      <w:tr>
        <w:trPr>
          <w:trHeight w:val="3405"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7.0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2507.0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GRAXA LUBRIFICANTE À BASE DE SABÃO COMPLEXO DE LÍTIO, GRAU NLGI 2, CONTENDO ADITIVOS DE EXTREMA PRESSÃO (EP) E INIBIDORES DE OXIDAÇÃO E CORROSÃO, RECOMENDADA PARA APLICAÇÃO EM EQUIPAMENTOS AUTOMOTIVOS, INDUSTRIAIS, MARÍTIMOS OU AGRÍCOLAS SUBMETIDOS A CARGAS ELEVADAS, EM MANCAIS DE ROLAMENTO OU DESLIZAMENTO, ARTICULAÇÕES E CUBOS DE RODA AUTOMOTIVOS, CHASSIS E JUNTAS UNIVERSAIS. CLASSIFICAÇÃO DE DESEMPENHO MERCEDES BENZ DBL 6804.50;TEMPERATURA MÍNIMA DE OPERAÇÃO MENOR OU IGUAL A &amp;#8211; 20 °C;</w:t>
              <w:br/>
              <w:t>TEMPERATURA MÁXIMA DE OPERAÇÃO MAIOR OU IGUAL A 177 °C;PENETRAÇÃO TRABALHADA 60X IGUAL A 275;PONTO DE GOTA MAIOR QUE 260 °C;CARGA TIMKEN MAIOR OU IGUAL A 45 LB;FOUR BALL &amp;#8211; CARGA DE SOLDA MAIOR OU IGUAL A 250 KGF;VISCOSIDADE A 40 °C (CST) ENTRE 149 E 152;</w:t>
              <w:br/>
              <w:t>EMBALAGEM: BALDE DE 20 KG.</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BALDE</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80.0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R$ 794,25</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R$ 63.540,00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8.0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2508.0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ÓLEO LUBRIFICANTE PARA SISTEMA HIDRÁULICOS, ISO VG 68, DESEMPENHO DIN 51524 PARTE 2 (HLP) E CINCINNATI P-69. TESTE FZG A/8.3/90 (DIN 51354) MAIOR QUE 11. </w:t>
              <w:br/>
              <w:t>VISCOSIDADE A 40°C, CST, ENTRE 64,5 E 68;</w:t>
              <w:br/>
              <w:t xml:space="preserve">VISCOSIDADE A 100°C, CST, ENTRE 8,6 E 9; </w:t>
              <w:br/>
              <w:t>ÍNDICE DE VISCOSIDADE ENTRE 98,9 E 107,2;</w:t>
              <w:br/>
              <w:t>PONTO DE FLUIDEZ MENOR OU IGUAL A -18 °C;</w:t>
              <w:br/>
              <w:t xml:space="preserve">PONTO DE FULGOR MAIOR OU IGUAL A 242 °C; </w:t>
              <w:br/>
              <w:t>EMBALAGEM: 20 LITROS (BALDE);</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BALDE</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R$ 516,94</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R$ 103.388,00</w:t>
            </w:r>
          </w:p>
        </w:tc>
      </w:tr>
      <w:tr>
        <w:trPr>
          <w:trHeight w:val="1432"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9.0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4401.0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FLUÍDO PARA APLICAÇÃO ESPECÍFICA, APLICAÇÃO: ADITIVO CONCENTRADO ARREFECEDOR PARA RADIADOR, ANTICORROSIVO, ANTIOXIDANTE PARA USO EM VEÍCULOS A GASOLINA, ÁLCOOL E DIESEL. ISENTOS DE NITRITOS, FOSFATOS, BORATOS, SILICATOS E AMINAS, FEITO À BASE DE GLICOL E DE INIBIDORES DE CORROSÃO ORGÂNICOS.</w:t>
              <w:br/>
              <w:t>EMBALAGENS DE 1 LITRO.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R$ 38,43</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R$ 11.529,00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10.0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5611.0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LUBRIFICANTE SAE 10W PARA USO EM SISTEMAS HIDRÁULICOS, CONVERSORES DE TORQUE, COMANDOS FINAIS E SISTEMAS DE TRANSMISSÃO DE EQUIPAMENTOS DE TERRAPLANAGEM; ADITIVAÇÃO ANTIDESGASTE, ANTICORROSIVA, ANTIESPUMANTE, ALÉM DE CONTAR COM PROPRIEDADES ANTIFRICÇÃO.</w:t>
              <w:br/>
              <w:t>PONTO DE FULGOR MAIOR OU IGUAL 210 °C;</w:t>
              <w:br/>
              <w:t>VISCOSIDADE A 40°C (CST) ENTRE 34 E 44;</w:t>
              <w:br/>
              <w:t>VISCOSIDADE A 100°C (CST) ENTRE 5,9 E 7;</w:t>
              <w:br/>
              <w:t>ÍNDICE DE VISCOSIDADE ENTRE 104 E 118;</w:t>
              <w:br/>
              <w:t>CLASSIFICAÇÃO DE DESEMPENHO: ALLISON C-4, CAT TO-4 E KOMATSU KES 07.868.1;</w:t>
              <w:br/>
              <w:t>EMBALAGEM: 200 LITROS (TAMBOR);</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TONEL</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R$ 6.242,10</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R$ 124.842,00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11.0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8551.0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FLUIDO PARA FREIO ESPECIAL DOT 4, SINTÉTICO, PARA USO EM FREIOS A DISCO, TAMBOR OU ABS, QUE EQUIPAM CARROS DE PASSEIO, ÔNIBUS, CAMINHÕES OU MOTOCICLETAS. </w:t>
              <w:br/>
              <w:t>PONTO DE EBULIÇÃO (ºC) MAIOR QUE 252;</w:t>
              <w:br/>
              <w:t>VISCOSIDADE A - 40ºC (CST) ENTRE 881 E 1025;</w:t>
              <w:br/>
              <w:t>VISCOSIDADE A 100ºC (CST) ENTRE 2,0 E 2,4;</w:t>
              <w:br/>
              <w:t>CLASSIFICAÇÃO DE DESEMPENHO: SAE J1704, FMVSS 116, NBR 9292;</w:t>
              <w:br/>
              <w:t>EMBALAGEM: 500 ML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FRASCO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R$ 32,39</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R$ 3.239,00</w:t>
            </w:r>
          </w:p>
        </w:tc>
      </w:tr>
      <w:tr>
        <w:trPr>
          <w:trHeight w:val="2686"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12.0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8628.0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LUBRIFICANTE MINERAL PARA TRANSMISSÃO/DIFERENCIAL, VISCOSIDADE SAE 10W30. CLASSIFICAÇÃO DE DESEMPENHO: API GL-4, ALLISON C-4, CATERPILLAR TO-2, MASSEY FERGUSON CMS M1143, JOHN DEERE JDM J20C, ZF TE-ML 03E (TRANSMISSÕES POWERSHIFT DE VEÍCULOS ESPECIAIS, OFF-ROAD E EMPILHADEIRAS), ZF TE-ML 05F (EIXOS DE VEÍCULOS OFF-ROAD), ZF TE-ML 17E (EIXOS DE EMPILHADEIRAS), ZF TE-ML 21F (EIXOS PARA TRATORES);</w:t>
              <w:br/>
              <w:t>VISCOSIDADE A 40°C, CST, ENTRE 58,9 E 62,5;</w:t>
              <w:br/>
              <w:t xml:space="preserve">VISCOSIDADE A 100°C, CST, ENTRE 9,3 E 9,8; </w:t>
              <w:br/>
              <w:t>ÍNDICE DE VISCOSIDADE ENTRE 131 E 150;</w:t>
              <w:br/>
              <w:t>PONTO DE FLUIDEZ MENOR OU IGUAL A - 36°C;</w:t>
              <w:br/>
              <w:t xml:space="preserve">PONTO DE FULGOR MAIOR OU IGUAL A 220 °C; </w:t>
              <w:br/>
              <w:t>EMBALAGEM: 20 LITROS (GALAO);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GALAO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50.0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R$ 467,97</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R$ 23.398,50</w:t>
            </w:r>
          </w:p>
        </w:tc>
      </w:tr>
      <w:tr>
        <w:trPr>
          <w:trHeight w:val="2550"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13.0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9266.0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LUBRIFICANTE SAE 85W140 PARA LUBRIFICAÇÃO DE DIFERENCIAIS CONVENCIONAIS, CAIXAS DE TRANSMISSÕES E CAIXAS DE TRANSFERÊNCIA DE VEÍCULOS PESADOS, RODOVIÁRIOS OU DO TIPO &amp;#8220;FORA-DE-ESTRADA&amp;#8221;. </w:t>
              <w:br/>
              <w:t xml:space="preserve">VISCOSIDADE CINEMÁTICA 100°C (CST) ENTRE 25,0 E 28,0; </w:t>
              <w:br/>
              <w:t xml:space="preserve">VISCOSIDADE CINEMÁTICA 40°C (CST) ENTRE 347 E 393;  ÍNDICE DE VISCOSIDADE ENTRE 92 E 101; </w:t>
              <w:br/>
              <w:t xml:space="preserve">PONTO DE FLUIDEZ MENOR OU IGUAL A &amp;#8211;12°C; PONTO DE FULGOR MAIOR OU IGUAL A 200 °C; </w:t>
              <w:br/>
              <w:t>CLASSIFICAÇÃO DE DESEMPENHO: API GL-5, API MT-1, SAE J2360, MIL-PRF-2105E; EMBALAGEM: 20 LITROS (BALDE);</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GALAO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R$ 480,86</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R$ 9.617,20</w:t>
            </w:r>
          </w:p>
        </w:tc>
      </w:tr>
      <w:tr>
        <w:trPr>
          <w:trHeight w:val="1875"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14.0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13046.0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ÓLEO LUBRIFICANTE SEMI SINTÉTICO MULTI VISCOSO SAE 15W40 API SL PARA USO EM MOTORES A GASOLINA E ETANOL, COM INJEÇÃO ELETRÔNICA. VISCOSIDADE 100°C CST 14,99 </w:t>
              <w:br/>
              <w:t xml:space="preserve">VISCOSIDADE 40°C CST 104,0 </w:t>
              <w:br/>
              <w:t xml:space="preserve">ÍNDICE DE VISCOSIDADE ENTRE 151 E 20°C  </w:t>
              <w:br/>
              <w:t xml:space="preserve">PONTO DE FLUIDEZ MENOR OU IGUAL A 18 °C </w:t>
              <w:br/>
              <w:t xml:space="preserve">PONTO DE FULGOR MAIOR OU IGUAL A 240 °C </w:t>
              <w:br/>
              <w:t xml:space="preserve"> 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350.0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R$ 24,38</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R$ 8.533,00</w:t>
            </w:r>
          </w:p>
        </w:tc>
      </w:tr>
      <w:tr>
        <w:trPr>
          <w:trHeight w:val="1970"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15.0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13047.0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FLUÍDO HIDRÁULICO, TIPO ATF, PARA TRANSMISSÕES AUTOMÁTICAS E SISTEMAS DE DIREÇÃO HIDRÁULICA DE VEÍCULOS LEVES, CAMINHÕES, ÔNIBUS E VEÍCULOS OFF-ROAD. CLASSIFICAÇÃO DE DESEMPENHO: ALLISON C-4, GM DEXRON III E FORD MERCON; </w:t>
              <w:br/>
              <w:t>VISCOSIDADE A 40°C, CST, ENTRE 32,8 E 39,8;</w:t>
              <w:br/>
              <w:t xml:space="preserve">VISCOSIDADE A 100°C, CST, ENTRE 7,0 E 7,8; </w:t>
              <w:br/>
              <w:t>ÍNDICE DE VISCOSIDADE ENTRE 170 E 183;</w:t>
              <w:br/>
              <w:t>PONTO DE FLUIDEZ MENOR OU IGUAL A - 48 °C;</w:t>
              <w:br/>
              <w:t xml:space="preserve">PONTO DE FULGOR MAIOR OU IGUAL A 180 °C; </w:t>
              <w:br/>
              <w:t>EMBALAGEM: 20 LITROS (BALDE);</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GALAO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8.0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R$ 374,33</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R$ 2.994,64</w:t>
            </w:r>
          </w:p>
        </w:tc>
      </w:tr>
      <w:tr>
        <w:trPr>
          <w:trHeight w:val="3406"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16.0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10815.0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SINTÉTICO SAE 75W90 PARA APLICAÇÃO EM EIXOS DIFERENCIAIS CONVENCIONAIS, EIXOS FINAIS E REDUTORES QUANTO EM CAIXAS DE MUDANÇA MANUAIS (SINCRONIZADAS OU NÃO SINCRONIZADAS) E AUTOMATIZADAS.</w:t>
              <w:br/>
              <w:t>DENSIDADE, ASTM D4052, (G/ML) ENTRE 0,85 E 0,88;</w:t>
              <w:br/>
              <w:t>VISCOSIDADE A 100 °C, MM²/S (CST) ENTRE 15,4 E 18,2;</w:t>
              <w:br/>
              <w:t>VISCOSIDADE A 40 °C, MM²/S (CST) ENTRE 103 E 108;</w:t>
              <w:br/>
              <w:t>ÍNDICE DE VISCOSIDADE ENTRE 153 E 158;</w:t>
              <w:br/>
              <w:t>PONTO DE FLUIDEZ MENOR OU IGUAL A -45 °C;</w:t>
              <w:br/>
              <w:t>PONTO DE FULGOR MAIOR OU IGUAL A 135 °C;</w:t>
              <w:br/>
              <w:t>CLASSIFICAÇÃO DE DESEMPENHO: SAE J2360, API GL-4/GL-5/MT-1, MIL PRF-2105E, MAN 341 TIPO Z2, MAN 342 TIPO S1, APROVAÇÃO MB 235.8, MERITOR O76N, SCANIA STO 1:0, VOLVO 97312, ZF TE-ML (02B, 05A, 07A, 12L, 12N, 16F, 17B, 19C), DETROIT DIESEL DFS93K219.01;</w:t>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R$ 58,33</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R$ 11.666,00</w:t>
            </w:r>
          </w:p>
        </w:tc>
      </w:tr>
      <w:tr>
        <w:trPr>
          <w:trHeight w:val="2507"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17.0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160794.0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LUBRIFICANTE SINTÉTICO PARA MOTOR SAE 10W40 DESENVOLVIDO PARA ATENDER AOS MAIS RECENTES REQUERIMENTOS DE LUBRIFICAÇÃO DOS MODERNOS MOTORES DE QUATRO TEMPOS FLEX, À GASOLINA, ETANOL OU GNV, PRINCIPALMENTE AQUELES EQUIPADOS COM INJEÇÃO DIRETA E/OU TURBOCOMPRESSOR.</w:t>
              <w:br/>
              <w:t>DENSIDADE RELATIVA À 15°C (KG/L) ENTRE 0,840 E 0,870;</w:t>
              <w:br/>
              <w:t>VISCOSIDADE A 100ºC (CST) ENTRE 10,1 E 14,85;</w:t>
              <w:br/>
              <w:t xml:space="preserve">VISCOSIDADE A 40ºC (CST) ENTRE 80,0 E 92; </w:t>
              <w:br/>
              <w:t>ÍNDICE DE VISCOSIDADE ENTRE 155 E 180;</w:t>
              <w:br/>
              <w:t>PONTO DE FLUIDEZ MENOR OU IGUAL A -33 °C;</w:t>
              <w:br/>
              <w:t>PONTO DE FULGOR MAIOR OU IGUAL A 226;</w:t>
              <w:br/>
              <w:t>CLASSIFICAÇÃO DE DESEMPENHO: AP SM;</w:t>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R$ 30,56</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R$ 9.168,00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18.0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164935.0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ÓLEO LUBRIFICANTE DE MOTOR, CICLO DIESEL, VISCOSIDADE SAE 15W40. DESEMPENHO API CK-4, ACEA E9-16, CATERPILLAR ECF-3, CUMMINS CES 20086, MB-APPRO VAL 228.31 E VOLVO VDS-4.5; </w:t>
              <w:br/>
              <w:t>VISCOSIDADE A 40°C, CST, ENTRE 111,8 E 114,2;</w:t>
              <w:br/>
              <w:t xml:space="preserve">VISCOSIDADE A 100°C, CST, ENTRE 14,5 E 15,7; </w:t>
              <w:br/>
              <w:t>ÍNDICE DE VISCOSIDADE ENTRE 133,9 E 136,1;</w:t>
              <w:br/>
              <w:t>PONTO DE FLUIDEZ MENOR OU IGUAL A - 39°C;</w:t>
              <w:br/>
              <w:t xml:space="preserve">PONTO DE FULGOR MAIOR OU IGUAL A 202°C; </w:t>
              <w:br/>
              <w:t>EMBALAGEM: 20 LITROS (GALÃO);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180.0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R$ 410,71</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R$ 73.927,80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19.0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174123.0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LÍQUIDO DE ARREFECIMENTO PRONTO PARA USO (PREMIX/DILUÍDO 50/50 EM ÁGUA DESMINERALIZADA/DEIONIZADA), A BASE DE MONOETILENOGLICOL/ ETILENOGLICOL E DE INIBIDORES DE CORROSÃO ORGÂNICOS (OAT) PARA LINHA LEVE E PESADA. ISENTO DE NITRITO, FOSFATO. PROTEÇÃO CONTRA CORROSÃO, CONTRA CAVITAÇÃO E CONTRA FORMAÇÃO DE ESPUMA. PONTO DE EBULIÇÃO MAIOR OU IGUAL A 108 °C;</w:t>
              <w:br/>
              <w:t>PONTO DE CONGELAMENTO MENOR OU IGUAL A -37 °C;</w:t>
              <w:br/>
              <w:t>PH ENTRE 7,4 E 9,6;</w:t>
              <w:br/>
              <w:t>NÍVEIS DE DESEMPENHO: ASTM D3306, ABNT NBR 14261;</w:t>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R$ 18,92</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R$ 5.676,00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20.0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174245.0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LUBRIFICANTE SAE 5W30 ESPECIALMENTE DESENVOLVIDO PARA MOTORES DIESEL EQUIPADOS COM FILTRO DE PARTÍCULAS.</w:t>
              <w:br/>
              <w:t>DENSIDADE A 15°C (G/ML) ENTRE 0,84 E 0,86;</w:t>
              <w:br/>
              <w:t>VISCOSIDADE CINEMÁTICA A 40°C (MM²/S) ENTRE 67,8 E 73;</w:t>
              <w:br/>
              <w:t>VISCOSIDADE CINEMÁTICA A 100°C (MM²/S) ENTRE 12,0 E 12,5;</w:t>
              <w:br/>
              <w:t>PONTO DE FULGOR MAIOR OU IGUAL A 196 °C;</w:t>
              <w:br/>
              <w:t>PONTO DE FLUIDEZ MENOR OU IGUAL A -36 °C;</w:t>
              <w:br/>
              <w:t>CLASSIFICAÇÃO DE DESEMPENHO: ACEA C4, RENAULT: RN0720, MB-APPROVAL 226.51;</w:t>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R$ 37,48</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R$ 11.244,00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21.0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176115.0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 xml:space="preserve">ÓLEO SINTÉTICO SAE 5W30 PARA MOTORES A GASOLINA, ETANOL, FLEX E GNV . </w:t>
              <w:br/>
              <w:t>VISCOSIDADE A 40ºC, CST, ENTRE 58,5 E64,1; ÍNDICE DE VISCOSIDADE A 100ºC, CST, ENTRE 10 E 11,1; ÍNDICE DE VISCOSIDADE  ENTRE 159,8 E 166,2; PONTO DE FLUIDEZ IGUA A -33ºC; PONTO DE FULGOR MAIOR OU IGUAL A 224ºC ;CLASSIFICAÇÃO DE DESEMPENHO: IGUAL OU SUPERIOR API SN;</w:t>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300.0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R$ 31,69</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R$ 9.507,00</w:t>
            </w:r>
          </w:p>
        </w:tc>
      </w:tr>
      <w:tr>
        <w:trPr>
          <w:trHeight w:val="3318" w:hRule="atLeast"/>
        </w:trPr>
        <w:tc>
          <w:tcPr>
            <w:tcW w:w="703"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22.0</w:t>
            </w:r>
          </w:p>
        </w:tc>
        <w:tc>
          <w:tcPr>
            <w:tcW w:w="82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176168.0</w:t>
            </w:r>
          </w:p>
        </w:tc>
        <w:tc>
          <w:tcPr>
            <w:tcW w:w="4650"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ÓLEO LUBRIFICANTE SINTÉTICO PARA MOTOR SAE 0W20 DESENVOLVIDO PARA ATENDER AOS MAIS RECENTES REQUERIMENTOS DE LUBRIFICAÇÃO DOS MODERNOS MOTORES DE QUATRO TEMPOS FLEX, À GASOLINA, ETANOL OU GNV, PRINCIPALMENTE AQUELES EQUIPADOS COM INJEÇÃO DIRETA E/OU TURBOCOMPRESSOR.</w:t>
              <w:br/>
              <w:t>DENSIDADE RELATIVA À 15°C (KG/L) ENTRE 0,840 E 0,850;</w:t>
              <w:br/>
              <w:t>VISCOSIDADE A 100ºC (CST) ENTRE 7,1 E 8,7;</w:t>
              <w:br/>
              <w:t>VISCOSIDADE A 40ºC (CST) ENTRE 37,0 E 45,0;</w:t>
              <w:br/>
              <w:t>ÍNDICE DE VISCOSIDADE ENTRE 165 E 174;</w:t>
              <w:br/>
              <w:t>PONTO DE FLUIDEZ MENOR OU IGUAL A -39 °C;</w:t>
              <w:br/>
              <w:t>PONTO DE FULGOR MAIOR OU IGUAL A 203;</w:t>
              <w:br/>
              <w:t>CLASSIFICAÇÃO DE DESEMPENHO: API SP, ILSAC GF-6A, FORD WSS-M2C947-A, GM DEXOS 1 GEN 2 OU GEN 3 (DEVERÁ CONSTAR O NÚMERO DA LICENÇA GM DEXOS NA FICHA TÉCNICA);</w:t>
              <w:br/>
              <w:br/>
              <w:t>EMBALAGEM: 1 LITRO (FRASCO);</w:t>
            </w:r>
          </w:p>
        </w:tc>
        <w:tc>
          <w:tcPr>
            <w:tcW w:w="914"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LITRO</w:t>
            </w:r>
          </w:p>
        </w:tc>
        <w:tc>
          <w:tcPr>
            <w:tcW w:w="736"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240.0</w:t>
            </w:r>
          </w:p>
        </w:tc>
        <w:tc>
          <w:tcPr>
            <w:tcW w:w="1009" w:type="dxa"/>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R$ 47,29</w:t>
            </w:r>
          </w:p>
        </w:tc>
        <w:tc>
          <w:tcPr>
            <w:tcW w:w="955" w:type="dxa"/>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sz w:val="18"/>
                <w:szCs w:val="18"/>
              </w:rPr>
              <w:t>R$ 11.349,60</w:t>
            </w:r>
          </w:p>
        </w:tc>
      </w:tr>
      <w:tr>
        <w:trPr>
          <w:trHeight w:val="256" w:hRule="atLeast"/>
        </w:trPr>
        <w:tc>
          <w:tcPr>
            <w:tcW w:w="7827" w:type="dxa"/>
            <w:gridSpan w:val="5"/>
            <w:tcBorders>
              <w:left w:val="single" w:sz="4" w:space="0" w:color="000000"/>
              <w:bottom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TOTAL ESTIMADO</w:t>
            </w:r>
          </w:p>
        </w:tc>
        <w:tc>
          <w:tcPr>
            <w:tcW w:w="1964" w:type="dxa"/>
            <w:gridSpan w:val="2"/>
            <w:tcBorders>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Arial" w:hAnsi="Arial"/>
                <w:sz w:val="18"/>
                <w:szCs w:val="18"/>
              </w:rPr>
            </w:pPr>
            <w:r>
              <w:rPr>
                <w:rFonts w:ascii="Arial" w:hAnsi="Arial"/>
                <w:b/>
                <w:sz w:val="18"/>
                <w:szCs w:val="18"/>
              </w:rPr>
              <w:t>R$ 521.818,14</w:t>
            </w:r>
          </w:p>
        </w:tc>
      </w:tr>
    </w:tbl>
    <w:p>
      <w:pPr>
        <w:pStyle w:val="Normal"/>
        <w:spacing w:lineRule="auto" w:line="276" w:before="0" w:after="0"/>
        <w:jc w:val="both"/>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2. DAS CONDIÇÕES PARA PARTICIPAÇÃO </w:t>
      </w:r>
    </w:p>
    <w:p>
      <w:pPr>
        <w:pStyle w:val="Normal"/>
        <w:spacing w:lineRule="auto" w:line="276"/>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276"/>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276"/>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 xml:space="preserve">A participação no pregão está condicionada obrigatoriamente a inscrição e credenciamento do licitante, até o limite de horário previsto no edital </w:t>
      </w:r>
    </w:p>
    <w:p>
      <w:pPr>
        <w:pStyle w:val="Normal"/>
        <w:spacing w:lineRule="auto" w:line="276"/>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276"/>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276"/>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3. DO EDITAL</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4. DO CRITÉRIO DE JULGAMENTO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5. DO CREDENCIAMENTO NO SISTEMA DE LICITAÇÕES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276"/>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276"/>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276"/>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276"/>
        <w:jc w:val="both"/>
        <w:textAlignment w:val="top"/>
        <w:rPr>
          <w:rFonts w:ascii="Arial" w:hAnsi="Arial"/>
          <w:sz w:val="22"/>
          <w:szCs w:val="22"/>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276"/>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276"/>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276"/>
        <w:jc w:val="both"/>
        <w:textAlignment w:val="top"/>
        <w:rPr>
          <w:rFonts w:cs="Arial"/>
          <w:b/>
          <w:bCs/>
          <w:color w:val="000000"/>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276"/>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276"/>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276"/>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276"/>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276"/>
        <w:jc w:val="both"/>
        <w:textAlignment w:val="top"/>
        <w:rPr>
          <w:rFonts w:cs="Arial"/>
          <w:b/>
          <w:bCs/>
          <w:color w:val="000000"/>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276"/>
        <w:jc w:val="both"/>
        <w:textAlignment w:val="top"/>
        <w:rPr>
          <w:rFonts w:cs="Arial"/>
          <w:b/>
          <w:color w:val="000000"/>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276"/>
        <w:jc w:val="both"/>
        <w:textAlignment w:val="top"/>
        <w:rPr>
          <w:rFonts w:cs="Arial"/>
          <w:b/>
          <w:color w:val="000000"/>
        </w:rPr>
      </w:pPr>
      <w:r>
        <w:rPr>
          <w:rFonts w:ascii="Arial" w:hAnsi="Arial"/>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Default"/>
        <w:spacing w:lineRule="auto" w:line="276"/>
        <w:jc w:val="both"/>
        <w:rPr>
          <w:rFonts w:ascii="Arial" w:hAnsi="Arial"/>
          <w:sz w:val="22"/>
          <w:szCs w:val="22"/>
        </w:rPr>
      </w:pPr>
      <w:r>
        <w:rPr>
          <w:rFonts w:cs="Arial" w:ascii="Arial" w:hAnsi="Arial"/>
          <w:b/>
          <w:bCs/>
          <w:sz w:val="22"/>
          <w:szCs w:val="22"/>
          <w:shd w:fill="auto" w:val="clear"/>
        </w:rPr>
        <w:t xml:space="preserve">6.15.5 Qualificação Técnica </w:t>
      </w:r>
    </w:p>
    <w:p>
      <w:pPr>
        <w:pStyle w:val="Normal"/>
        <w:spacing w:lineRule="auto" w:line="276"/>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será solicitado.</w:t>
      </w:r>
    </w:p>
    <w:p>
      <w:pPr>
        <w:pStyle w:val="Normal"/>
        <w:spacing w:lineRule="auto" w:line="276"/>
        <w:jc w:val="both"/>
        <w:textAlignment w:val="top"/>
        <w:rPr>
          <w:rFonts w:ascii="Arial" w:hAnsi="Arial"/>
          <w:color w:val="000000"/>
          <w:sz w:val="22"/>
          <w:szCs w:val="22"/>
        </w:rPr>
      </w:pPr>
      <w:r>
        <w:rPr>
          <w:rFonts w:ascii="Arial" w:hAnsi="Arial"/>
          <w:color w:val="000000"/>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276"/>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276"/>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7. DO PREENCHIMENTO DA PROPOSTA NO SISTEMA</w:t>
      </w:r>
    </w:p>
    <w:p>
      <w:pPr>
        <w:pStyle w:val="Normal"/>
        <w:spacing w:lineRule="auto" w:line="276"/>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276"/>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8. ABERTURA DA SESSÃO PÚBLICA</w:t>
      </w:r>
    </w:p>
    <w:p>
      <w:pPr>
        <w:pStyle w:val="Default"/>
        <w:spacing w:lineRule="auto" w:line="276"/>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276"/>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276"/>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9. CLASSIFICAÇÃO INICIAL DAS PROPOSTAS E FORMULAÇÃO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276"/>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276"/>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276"/>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276"/>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276"/>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276"/>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276"/>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276"/>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276"/>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276"/>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276"/>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276"/>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276"/>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276"/>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276"/>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276"/>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276"/>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10. MODO DE DISPUTA </w:t>
      </w:r>
    </w:p>
    <w:p>
      <w:pPr>
        <w:pStyle w:val="Default"/>
        <w:spacing w:lineRule="auto" w:line="276"/>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276"/>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276"/>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276"/>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276"/>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276"/>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276"/>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11. CRITÉRIOS DE DESEMPATE </w:t>
      </w:r>
    </w:p>
    <w:p>
      <w:pPr>
        <w:pStyle w:val="Default"/>
        <w:spacing w:lineRule="auto" w:line="276"/>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276"/>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276"/>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276"/>
        <w:jc w:val="both"/>
        <w:rPr>
          <w:rFonts w:ascii="Arial" w:hAnsi="Arial"/>
          <w:sz w:val="22"/>
          <w:szCs w:val="22"/>
        </w:rPr>
      </w:pPr>
      <w:r>
        <w:rPr>
          <w:rFonts w:cs="Arial" w:ascii="Arial" w:hAnsi="Arial"/>
          <w:sz w:val="22"/>
          <w:szCs w:val="22"/>
        </w:rPr>
        <w:t xml:space="preserve"> </w:t>
      </w: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276"/>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276"/>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276"/>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276"/>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empresas que comprovem a prática de mitigação, nos termos da Lei nº 12.187, de 29 de dezembro de 2009.</w:t>
      </w:r>
    </w:p>
    <w:p>
      <w:pPr>
        <w:pStyle w:val="Default"/>
        <w:spacing w:lineRule="auto" w:line="276"/>
        <w:jc w:val="both"/>
        <w:rPr>
          <w:rFonts w:ascii="Arial" w:hAnsi="Arial" w:cs="Arial"/>
          <w:sz w:val="22"/>
          <w:szCs w:val="22"/>
        </w:rPr>
      </w:pPr>
      <w:r>
        <w:rPr>
          <w:rFonts w:cs="Arial"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12. NEGOCIAÇÃO E JULGAMENTO </w:t>
      </w:r>
    </w:p>
    <w:p>
      <w:pPr>
        <w:pStyle w:val="Default"/>
        <w:spacing w:lineRule="auto" w:line="276"/>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276"/>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276"/>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276"/>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276"/>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13. VERIFICAÇÃO DE HABILITAÇÃO </w:t>
      </w:r>
    </w:p>
    <w:p>
      <w:pPr>
        <w:pStyle w:val="Normal"/>
        <w:spacing w:lineRule="auto" w:line="276"/>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276"/>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276"/>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276"/>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276"/>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276"/>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276"/>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276"/>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276"/>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276"/>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276"/>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276"/>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276"/>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76"/>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276"/>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276"/>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276"/>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jc w:val="both"/>
        <w:rPr>
          <w:rFonts w:ascii="Arial" w:hAnsi="Arial"/>
          <w:sz w:val="22"/>
          <w:szCs w:val="22"/>
        </w:rPr>
      </w:pPr>
      <w:r>
        <w:rPr>
          <w:rFonts w:ascii="Arial" w:hAnsi="Arial"/>
          <w:sz w:val="22"/>
          <w:szCs w:val="22"/>
        </w:rPr>
        <w:t xml:space="preserve">14. RECURSO </w:t>
      </w:r>
    </w:p>
    <w:p>
      <w:pPr>
        <w:pStyle w:val="Normal"/>
        <w:spacing w:lineRule="auto" w:line="276"/>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276"/>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276"/>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276"/>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276"/>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276"/>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276"/>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276"/>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spacing w:lineRule="auto" w:line="276"/>
        <w:jc w:val="both"/>
        <w:rPr>
          <w:rFonts w:ascii="Arial" w:hAnsi="Arial"/>
          <w:sz w:val="22"/>
          <w:szCs w:val="22"/>
        </w:rPr>
      </w:pPr>
      <w:r>
        <w:rPr>
          <w:rFonts w:ascii="Arial" w:hAnsi="Arial"/>
          <w:sz w:val="22"/>
          <w:szCs w:val="22"/>
        </w:rPr>
      </w:r>
    </w:p>
    <w:p>
      <w:pPr>
        <w:pStyle w:val="Default"/>
        <w:numPr>
          <w:ilvl w:val="0"/>
          <w:numId w:val="1"/>
        </w:numPr>
        <w:spacing w:lineRule="auto" w:line="276"/>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276"/>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276"/>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276"/>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276"/>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276"/>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Default"/>
        <w:spacing w:lineRule="auto" w:line="276"/>
        <w:jc w:val="both"/>
        <w:rPr>
          <w:rFonts w:ascii="Arial" w:hAnsi="Arial"/>
          <w:sz w:val="22"/>
          <w:szCs w:val="22"/>
        </w:rPr>
      </w:pPr>
      <w:r>
        <w:rPr>
          <w:rFonts w:ascii="Arial" w:hAnsi="Arial"/>
          <w:sz w:val="22"/>
          <w:szCs w:val="22"/>
        </w:rPr>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276"/>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276"/>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ascii="Arial" w:hAnsi="Arial"/>
          <w:sz w:val="22"/>
          <w:szCs w:val="22"/>
        </w:rPr>
      </w:r>
    </w:p>
    <w:p>
      <w:pPr>
        <w:pStyle w:val="Default"/>
        <w:spacing w:lineRule="auto" w:line="276"/>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276"/>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276"/>
        <w:jc w:val="both"/>
        <w:rPr>
          <w:rFonts w:ascii="Arial" w:hAnsi="Arial"/>
          <w:sz w:val="22"/>
          <w:szCs w:val="22"/>
        </w:rPr>
      </w:pPr>
      <w:r>
        <w:rPr>
          <w:rFonts w:ascii="Arial" w:hAnsi="Arial"/>
          <w:sz w:val="22"/>
          <w:szCs w:val="22"/>
        </w:rPr>
      </w:r>
    </w:p>
    <w:p>
      <w:pPr>
        <w:pStyle w:val="Default"/>
        <w:numPr>
          <w:ilvl w:val="0"/>
          <w:numId w:val="1"/>
        </w:numPr>
        <w:spacing w:lineRule="auto" w:line="276"/>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1"/>
        </w:numPr>
        <w:spacing w:lineRule="auto" w:line="276"/>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1"/>
        </w:numPr>
        <w:spacing w:lineRule="auto" w:line="276"/>
        <w:jc w:val="both"/>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20. </w:t>
      </w:r>
      <w:r>
        <w:rPr>
          <w:rFonts w:cs="Arial" w:ascii="Arial" w:hAnsi="Arial"/>
          <w:b/>
          <w:color w:val="000000"/>
          <w:sz w:val="22"/>
          <w:szCs w:val="22"/>
          <w:shd w:fill="auto" w:val="clear"/>
        </w:rPr>
        <w:t xml:space="preserve">DO CANCELAMENTO DO REGISTRO DO FORNECEDOR E DOS PREÇOS REGISTRADOS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1"/>
        </w:numPr>
        <w:spacing w:lineRule="auto" w:line="276"/>
        <w:ind w:left="0" w:right="0" w:hanging="0"/>
        <w:rPr>
          <w:rFonts w:ascii="Arial" w:hAnsi="Arial"/>
          <w:sz w:val="22"/>
          <w:szCs w:val="22"/>
        </w:rPr>
      </w:pPr>
      <w:r>
        <w:rPr>
          <w:rFonts w:cs="Arial" w:ascii="Arial" w:hAnsi="Arial"/>
          <w:b/>
          <w:color w:val="000000"/>
          <w:sz w:val="22"/>
          <w:szCs w:val="22"/>
          <w:shd w:fill="auto" w:val="clear"/>
        </w:rPr>
        <w:t xml:space="preserve">20.6. </w:t>
      </w:r>
      <w:r>
        <w:rPr>
          <w:rFonts w:cs="Arial" w:ascii="Arial" w:hAnsi="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19c6y18"/>
      <w:bookmarkStart w:id="2" w:name="_3tbugp1"/>
      <w:bookmarkStart w:id="3" w:name="_46r0co2"/>
    </w:p>
    <w:p>
      <w:pPr>
        <w:pStyle w:val="Normal"/>
        <w:spacing w:lineRule="auto" w:line="276"/>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rPr>
        <w:t xml:space="preserve">21. </w:t>
      </w:r>
      <w:r>
        <w:rPr>
          <w:rFonts w:cs="Arial" w:ascii="Arial" w:hAnsi="Arial"/>
          <w:b/>
          <w:color w:val="000000"/>
          <w:sz w:val="22"/>
          <w:szCs w:val="22"/>
          <w:shd w:fill="auto" w:val="clear"/>
        </w:rPr>
        <w:t xml:space="preserve">DA CONTRATAÇÃO DECORRENTE DA ATA DE REGISTRO DE PREÇOS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1"/>
        </w:numPr>
        <w:spacing w:lineRule="auto" w:line="276"/>
        <w:ind w:left="0" w:right="0" w:hanging="0"/>
        <w:rPr>
          <w:rFonts w:ascii="Arial" w:hAnsi="Arial"/>
          <w:sz w:val="22"/>
          <w:szCs w:val="22"/>
        </w:rPr>
      </w:pPr>
      <w:r>
        <w:rPr>
          <w:rFonts w:cs="Arial" w:ascii="Arial" w:hAnsi="Arial"/>
          <w:b/>
          <w:color w:val="000000"/>
          <w:sz w:val="22"/>
          <w:szCs w:val="22"/>
          <w:shd w:fill="auto" w:val="clear"/>
        </w:rPr>
        <w:t xml:space="preserve">21.3 </w:t>
      </w:r>
      <w:r>
        <w:rPr>
          <w:rFonts w:cs="Arial" w:ascii="Arial" w:hAnsi="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rFonts w:ascii="Arial" w:hAnsi="Arial"/>
          <w:sz w:val="22"/>
          <w:szCs w:val="22"/>
          <w:shd w:fill="auto" w:val="clear"/>
        </w:rPr>
        <w:t xml:space="preserve">22. </w:t>
      </w:r>
      <w:r>
        <w:rPr>
          <w:rFonts w:cs="Arial" w:ascii="Arial" w:hAnsi="Arial"/>
          <w:b/>
          <w:color w:val="000000"/>
          <w:sz w:val="22"/>
          <w:szCs w:val="22"/>
          <w:shd w:fill="auto" w:val="clear"/>
        </w:rPr>
        <w:t xml:space="preserve">DOS PRAZOS DE EXECUÇÃO E CONDIÇÕES DE PAGAMENTO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Normal"/>
        <w:spacing w:lineRule="auto" w:line="276"/>
        <w:jc w:val="both"/>
        <w:rPr>
          <w:rFonts w:ascii="Arial" w:hAnsi="Arial" w:cs="Arial"/>
          <w:sz w:val="22"/>
          <w:szCs w:val="22"/>
          <w:shd w:fill="FFFF00" w:val="clear"/>
        </w:rPr>
      </w:pPr>
      <w:r>
        <w:rPr>
          <w:rFonts w:cs="Arial" w:ascii="Arial" w:hAnsi="Arial"/>
          <w:sz w:val="22"/>
          <w:szCs w:val="22"/>
          <w:shd w:fill="FFFF00" w:val="clear"/>
        </w:rPr>
      </w:r>
    </w:p>
    <w:tbl>
      <w:tblPr>
        <w:tblW w:w="5000" w:type="pct"/>
        <w:jc w:val="left"/>
        <w:tblInd w:w="55" w:type="dxa"/>
        <w:tblLayout w:type="fixed"/>
        <w:tblCellMar>
          <w:top w:w="55" w:type="dxa"/>
          <w:left w:w="55" w:type="dxa"/>
          <w:bottom w:w="55" w:type="dxa"/>
          <w:right w:w="55" w:type="dxa"/>
        </w:tblCellMar>
      </w:tblPr>
      <w:tblGrid>
        <w:gridCol w:w="927"/>
        <w:gridCol w:w="832"/>
        <w:gridCol w:w="682"/>
        <w:gridCol w:w="845"/>
        <w:gridCol w:w="1364"/>
        <w:gridCol w:w="736"/>
        <w:gridCol w:w="1923"/>
        <w:gridCol w:w="1023"/>
        <w:gridCol w:w="1305"/>
      </w:tblGrid>
      <w:tr>
        <w:trPr/>
        <w:tc>
          <w:tcPr>
            <w:tcW w:w="927"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Sequência</w:t>
            </w:r>
          </w:p>
        </w:tc>
        <w:tc>
          <w:tcPr>
            <w:tcW w:w="832"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Dotação</w:t>
            </w:r>
          </w:p>
        </w:tc>
        <w:tc>
          <w:tcPr>
            <w:tcW w:w="682"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Órgão</w:t>
            </w:r>
          </w:p>
        </w:tc>
        <w:tc>
          <w:tcPr>
            <w:tcW w:w="845"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Unidade</w:t>
            </w:r>
          </w:p>
        </w:tc>
        <w:tc>
          <w:tcPr>
            <w:tcW w:w="1364"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Funcional</w:t>
            </w:r>
          </w:p>
        </w:tc>
        <w:tc>
          <w:tcPr>
            <w:tcW w:w="736"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Ação</w:t>
            </w:r>
          </w:p>
        </w:tc>
        <w:tc>
          <w:tcPr>
            <w:tcW w:w="1923"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Elemento</w:t>
            </w:r>
          </w:p>
        </w:tc>
        <w:tc>
          <w:tcPr>
            <w:tcW w:w="1023" w:type="dxa"/>
            <w:tcBorders>
              <w:top w:val="single" w:sz="4" w:space="0" w:color="000000"/>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Vínculo</w:t>
            </w:r>
          </w:p>
        </w:tc>
        <w:tc>
          <w:tcPr>
            <w:tcW w:w="1305"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b/>
                <w:color w:val="000000"/>
                <w:sz w:val="16"/>
                <w:szCs w:val="16"/>
              </w:rPr>
              <w:t>Elemento - Descrição</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0004.0122.0002</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2004</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42</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0004.0122.0009</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2010</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74</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4</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0004.0122.0007</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2013</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4</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119</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0004.0122.0010</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2021</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0004.0125.0010</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2024</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160</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0004.0127.0008</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2020</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7</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181</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0004.0122.0011</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2026</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230</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0017.0512.0018</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2034</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264</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0026.0782.0019</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2036</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10</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317</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4</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0026.0782.0021</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2039</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11</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318</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4</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0026.0782.0021</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2039</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17520000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12</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332</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7</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0012.0122.0022</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2041</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13</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372</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7</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0012.0361.0026</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2056</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14</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373</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7</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0012.0361.0026</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2056</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15500000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512</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0020.0122.0028</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2062</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536</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0020.0606.0029</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2074</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17</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574</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0018.0542.0047</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2097</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18</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659</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0010.0301.0036</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2088</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15001002</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19</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660</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0010.0301.0036</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2088</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16004500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661</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0010.0301.0036</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2088</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16214011</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22</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836</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10</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0008.0243.0042</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2102</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21</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859</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10</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0008.0122.0040</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2098</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16691184</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23</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927</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10</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0008.0244.0041</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2175</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16601069</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r>
        <w:trPr/>
        <w:tc>
          <w:tcPr>
            <w:tcW w:w="927"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24</w:t>
            </w:r>
          </w:p>
        </w:tc>
        <w:tc>
          <w:tcPr>
            <w:tcW w:w="83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997</w:t>
            </w:r>
          </w:p>
        </w:tc>
        <w:tc>
          <w:tcPr>
            <w:tcW w:w="682"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13</w:t>
            </w:r>
          </w:p>
        </w:tc>
        <w:tc>
          <w:tcPr>
            <w:tcW w:w="845"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w:t>
            </w:r>
          </w:p>
        </w:tc>
        <w:tc>
          <w:tcPr>
            <w:tcW w:w="1364"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0004.0122.0058</w:t>
            </w:r>
          </w:p>
        </w:tc>
        <w:tc>
          <w:tcPr>
            <w:tcW w:w="736"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2131</w:t>
            </w:r>
          </w:p>
        </w:tc>
        <w:tc>
          <w:tcPr>
            <w:tcW w:w="19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33390300100000000000</w:t>
            </w:r>
          </w:p>
        </w:tc>
        <w:tc>
          <w:tcPr>
            <w:tcW w:w="1023" w:type="dxa"/>
            <w:tcBorders>
              <w:left w:val="single" w:sz="4" w:space="0" w:color="000000"/>
              <w:bottom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15001000</w:t>
            </w:r>
          </w:p>
        </w:tc>
        <w:tc>
          <w:tcPr>
            <w:tcW w:w="1305" w:type="dxa"/>
            <w:tcBorders>
              <w:left w:val="single" w:sz="4" w:space="0" w:color="000000"/>
              <w:bottom w:val="single" w:sz="4" w:space="0" w:color="000000"/>
              <w:right w:val="single" w:sz="4" w:space="0" w:color="000000"/>
            </w:tcBorders>
          </w:tcPr>
          <w:p>
            <w:pPr>
              <w:pStyle w:val="Contedodatabela"/>
              <w:widowControl w:val="false"/>
              <w:spacing w:lineRule="auto" w:line="276"/>
              <w:jc w:val="center"/>
              <w:rPr>
                <w:rFonts w:ascii="Arial" w:hAnsi="Arial"/>
                <w:sz w:val="16"/>
                <w:szCs w:val="16"/>
              </w:rPr>
            </w:pPr>
            <w:r>
              <w:rPr>
                <w:rFonts w:ascii="Arial" w:hAnsi="Arial"/>
                <w:color w:val="000000"/>
                <w:sz w:val="16"/>
                <w:szCs w:val="16"/>
              </w:rPr>
              <w:t>Combustíveis e lubrificantes automotivos</w:t>
            </w:r>
          </w:p>
        </w:tc>
      </w:tr>
    </w:tbl>
    <w:p>
      <w:pPr>
        <w:pStyle w:val="Normal"/>
        <w:spacing w:lineRule="auto" w:line="276"/>
        <w:jc w:val="both"/>
        <w:rPr>
          <w:rFonts w:ascii="Arial" w:hAnsi="Arial" w:cs="Arial"/>
          <w:sz w:val="22"/>
          <w:szCs w:val="22"/>
          <w:shd w:fill="FFFF00" w:val="clear"/>
        </w:rPr>
      </w:pPr>
      <w:r>
        <w:rPr>
          <w:rFonts w:cs="Arial" w:ascii="Arial" w:hAnsi="Arial"/>
          <w:sz w:val="22"/>
          <w:szCs w:val="22"/>
          <w:shd w:fill="FFFF00" w:val="clear"/>
        </w:rPr>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276"/>
        <w:jc w:val="both"/>
        <w:rPr>
          <w:rFonts w:ascii="Arial" w:hAnsi="Arial"/>
          <w:sz w:val="22"/>
          <w:szCs w:val="22"/>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276"/>
        <w:jc w:val="both"/>
        <w:rPr>
          <w:rFonts w:ascii="Arial" w:hAnsi="Arial"/>
          <w:sz w:val="22"/>
          <w:szCs w:val="22"/>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276"/>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276"/>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276"/>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276"/>
        <w:jc w:val="both"/>
        <w:rPr>
          <w:rFonts w:ascii="Arial" w:hAnsi="Arial"/>
          <w:sz w:val="22"/>
          <w:szCs w:val="22"/>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276"/>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276"/>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276"/>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276"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276"/>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276"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276" w:before="0" w:after="0"/>
        <w:ind w:left="0" w:right="0" w:hanging="0"/>
        <w:jc w:val="both"/>
        <w:rPr>
          <w:rFonts w:ascii="Arial" w:hAnsi="Arial"/>
          <w:sz w:val="22"/>
          <w:szCs w:val="22"/>
        </w:rPr>
      </w:pPr>
      <w:r>
        <w:rPr>
          <w:rFonts w:ascii="Arial" w:hAnsi="Arial"/>
          <w:sz w:val="22"/>
          <w:szCs w:val="22"/>
        </w:rPr>
      </w:r>
    </w:p>
    <w:p>
      <w:pPr>
        <w:pStyle w:val="Normal"/>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6 de fevereiro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276"/>
        <w:jc w:val="center"/>
        <w:rPr>
          <w:rFonts w:ascii="Arial" w:hAnsi="Arial"/>
          <w:sz w:val="22"/>
          <w:szCs w:val="22"/>
        </w:rPr>
      </w:pPr>
      <w:r>
        <w:rPr>
          <w:rFonts w:cs="Arial" w:ascii="Arial" w:hAnsi="Arial"/>
          <w:color w:val="000000"/>
          <w:sz w:val="22"/>
          <w:szCs w:val="22"/>
        </w:rPr>
        <w:t>GILSON ADRIANO BECKER</w:t>
      </w:r>
    </w:p>
    <w:p>
      <w:pPr>
        <w:pStyle w:val="Normal"/>
        <w:tabs>
          <w:tab w:val="clear" w:pos="408"/>
          <w:tab w:val="left" w:pos="1134" w:leader="none"/>
        </w:tabs>
        <w:spacing w:lineRule="auto" w:line="276"/>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true"/>
        <w:spacing w:lineRule="auto" w:line="276"/>
        <w:ind w:left="0" w:right="0" w:hanging="0"/>
        <w:jc w:val="center"/>
        <w:rPr>
          <w:rFonts w:ascii="Arial" w:hAnsi="Arial"/>
          <w:sz w:val="22"/>
          <w:szCs w:val="22"/>
          <w:shd w:fill="auto" w:val="clear"/>
        </w:rPr>
      </w:pPr>
      <w:r>
        <w:rPr>
          <w:rFonts w:ascii="Arial" w:hAnsi="Arial"/>
          <w:sz w:val="22"/>
          <w:szCs w:val="22"/>
          <w:shd w:fill="auto" w:val="clear"/>
        </w:rPr>
      </w:r>
      <w:r>
        <w:br w:type="page"/>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shd w:fill="auto" w:val="clear"/>
        </w:rPr>
        <w:t>ANEXO I – TERMO DE REFERÊNCIA</w:t>
      </w:r>
    </w:p>
    <w:p>
      <w:pPr>
        <w:pStyle w:val="LO-normal1"/>
        <w:numPr>
          <w:ilvl w:val="0"/>
          <w:numId w:val="1"/>
        </w:numPr>
        <w:spacing w:lineRule="auto" w:line="276"/>
        <w:jc w:val="center"/>
        <w:rPr>
          <w:rFonts w:ascii="Arial" w:hAnsi="Arial"/>
          <w:sz w:val="22"/>
          <w:szCs w:val="22"/>
        </w:rPr>
      </w:pPr>
      <w:r>
        <w:rPr>
          <w:rFonts w:eastAsia="Arial" w:cs="Arial" w:ascii="Arial" w:hAnsi="Arial"/>
          <w:b/>
          <w:color w:val="000000"/>
          <w:sz w:val="22"/>
          <w:szCs w:val="22"/>
          <w:shd w:fill="auto" w:val="clear"/>
        </w:rPr>
        <w:t xml:space="preserve">Art.6°, XXIII e Art.40, § 1º, da Lei 14.133/21 </w:t>
      </w:r>
    </w:p>
    <w:p>
      <w:pPr>
        <w:pStyle w:val="LO-normal1"/>
        <w:numPr>
          <w:ilvl w:val="0"/>
          <w:numId w:val="1"/>
        </w:numPr>
        <w:spacing w:lineRule="auto" w:line="276"/>
        <w:jc w:val="center"/>
        <w:rPr>
          <w:rFonts w:ascii="Arial" w:hAnsi="Arial"/>
          <w:sz w:val="22"/>
          <w:szCs w:val="22"/>
        </w:rPr>
      </w:pPr>
      <w:r>
        <w:rPr>
          <w:rFonts w:eastAsia="Arial" w:cs="Arial" w:ascii="Arial" w:hAnsi="Arial"/>
          <w:b/>
          <w:color w:val="000000"/>
          <w:sz w:val="22"/>
          <w:szCs w:val="22"/>
          <w:shd w:fill="auto" w:val="clear"/>
        </w:rPr>
        <w:t>Município de Vera Cruz / RS</w:t>
      </w:r>
    </w:p>
    <w:p>
      <w:pPr>
        <w:pStyle w:val="LO-normal1"/>
        <w:numPr>
          <w:ilvl w:val="0"/>
          <w:numId w:val="1"/>
        </w:numPr>
        <w:spacing w:lineRule="auto" w:line="276"/>
        <w:jc w:val="center"/>
        <w:rPr>
          <w:rFonts w:ascii="Arial" w:hAnsi="Arial"/>
          <w:sz w:val="22"/>
          <w:szCs w:val="22"/>
        </w:rPr>
      </w:pPr>
      <w:r>
        <w:rPr>
          <w:rFonts w:eastAsia="Arial" w:cs="Arial" w:ascii="Arial" w:hAnsi="Arial"/>
          <w:b/>
          <w:color w:val="000000"/>
          <w:sz w:val="22"/>
          <w:szCs w:val="22"/>
          <w:shd w:fill="auto" w:val="clear"/>
        </w:rPr>
        <w:fldChar w:fldCharType="begin"/>
      </w:r>
      <w:r>
        <w:rPr>
          <w:sz w:val="22"/>
          <w:b/>
          <w:shd w:fill="auto" w:val="clear"/>
          <w:szCs w:val="22"/>
          <w:rFonts w:eastAsia="Arial" w:cs="Arial" w:ascii="Arial" w:hAnsi="Arial"/>
          <w:color w:val="000000"/>
        </w:rPr>
        <w:instrText xml:space="preserve"> DOCVARIABLE Qsecretaria </w:instrText>
      </w:r>
      <w:r>
        <w:rPr>
          <w:sz w:val="22"/>
          <w:b/>
          <w:shd w:fill="auto" w:val="clear"/>
          <w:szCs w:val="22"/>
          <w:rFonts w:eastAsia="Arial" w:cs="Arial" w:ascii="Arial" w:hAnsi="Arial"/>
          <w:color w:val="000000"/>
        </w:rPr>
        <w:fldChar w:fldCharType="separate"/>
      </w:r>
      <w:r>
        <w:rPr>
          <w:sz w:val="22"/>
          <w:b/>
          <w:shd w:fill="auto" w:val="clear"/>
          <w:szCs w:val="22"/>
          <w:rFonts w:eastAsia="Arial" w:cs="Arial" w:ascii="Arial" w:hAnsi="Arial"/>
          <w:color w:val="000000"/>
        </w:rPr>
        <w:t>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w:t>
      </w:r>
      <w:r>
        <w:rPr>
          <w:sz w:val="22"/>
          <w:b/>
          <w:shd w:fill="auto" w:val="clear"/>
          <w:szCs w:val="22"/>
          <w:rFonts w:eastAsia="Arial" w:cs="Arial" w:ascii="Arial" w:hAnsi="Arial"/>
          <w:color w:val="000000"/>
        </w:rPr>
        <w:fldChar w:fldCharType="end"/>
      </w:r>
    </w:p>
    <w:p>
      <w:pPr>
        <w:pStyle w:val="Corpodotexto"/>
        <w:numPr>
          <w:ilvl w:val="0"/>
          <w:numId w:val="1"/>
        </w:numPr>
        <w:spacing w:lineRule="auto" w:line="276" w:before="0" w:after="0"/>
        <w:jc w:val="center"/>
        <w:rPr>
          <w:rFonts w:ascii="Arial" w:hAnsi="Arial" w:cs="Times New Roman"/>
          <w:sz w:val="22"/>
          <w:szCs w:val="22"/>
          <w:highlight w:val="none"/>
          <w:shd w:fill="FFFF00" w:val="clear"/>
        </w:rPr>
      </w:pPr>
      <w:r>
        <w:rPr>
          <w:rFonts w:cs="Times New Roman" w:ascii="Arial" w:hAnsi="Arial"/>
          <w:sz w:val="22"/>
          <w:szCs w:val="22"/>
          <w:shd w:fill="FFFF00" w:val="clear"/>
        </w:rPr>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cs="Arial"/>
          <w:sz w:val="22"/>
          <w:szCs w:val="22"/>
        </w:rPr>
      </w:pPr>
      <w:r>
        <w:rPr>
          <w:rFonts w:cs="Arial" w:ascii="Arial" w:hAnsi="Arial"/>
          <w:sz w:val="22"/>
          <w:szCs w:val="22"/>
        </w:rPr>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sz w:val="22"/>
          <w:szCs w:val="22"/>
        </w:rPr>
      </w:pPr>
      <w:r>
        <w:rPr>
          <w:rFonts w:cs="Arial" w:ascii="Arial" w:hAnsi="Arial"/>
          <w:b/>
          <w:bCs/>
          <w:sz w:val="22"/>
          <w:szCs w:val="22"/>
        </w:rPr>
        <w:t>PROCESSO ADMINISTRATIVO Nº</w:t>
      </w:r>
      <w:r>
        <w:rPr>
          <w:rFonts w:cs="Arial" w:ascii="Arial" w:hAnsi="Arial"/>
          <w:b/>
          <w:bCs/>
          <w:sz w:val="22"/>
          <w:szCs w:val="22"/>
          <w:shd w:fill="auto" w:val="clear"/>
        </w:rPr>
        <w:t xml:space="preserve"> 023</w:t>
      </w:r>
      <w:r>
        <w:rPr>
          <w:rFonts w:cs="Arial" w:ascii="Arial" w:hAnsi="Arial"/>
          <w:b/>
          <w:bCs/>
          <w:sz w:val="22"/>
          <w:szCs w:val="22"/>
        </w:rPr>
        <w:t>/2024</w:t>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sz w:val="22"/>
          <w:szCs w:val="22"/>
        </w:rPr>
      </w:pPr>
      <w:r>
        <w:rPr>
          <w:rFonts w:cs="Arial" w:ascii="Arial" w:hAnsi="Arial"/>
          <w:sz w:val="22"/>
          <w:szCs w:val="22"/>
        </w:rPr>
        <w:t>Município de Vera Cruz / RS</w:t>
      </w:r>
    </w:p>
    <w:p>
      <w:pPr>
        <w:pStyle w:val="Normal"/>
        <w:numPr>
          <w:ilvl w:val="0"/>
          <w:numId w:val="1"/>
        </w:numPr>
        <w:spacing w:lineRule="auto" w:line="276"/>
        <w:jc w:val="both"/>
        <w:rPr>
          <w:rFonts w:ascii="Arial" w:hAnsi="Arial"/>
          <w:sz w:val="22"/>
          <w:szCs w:val="22"/>
        </w:rPr>
      </w:pPr>
      <w:r>
        <w:rPr>
          <w:rFonts w:cs="Arial" w:ascii="Arial" w:hAnsi="Arial"/>
          <w:sz w:val="22"/>
          <w:szCs w:val="22"/>
        </w:rPr>
        <w:t>Secretaria Municipal de Administração</w:t>
      </w:r>
    </w:p>
    <w:p>
      <w:pPr>
        <w:pStyle w:val="Normal"/>
        <w:numPr>
          <w:ilvl w:val="0"/>
          <w:numId w:val="1"/>
        </w:numPr>
        <w:spacing w:lineRule="auto" w:line="276"/>
        <w:jc w:val="both"/>
        <w:rPr>
          <w:rFonts w:ascii="Arial" w:hAnsi="Arial"/>
          <w:sz w:val="22"/>
          <w:szCs w:val="22"/>
        </w:rPr>
      </w:pPr>
      <w:r>
        <w:rPr>
          <w:rFonts w:cs="Arial" w:ascii="Arial" w:hAnsi="Arial"/>
          <w:sz w:val="22"/>
          <w:szCs w:val="22"/>
        </w:rPr>
        <w:t>Secretaria Municipal de Saúde</w:t>
      </w:r>
    </w:p>
    <w:p>
      <w:pPr>
        <w:pStyle w:val="Normal"/>
        <w:numPr>
          <w:ilvl w:val="0"/>
          <w:numId w:val="1"/>
        </w:numPr>
        <w:spacing w:lineRule="auto" w:line="276"/>
        <w:jc w:val="both"/>
        <w:rPr>
          <w:rFonts w:ascii="Arial" w:hAnsi="Arial"/>
          <w:sz w:val="22"/>
          <w:szCs w:val="22"/>
        </w:rPr>
      </w:pPr>
      <w:r>
        <w:rPr>
          <w:rFonts w:cs="Arial" w:ascii="Arial" w:hAnsi="Arial"/>
          <w:sz w:val="22"/>
          <w:szCs w:val="22"/>
        </w:rPr>
        <w:t>Secretaria Municipal de Obras, Saneamento e Trânsito</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Secretaria Municipal de Desenvolvimento Rural </w:t>
      </w:r>
    </w:p>
    <w:p>
      <w:pPr>
        <w:pStyle w:val="Normal"/>
        <w:numPr>
          <w:ilvl w:val="0"/>
          <w:numId w:val="1"/>
        </w:numPr>
        <w:spacing w:lineRule="auto" w:line="276"/>
        <w:jc w:val="both"/>
        <w:rPr>
          <w:rFonts w:ascii="Arial" w:hAnsi="Arial"/>
          <w:sz w:val="22"/>
          <w:szCs w:val="22"/>
        </w:rPr>
      </w:pPr>
      <w:r>
        <w:rPr>
          <w:rFonts w:cs="Arial" w:ascii="Arial" w:hAnsi="Arial"/>
          <w:sz w:val="22"/>
          <w:szCs w:val="22"/>
        </w:rPr>
        <w:t>Secretaria Municipal de Educação</w:t>
      </w:r>
    </w:p>
    <w:p>
      <w:pPr>
        <w:pStyle w:val="Normal"/>
        <w:numPr>
          <w:ilvl w:val="0"/>
          <w:numId w:val="1"/>
        </w:numPr>
        <w:spacing w:lineRule="auto" w:line="276"/>
        <w:jc w:val="both"/>
        <w:rPr>
          <w:rFonts w:ascii="Arial" w:hAnsi="Arial"/>
          <w:sz w:val="22"/>
          <w:szCs w:val="22"/>
        </w:rPr>
      </w:pPr>
      <w:r>
        <w:rPr>
          <w:rFonts w:cs="Arial" w:ascii="Arial" w:hAnsi="Arial"/>
          <w:sz w:val="22"/>
          <w:szCs w:val="22"/>
        </w:rPr>
        <w:t>Secretaria Municipal de Desenvolvimento Social</w:t>
      </w:r>
    </w:p>
    <w:p>
      <w:pPr>
        <w:pStyle w:val="Normal"/>
        <w:numPr>
          <w:ilvl w:val="0"/>
          <w:numId w:val="1"/>
        </w:numPr>
        <w:spacing w:lineRule="auto" w:line="276"/>
        <w:jc w:val="left"/>
        <w:rPr>
          <w:rFonts w:ascii="Arial" w:hAnsi="Arial"/>
          <w:sz w:val="22"/>
          <w:szCs w:val="22"/>
        </w:rPr>
      </w:pPr>
      <w:r>
        <w:rPr>
          <w:rFonts w:cs="Arial" w:ascii="Arial" w:hAnsi="Arial"/>
          <w:sz w:val="22"/>
          <w:szCs w:val="22"/>
        </w:rPr>
        <w:t>Secretaria Municipal de Cultura, Esporte e Lazer</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Necessidade da Administração: O objeto da presente licitação é o Registro de Preços para a aquisição de óleo lubrificante e produtos de limpeza automotiva, destinados à manutenção e conservação da frota de veículos e máquinas da Prefeitura Municipal de Vera Cruz. </w:t>
      </w:r>
    </w:p>
    <w:p>
      <w:pPr>
        <w:pStyle w:val="Normal"/>
        <w:numPr>
          <w:ilvl w:val="0"/>
          <w:numId w:val="1"/>
        </w:numPr>
        <w:spacing w:lineRule="auto" w:line="276"/>
        <w:jc w:val="both"/>
        <w:rPr>
          <w:rFonts w:ascii="Arial" w:hAnsi="Arial" w:cs="Arial"/>
          <w:sz w:val="22"/>
          <w:szCs w:val="22"/>
        </w:rPr>
      </w:pPr>
      <w:r>
        <w:rPr>
          <w:rFonts w:cs="Arial" w:ascii="Arial" w:hAnsi="Arial"/>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 xml:space="preserve">1. DEFINIÇÃO DO OBJETO </w:t>
      </w:r>
    </w:p>
    <w:p>
      <w:pPr>
        <w:pStyle w:val="Corpodotexto"/>
        <w:numPr>
          <w:ilvl w:val="0"/>
          <w:numId w:val="1"/>
        </w:numPr>
        <w:spacing w:lineRule="auto" w:line="276"/>
        <w:rPr>
          <w:rFonts w:ascii="Arial" w:hAnsi="Arial"/>
          <w:sz w:val="22"/>
          <w:szCs w:val="22"/>
        </w:rPr>
      </w:pPr>
      <w:r>
        <w:rPr>
          <w:rFonts w:cs="Arial" w:ascii="Arial" w:hAnsi="Arial"/>
          <w:sz w:val="22"/>
          <w:szCs w:val="22"/>
        </w:rPr>
        <w:t>A aquisição desses itens é essencial para o pleno funcionamento e preservação da frota municipal. A substituição regular de lubrificantes é uma medida indispensável para garantir o desempenho adequado e a conservação dos veículos e equipamentos. Além disso, o uso de produtos de limpeza automotiva contribui significativamente para a manutenção estética e funcional dos bens públicos, prevenindo danos causados por sujeira, resíduos e corrosão, e assegurando uma apresentação adequada dos veículos utilizados em serviços municipais.</w:t>
      </w:r>
    </w:p>
    <w:p>
      <w:pPr>
        <w:pStyle w:val="Corpodotexto"/>
        <w:numPr>
          <w:ilvl w:val="0"/>
          <w:numId w:val="1"/>
        </w:numPr>
        <w:spacing w:lineRule="auto" w:line="276"/>
        <w:rPr>
          <w:rFonts w:ascii="Arial" w:hAnsi="Arial"/>
          <w:sz w:val="22"/>
          <w:szCs w:val="22"/>
        </w:rPr>
      </w:pPr>
      <w:r>
        <w:rPr>
          <w:rFonts w:cs="Arial" w:ascii="Arial" w:hAnsi="Arial"/>
          <w:sz w:val="22"/>
          <w:szCs w:val="22"/>
        </w:rPr>
        <w:t>Essa manutenção preventiva, tanto mecânica quanto estética, é fundamental para prolongar a vida útil da frota, melhorar a eficiência operacional e evitar custos adicionais decorrentes de desgastes prematuros, avarias ou descuido na conservação.</w:t>
      </w:r>
    </w:p>
    <w:p>
      <w:pPr>
        <w:pStyle w:val="Corpodotexto"/>
        <w:numPr>
          <w:ilvl w:val="0"/>
          <w:numId w:val="1"/>
        </w:numPr>
        <w:spacing w:lineRule="auto" w:line="276"/>
        <w:rPr>
          <w:rFonts w:ascii="Arial" w:hAnsi="Arial"/>
          <w:sz w:val="22"/>
          <w:szCs w:val="22"/>
        </w:rPr>
      </w:pPr>
      <w:r>
        <w:rPr>
          <w:rFonts w:cs="Arial" w:ascii="Arial" w:hAnsi="Arial"/>
          <w:sz w:val="22"/>
          <w:szCs w:val="22"/>
        </w:rPr>
        <w:t>Dessa forma, a aquisição de óleo lubrificante e produtos de limpeza automotiva visa atender às necessidades de manutenção de maneira eficaz, promovendo a durabilidade, a funcionalidade e a conservação do patrimônio público do município.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As especificações dos itens, quantidades estimadas e preços de referência são especificações da tabela abaixo e compreendem o estipulado no ETP – Estudo Técnico Preliminar:</w:t>
      </w:r>
    </w:p>
    <w:p>
      <w:pPr>
        <w:pStyle w:val="Normal"/>
        <w:numPr>
          <w:ilvl w:val="0"/>
          <w:numId w:val="1"/>
        </w:numPr>
        <w:spacing w:lineRule="auto" w:line="276" w:before="0" w:after="0"/>
        <w:jc w:val="both"/>
        <w:rPr>
          <w:rFonts w:ascii="Arial" w:hAnsi="Arial"/>
          <w:sz w:val="22"/>
          <w:szCs w:val="22"/>
        </w:rPr>
      </w:pPr>
      <w:r>
        <w:rPr>
          <w:rFonts w:ascii="Arial" w:hAnsi="Arial"/>
          <w:sz w:val="22"/>
          <w:szCs w:val="22"/>
        </w:rPr>
      </w:r>
    </w:p>
    <w:tbl>
      <w:tblPr>
        <w:tblW w:w="9786" w:type="dxa"/>
        <w:jc w:val="left"/>
        <w:tblInd w:w="25" w:type="dxa"/>
        <w:tblLayout w:type="fixed"/>
        <w:tblCellMar>
          <w:top w:w="55" w:type="dxa"/>
          <w:left w:w="55" w:type="dxa"/>
          <w:bottom w:w="55" w:type="dxa"/>
          <w:right w:w="55" w:type="dxa"/>
        </w:tblCellMar>
      </w:tblPr>
      <w:tblGrid>
        <w:gridCol w:w="703"/>
        <w:gridCol w:w="607"/>
        <w:gridCol w:w="4909"/>
        <w:gridCol w:w="675"/>
        <w:gridCol w:w="675"/>
        <w:gridCol w:w="945"/>
        <w:gridCol w:w="1271"/>
      </w:tblGrid>
      <w:tr>
        <w:trPr>
          <w:trHeight w:val="256" w:hRule="atLeast"/>
        </w:trPr>
        <w:tc>
          <w:tcPr>
            <w:tcW w:w="9785"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center"/>
              <w:rPr>
                <w:rFonts w:ascii="Arial" w:hAnsi="Arial"/>
                <w:sz w:val="16"/>
                <w:szCs w:val="16"/>
              </w:rPr>
            </w:pPr>
            <w:r>
              <w:rPr>
                <w:rFonts w:ascii="Arial" w:hAnsi="Arial"/>
                <w:b/>
                <w:sz w:val="16"/>
                <w:szCs w:val="16"/>
              </w:rPr>
              <w:t>TABELA DE VALORES</w:t>
            </w:r>
          </w:p>
        </w:tc>
      </w:tr>
      <w:tr>
        <w:trPr>
          <w:trHeight w:val="716"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b/>
                <w:sz w:val="16"/>
                <w:szCs w:val="16"/>
              </w:rPr>
              <w:t>Item</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b/>
                <w:sz w:val="16"/>
                <w:szCs w:val="16"/>
              </w:rPr>
              <w:t>Produto - Código</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b/>
                <w:sz w:val="16"/>
                <w:szCs w:val="16"/>
              </w:rPr>
              <w:t>Produto - Descrição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b/>
                <w:sz w:val="16"/>
                <w:szCs w:val="16"/>
              </w:rPr>
              <w:t>Unidade - Descrição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b/>
                <w:sz w:val="16"/>
                <w:szCs w:val="16"/>
              </w:rPr>
              <w:t>Quantidade - Requisição</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b/>
                <w:sz w:val="16"/>
                <w:szCs w:val="16"/>
              </w:rPr>
              <w:t>PAINEL DE PREÇOS</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b/>
                <w:sz w:val="16"/>
                <w:szCs w:val="16"/>
              </w:rPr>
              <w:t>Valores - Total</w:t>
            </w:r>
          </w:p>
        </w:tc>
      </w:tr>
      <w:tr>
        <w:trPr>
          <w:trHeight w:val="1253"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1885.0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DETERGENTE LIMPEZA VEÍCULO, ASPECTO FÍSICO: LÍQUIDO VISCOSO, COMPOSIÇÃO: ÁCIDO SULFÔNICO, HIDRÓXIDO DE SÓDIO, TENSOATIVO, APLICAÇÃO: LAVAGEM VEÍCULOS E SUPERFÍCIES PINTADAS, CARACTERÍSTICAS ADICIONAIS: LÍQUIDO CONCENTRADO, SOLÚVEL EM ÁGUA, BASE NEUTRA. EMBALAGENS A CRITÉRIO DO FORNECEDOR.</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600.0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R$ 17,50</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R$ 10.500,00</w:t>
            </w:r>
          </w:p>
        </w:tc>
      </w:tr>
      <w:tr>
        <w:trPr>
          <w:trHeight w:val="895"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1909.0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DETERGENTE DESENGRAXANTE ALCALINO PARA USO EM EQUIPAMENTOS DE CONSTRUÇÃO, TERRAPLANAGEM, CAMINHÕES E DEMAIS. NA REMOÇÃO DE GAXAS, ÓLEOS E SUJEIRAS EM CHASSI, MOTORES E DEMAIS. (EMBALAGENS DE 05 LITROS)</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40.0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R$ 56,37</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R$ 2.254,80</w:t>
            </w:r>
          </w:p>
        </w:tc>
      </w:tr>
      <w:tr>
        <w:trPr>
          <w:trHeight w:val="722"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2499.0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QUEROSENE, USO: LIMPEZA, DESENGRAXANTE, SOLVENTE, TIPO:COMUM. EMBALAGEM DE 50 LITROS.</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400.0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R$ 18,02</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R$ 7.208,00</w:t>
            </w:r>
          </w:p>
        </w:tc>
      </w:tr>
      <w:tr>
        <w:trPr>
          <w:trHeight w:val="3165"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4.0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2503.0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LUBRIFICANTE SAE 40 ESPECIALMENTE DESENVOLVIDO PARA TRANSMISSÕES MANUAIS SINCRONIZADOS DE CAMINHÕES E ÔNIBUS, FORMALMENTE APROVADO PELA MERCEDES-BENZ CONFORME ESPECIFICAÇÃO MB 235.12;</w:t>
              <w:br/>
              <w:t>PONTO DE FULGOR MAIOR OU IGUAL A 240 °C;</w:t>
              <w:br/>
              <w:t>PONTO DE FLUIDEZ MENOR OU IGUAL A - 24 °C;</w:t>
              <w:br/>
              <w:t>VISCOSIDADE A 100°C (CST) ENTRE 14,6 E 15,6;</w:t>
              <w:br/>
              <w:t>VISCOSIDADE A 40°C (CST) ENTRE 137,5 E 149,2;</w:t>
              <w:br/>
              <w:t>ÍNDICE DE VISCOSIDADE ENTRE 99 E 108;</w:t>
              <w:br/>
              <w:t>EMBALAGEM: 20 LITROS (BALDE);</w:t>
              <w:br/>
              <w:t>PONTO DE FULGOR MAIOR OU IGUAL A 240 °C;</w:t>
              <w:br/>
              <w:t>PONTO DE FLUIDEZ MENOR OU IGUAL A - 24 °C;</w:t>
              <w:br/>
              <w:t>VISCOSIDADE A 100°C (CST) ENTRE 14,6 E 15,6;</w:t>
              <w:br/>
              <w:t>VISCOSIDADE A 40°C (CST) ENTRE 137,5 E 149,2;</w:t>
              <w:br/>
              <w:t>ÍNDICE DE VISCOSIDADE ENTRE 99 E 108;</w:t>
              <w:br/>
              <w:t>EMBALAGEM: 20 LITROS (BALDE)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R$ 450,21</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R$ 4.502,10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5.0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2502.0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LUBRIFICANTE PARA TRANSMISSÃO E DIFERENCIAIS, SAE 90, COM ADITIVOS EP, DESEMPENHO API GL-5 E MIL-L-2105D;</w:t>
              <w:br/>
              <w:t>VISCOSIDADE A 40°C, CST, ENTRE 175,4 E 207;</w:t>
              <w:br/>
              <w:t xml:space="preserve">VISCOSIDADE A 100°C, CST, ENTRE 16 E 18,2; </w:t>
              <w:br/>
              <w:t>ÍNDICE DE VISCOSIDADE ENTRE 90,8 E 97,2;</w:t>
              <w:br/>
              <w:t>PONTO DE FLUIDEZ MENOR OU IGUAL A -6 °C;</w:t>
              <w:br/>
              <w:t xml:space="preserve">PONTO DE FULGOR MAIOR OU IGUAL A 220 °C; </w:t>
              <w:br/>
              <w:t>EMBALAGEM: 20 LITROS (BALDE);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R$ 523,25</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R$ 10.465,00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6.0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2505.0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ÓLEO LUBRIFICANTE PARA MOTORES 02 TEMPOS A GASOLINA, UTILIZADO EM MOTOSSERRAS, CORTADORES DE GRAMA, ROÇADEIRAS, MOTOPODAS, ETC. </w:t>
              <w:br/>
              <w:t>VISCOSIDADE A 40°C, CST, ENTRE 81,7 E 92,2;</w:t>
              <w:br/>
              <w:t>VISCOSIDADE A 100°C, CST, ENTRE 8,7 E 10,8;</w:t>
              <w:br/>
              <w:t>PONTO DE FULGOR MAIOR OU IGUAL A 116 °C;</w:t>
              <w:br/>
              <w:t>CLASSIFICAÇÃO DE DESEMPENHO: JASO - FB OU SUPERIOR (JASO - FC, JASO - FD).</w:t>
              <w:br/>
              <w:t>EMBALAGEM: 500 ML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TUBO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150.0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R$ 21,79</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R$ 3.268,50</w:t>
            </w:r>
          </w:p>
        </w:tc>
      </w:tr>
      <w:tr>
        <w:trPr>
          <w:trHeight w:val="3405"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7.0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2507.0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GRAXA LUBRIFICANTE À BASE DE SABÃO COMPLEXO DE LÍTIO, GRAU NLGI 2, CONTENDO ADITIVOS DE EXTREMA PRESSÃO (EP) E INIBIDORES DE OXIDAÇÃO E CORROSÃO, RECOMENDADA PARA APLICAÇÃO EM EQUIPAMENTOS AUTOMOTIVOS, INDUSTRIAIS, MARÍTIMOS OU AGRÍCOLAS SUBMETIDOS A CARGAS ELEVADAS, EM MANCAIS DE ROLAMENTO OU DESLIZAMENTO, ARTICULAÇÕES E CUBOS DE RODA AUTOMOTIVOS, CHASSIS E JUNTAS UNIVERSAIS. CLASSIFICAÇÃO DE DESEMPENHO MERCEDES BENZ DBL 6804.50;TEMPERATURA MÍNIMA DE OPERAÇÃO MENOR OU IGUAL A &amp;#8211; 20 °C;</w:t>
              <w:br/>
              <w:t>TEMPERATURA MÁXIMA DE OPERAÇÃO MAIOR OU IGUAL A 177 °C;PENETRAÇÃO TRABALHADA 60X IGUAL A 275;PONTO DE GOTA MAIOR QUE 260 °C;CARGA TIMKEN MAIOR OU IGUAL A 45 LB;FOUR BALL &amp;#8211; CARGA DE SOLDA MAIOR OU IGUAL A 250 KGF;VISCOSIDADE A 40 °C (CST) ENTRE 149 E 152;</w:t>
              <w:br/>
              <w:t>EMBALAGEM: BALDE DE 20 KG.</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80.0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R$ 794,25</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R$ 63.540,00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8.0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2508.0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ÓLEO LUBRIFICANTE PARA SISTEMA HIDRÁULICOS, ISO VG 68, DESEMPENHO DIN 51524 PARTE 2 (HLP) E CINCINNATI P-69. TESTE FZG A/8.3/90 (DIN 51354) MAIOR QUE 11. </w:t>
              <w:br/>
              <w:t>VISCOSIDADE A 40°C, CST, ENTRE 64,5 E 68;</w:t>
              <w:br/>
              <w:t xml:space="preserve">VISCOSIDADE A 100°C, CST, ENTRE 8,6 E 9; </w:t>
              <w:br/>
              <w:t>ÍNDICE DE VISCOSIDADE ENTRE 98,9 E 107,2;</w:t>
              <w:br/>
              <w:t>PONTO DE FLUIDEZ MENOR OU IGUAL A -18 °C;</w:t>
              <w:br/>
              <w:t xml:space="preserve">PONTO DE FULGOR MAIOR OU IGUAL A 242 °C; </w:t>
              <w:br/>
              <w:t>EMBALAGEM: 20 LITROS (BALDE);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R$ 516,94</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R$ 103.388,00</w:t>
            </w:r>
          </w:p>
        </w:tc>
      </w:tr>
      <w:tr>
        <w:trPr>
          <w:trHeight w:val="1432"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9.0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4401.0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FLUÍDO PARA APLICAÇÃO ESPECÍFICA, APLICAÇÃO: ADITIVO CONCENTRADO ARREFECEDOR PARA RADIADOR, ANTICORROSIVO, ANTIOXIDANTE PARA USO EM VEÍCULOS A GASOLINA, ÁLCOOL E DIESEL. ISENTOS DE NITRITOS, FOSFATOS, BORATOS, SILICATOS E AMINAS, FEITO À BASE DE GLICOL E DE INIBIDORES DE CORROSÃO ORGÂNICOS.</w:t>
              <w:br/>
              <w:t>EMBALAGENS DE 1 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R$ 38,43</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R$ 11.529,00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10.0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5611.0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LUBRIFICANTE SAE 10W PARA USO EM SISTEMAS HIDRÁULICOS, CONVERSORES DE TORQUE, COMANDOS FINAIS E SISTEMAS DE TRANSMISSÃO DE EQUIPAMENTOS DE TERRAPLANAGEM; ADITIVAÇÃO ANTIDESGASTE, ANTICORROSIVA, ANTIESPUMANTE, ALÉM DE CONTAR COM PROPRIEDADES ANTIFRICÇÃO.</w:t>
              <w:br/>
              <w:t>PONTO DE FULGOR MAIOR OU IGUAL 210 °C;</w:t>
              <w:br/>
              <w:t>VISCOSIDADE A 40°C (CST) ENTRE 34 E 44;</w:t>
              <w:br/>
              <w:t>VISCOSIDADE A 100°C (CST) ENTRE 5,9 E 7;</w:t>
              <w:br/>
              <w:t>ÍNDICE DE VISCOSIDADE ENTRE 104 E 118;</w:t>
              <w:br/>
              <w:t>CLASSIFICAÇÃO DE DESEMPENHO: ALLISON C-4, CAT TO-4 E KOMATSU KES 07.868.1;</w:t>
              <w:br/>
              <w:t>EMBALAGEM: 200 LITROS (TAMBOR);</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TONEL</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R$ 6.242,10</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R$ 124.842,00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11.0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8551.0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FLUIDO PARA FREIO ESPECIAL DOT 4, SINTÉTICO, PARA USO EM FREIOS A DISCO, TAMBOR OU ABS, QUE EQUIPAM CARROS DE PASSEIO, ÔNIBUS, CAMINHÕES OU MOTOCICLETAS. </w:t>
              <w:br/>
              <w:t>PONTO DE EBULIÇÃO (ºC) MAIOR QUE 252;</w:t>
              <w:br/>
              <w:t>VISCOSIDADE A - 40ºC (CST) ENTRE 881 E 1025;</w:t>
              <w:br/>
              <w:t>VISCOSIDADE A 100ºC (CST) ENTRE 2,0 E 2,4;</w:t>
              <w:br/>
              <w:t>CLASSIFICAÇÃO DE DESEMPENHO: SAE J1704, FMVSS 116, NBR 9292;</w:t>
              <w:br/>
              <w:t>EMBALAGEM: 500 ML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R$ 32,39</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R$ 3.239,00</w:t>
            </w:r>
          </w:p>
        </w:tc>
      </w:tr>
      <w:tr>
        <w:trPr>
          <w:trHeight w:val="2686"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12.0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8628.0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LUBRIFICANTE MINERAL PARA TRANSMISSÃO/DIFERENCIAL, VISCOSIDADE SAE 10W30. CLASSIFICAÇÃO DE DESEMPENHO: API GL-4, ALLISON C-4, CATERPILLAR TO-2, MASSEY FERGUSON CMS M1143, JOHN DEERE JDM J20C, ZF TE-ML 03E (TRANSMISSÕES POWERSHIFT DE VEÍCULOS ESPECIAIS, OFF-ROAD E EMPILHADEIRAS), ZF TE-ML 05F (EIXOS DE VEÍCULOS OFF-ROAD), ZF TE-ML 17E (EIXOS DE EMPILHADEIRAS), ZF TE-ML 21F (EIXOS PARA TRATORES);</w:t>
              <w:br/>
              <w:t>VISCOSIDADE A 40°C, CST, ENTRE 58,9 E 62,5;</w:t>
              <w:br/>
              <w:t xml:space="preserve">VISCOSIDADE A 100°C, CST, ENTRE 9,3 E 9,8; </w:t>
              <w:br/>
              <w:t>ÍNDICE DE VISCOSIDADE ENTRE 131 E 150;</w:t>
              <w:br/>
              <w:t>PONTO DE FLUIDEZ MENOR OU IGUAL A - 36°C;</w:t>
              <w:br/>
              <w:t xml:space="preserve">PONTO DE FULGOR MAIOR OU IGUAL A 220 °C; </w:t>
              <w:br/>
              <w:t>EMBALAGEM: 20 LITROS (GALAO);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50.0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R$ 467,97</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R$ 23.398,50</w:t>
            </w:r>
          </w:p>
        </w:tc>
      </w:tr>
      <w:tr>
        <w:trPr>
          <w:trHeight w:val="2550"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13.0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9266.0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LUBRIFICANTE SAE 85W140 PARA LUBRIFICAÇÃO DE DIFERENCIAIS CONVENCIONAIS, CAIXAS DE TRANSMISSÕES E CAIXAS DE TRANSFERÊNCIA DE VEÍCULOS PESADOS, RODOVIÁRIOS OU DO TIPO &amp;#8220;FORA-DE-ESTRADA&amp;#8221;. </w:t>
              <w:br/>
              <w:t xml:space="preserve">VISCOSIDADE CINEMÁTICA 100°C (CST) ENTRE 25,0 E 28,0; </w:t>
              <w:br/>
              <w:t xml:space="preserve">VISCOSIDADE CINEMÁTICA 40°C (CST) ENTRE 347 E 393;  ÍNDICE DE VISCOSIDADE ENTRE 92 E 101; </w:t>
              <w:br/>
              <w:t xml:space="preserve">PONTO DE FLUIDEZ MENOR OU IGUAL A &amp;#8211;12°C; PONTO DE FULGOR MAIOR OU IGUAL A 200 °C; </w:t>
              <w:br/>
              <w:t>CLASSIFICAÇÃO DE DESEMPENHO: API GL-5, API MT-1, SAE J2360, MIL-PRF-2105E; EMBALAGEM: 20 LITROS (BALDE);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R$ 480,86</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R$ 9.617,20</w:t>
            </w:r>
          </w:p>
        </w:tc>
      </w:tr>
      <w:tr>
        <w:trPr>
          <w:trHeight w:val="1875"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14.0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13046.0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ÓLEO LUBRIFICANTE SEMI SINTÉTICO MULTI VISCOSO SAE 15W40 API SL PARA USO EM MOTORES A GASOLINA E ETANOL, COM INJEÇÃO ELETRÔNICA. VISCOSIDADE 100°C CST 14,99 </w:t>
              <w:br/>
              <w:t xml:space="preserve">VISCOSIDADE 40°C CST 104,0 </w:t>
              <w:br/>
              <w:t xml:space="preserve">ÍNDICE DE VISCOSIDADE ENTRE 151 E 20°C  </w:t>
              <w:br/>
              <w:t xml:space="preserve">PONTO DE FLUIDEZ MENOR OU IGUAL A 18 °C </w:t>
              <w:br/>
              <w:t xml:space="preserve">PONTO DE FULGOR MAIOR OU IGUAL A 240 °C </w:t>
              <w:br/>
              <w:t xml:space="preserve"> 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350.0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R$ 24,38</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R$ 8.533,00</w:t>
            </w:r>
          </w:p>
        </w:tc>
      </w:tr>
      <w:tr>
        <w:trPr>
          <w:trHeight w:val="1970"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15.0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13047.0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FLUÍDO HIDRÁULICO, TIPO ATF, PARA TRANSMISSÕES AUTOMÁTICAS E SISTEMAS DE DIREÇÃO HIDRÁULICA DE VEÍCULOS LEVES, CAMINHÕES, ÔNIBUS E VEÍCULOS OFF-ROAD. CLASSIFICAÇÃO DE DESEMPENHO: ALLISON C-4, GM DEXRON III E FORD MERCON; </w:t>
              <w:br/>
              <w:t>VISCOSIDADE A 40°C, CST, ENTRE 32,8 E 39,8;</w:t>
              <w:br/>
              <w:t xml:space="preserve">VISCOSIDADE A 100°C, CST, ENTRE 7,0 E 7,8; </w:t>
              <w:br/>
              <w:t>ÍNDICE DE VISCOSIDADE ENTRE 170 E 183;</w:t>
              <w:br/>
              <w:t>PONTO DE FLUIDEZ MENOR OU IGUAL A - 48 °C;</w:t>
              <w:br/>
              <w:t xml:space="preserve">PONTO DE FULGOR MAIOR OU IGUAL A 180 °C; </w:t>
              <w:br/>
              <w:t>EMBALAGEM: 20 LITROS (BALDE);</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GALAO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8.0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R$ 374,33</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R$ 2.994,64</w:t>
            </w:r>
          </w:p>
        </w:tc>
      </w:tr>
      <w:tr>
        <w:trPr>
          <w:trHeight w:val="3406"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16.0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10815.0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SINTÉTICO SAE 75W90 PARA APLICAÇÃO EM EIXOS DIFERENCIAIS CONVENCIONAIS, EIXOS FINAIS E REDUTORES QUANTO EM CAIXAS DE MUDANÇA MANUAIS (SINCRONIZADAS OU NÃO SINCRONIZADAS) E AUTOMATIZADAS.</w:t>
              <w:br/>
              <w:t>DENSIDADE, ASTM D4052, (G/ML) ENTRE 0,85 E 0,88;</w:t>
              <w:br/>
              <w:t>VISCOSIDADE A 100 °C, MM²/S (CST) ENTRE 15,4 E 18,2;</w:t>
              <w:br/>
              <w:t>VISCOSIDADE A 40 °C, MM²/S (CST) ENTRE 103 E 108;</w:t>
              <w:br/>
              <w:t>ÍNDICE DE VISCOSIDADE ENTRE 153 E 158;</w:t>
              <w:br/>
              <w:t>PONTO DE FLUIDEZ MENOR OU IGUAL A -45 °C;</w:t>
              <w:br/>
              <w:t>PONTO DE FULGOR MAIOR OU IGUAL A 135 °C;</w:t>
              <w:br/>
              <w:t>CLASSIFICAÇÃO DE DESEMPENHO: SAE J2360, API GL-4/GL-5/MT-1, MIL PRF-2105E, MAN 341 TIPO Z2, MAN 342 TIPO S1, APROVAÇÃO MB 235.8, MERITOR O76N, SCANIA STO 1:0, VOLVO 97312, ZF TE-ML (02B, 05A, 07A, 12L, 12N, 16F, 17B, 19C), DETROIT DIESEL DFS93K219.01;</w:t>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R$ 58,33</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R$ 11.666,00</w:t>
            </w:r>
          </w:p>
        </w:tc>
      </w:tr>
      <w:tr>
        <w:trPr>
          <w:trHeight w:val="2507"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17.0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160794.0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LUBRIFICANTE SINTÉTICO PARA MOTOR SAE 10W40 DESENVOLVIDO PARA ATENDER AOS MAIS RECENTES REQUERIMENTOS DE LUBRIFICAÇÃO DOS MODERNOS MOTORES DE QUATRO TEMPOS FLEX, À GASOLINA, ETANOL OU GNV, PRINCIPALMENTE AQUELES EQUIPADOS COM INJEÇÃO DIRETA E/OU TURBOCOMPRESSOR.</w:t>
              <w:br/>
              <w:t>DENSIDADE RELATIVA À 15°C (KG/L) ENTRE 0,840 E 0,870;</w:t>
              <w:br/>
              <w:t>VISCOSIDADE A 100ºC (CST) ENTRE 10,1 E 14,85;</w:t>
              <w:br/>
              <w:t xml:space="preserve">VISCOSIDADE A 40ºC (CST) ENTRE 80,0 E 92; </w:t>
              <w:br/>
              <w:t>ÍNDICE DE VISCOSIDADE ENTRE 155 E 180;</w:t>
              <w:br/>
              <w:t>PONTO DE FLUIDEZ MENOR OU IGUAL A -33 °C;</w:t>
              <w:br/>
              <w:t>PONTO DE FULGOR MAIOR OU IGUAL A 226;</w:t>
              <w:br/>
              <w:t>CLASSIFICAÇÃO DE DESEMPENHO: AP SM;</w:t>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R$ 30,56</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R$ 9.168,00</w:t>
            </w:r>
          </w:p>
        </w:tc>
      </w:tr>
      <w:tr>
        <w:trPr>
          <w:trHeight w:val="179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18.0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164935.0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ÓLEO LUBRIFICANTE DE MOTOR, CICLO DIESEL, VISCOSIDADE SAE 15W40. DESEMPENHO API CK-4, ACEA E9-16, CATERPILLAR ECF-3, CUMMINS CES 20086, MB-APPRO VAL 228.31 E VOLVO VDS-4.5; </w:t>
              <w:br/>
              <w:t>VISCOSIDADE A 40°C, CST, ENTRE 111,8 E 114,2;</w:t>
              <w:br/>
              <w:t xml:space="preserve">VISCOSIDADE A 100°C, CST, ENTRE 14,5 E 15,7; </w:t>
              <w:br/>
              <w:t>ÍNDICE DE VISCOSIDADE ENTRE 133,9 E 136,1;</w:t>
              <w:br/>
              <w:t>PONTO DE FLUIDEZ MENOR OU IGUAL A - 39°C;</w:t>
              <w:br/>
              <w:t xml:space="preserve">PONTO DE FULGOR MAIOR OU IGUAL A 202°C; </w:t>
              <w:br/>
              <w:t>EMBALAGEM: 20 LITROS (GALÃO);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180.0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R$ 410,71</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R$ 73.927,80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19.0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174123.0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LÍQUIDO DE ARREFECIMENTO PRONTO PARA USO (PREMIX/DILUÍDO 50/50 EM ÁGUA DESMINERALIZADA/DEIONIZADA), A BASE DE MONOETILENOGLICOL/ ETILENOGLICOL E DE INIBIDORES DE CORROSÃO ORGÂNICOS (OAT) PARA LINHA LEVE E PESADA. ISENTO DE NITRITO, FOSFATO. PROTEÇÃO CONTRA CORROSÃO, CONTRA CAVITAÇÃO E CONTRA FORMAÇÃO DE ESPUMA. PONTO DE EBULIÇÃO MAIOR OU IGUAL A 108 °C;</w:t>
              <w:br/>
              <w:t>PONTO DE CONGELAMENTO MENOR OU IGUAL A -37 °C;</w:t>
              <w:br/>
              <w:t>PH ENTRE 7,4 E 9,6;</w:t>
              <w:br/>
              <w:t>NÍVEIS DE DESEMPENHO: ASTM D3306, ABNT NBR 14261;</w:t>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R$ 18,92</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R$ 5.676,00</w:t>
            </w:r>
          </w:p>
        </w:tc>
      </w:tr>
      <w:tr>
        <w:trPr>
          <w:trHeight w:val="2328"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20.0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174245.0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LUBRIFICANTE SAE 5W30 ESPECIALMENTE DESENVOLVIDO PARA MOTORES DIESEL EQUIPADOS COM FILTRO DE PARTÍCULAS.</w:t>
              <w:br/>
              <w:t>DENSIDADE A 15°C (G/ML) ENTRE 0,84 E 0,86;</w:t>
              <w:br/>
              <w:t>VISCOSIDADE CINEMÁTICA A 40°C (MM²/S) ENTRE 67,8 E 73;</w:t>
              <w:br/>
              <w:t>VISCOSIDADE CINEMÁTICA A 100°C (MM²/S) ENTRE 12,0 E 12,5;</w:t>
              <w:br/>
              <w:t>PONTO DE FULGOR MAIOR OU IGUAL A 196 °C;</w:t>
              <w:br/>
              <w:t>PONTO DE FLUIDEZ MENOR OU IGUAL A -36 °C;</w:t>
              <w:br/>
              <w:t>CLASSIFICAÇÃO DE DESEMPENHO: ACEA C4, RENAULT: RN0720, MB-APPROVAL 226.51;</w:t>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R$ 37,48</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R$ 11.244,00</w:t>
            </w:r>
          </w:p>
        </w:tc>
      </w:tr>
      <w:tr>
        <w:trPr>
          <w:trHeight w:val="1611"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21.0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176115.0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 xml:space="preserve">ÓLEO SINTÉTICO SAE 5W30 PARA MOTORES A GASOLINA, ETANOL, FLEX E GNV . </w:t>
              <w:br/>
              <w:t>VISCOSIDADE A 40ºC, CST, ENTRE 58,5 E64,1; ÍNDICE DE VISCOSIDADE A 100ºC, CST, ENTRE 10 E 11,1; ÍNDICE DE VISCOSIDADE  ENTRE 159,8 E 166,2; PONTO DE FLUIDEZ IGUA A -33ºC; PONTO DE FULGOR MAIOR OU IGUAL A 224ºC ;CLASSIFICAÇÃO DE DESEMPENHO: IGUAL OU SUPERIOR API SN;</w:t>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300.0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R$ 31,69</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R$ 9.507,00</w:t>
            </w:r>
          </w:p>
        </w:tc>
      </w:tr>
      <w:tr>
        <w:trPr>
          <w:trHeight w:val="3318" w:hRule="atLeast"/>
        </w:trPr>
        <w:tc>
          <w:tcPr>
            <w:tcW w:w="703"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22.0</w:t>
            </w:r>
          </w:p>
        </w:tc>
        <w:tc>
          <w:tcPr>
            <w:tcW w:w="607"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176168.0</w:t>
            </w:r>
          </w:p>
        </w:tc>
        <w:tc>
          <w:tcPr>
            <w:tcW w:w="4909" w:type="dxa"/>
            <w:tcBorders>
              <w:left w:val="single" w:sz="4" w:space="0" w:color="000000"/>
              <w:bottom w:val="single" w:sz="4" w:space="0" w:color="000000"/>
            </w:tcBorders>
            <w:vAlign w:val="center"/>
          </w:tcPr>
          <w:p>
            <w:pPr>
              <w:pStyle w:val="Normal"/>
              <w:widowControl w:val="false"/>
              <w:numPr>
                <w:ilvl w:val="0"/>
                <w:numId w:val="1"/>
              </w:numPr>
              <w:spacing w:lineRule="auto" w:line="276"/>
              <w:jc w:val="both"/>
              <w:rPr>
                <w:rFonts w:ascii="Arial" w:hAnsi="Arial"/>
                <w:sz w:val="16"/>
                <w:szCs w:val="16"/>
              </w:rPr>
            </w:pPr>
            <w:r>
              <w:rPr>
                <w:rFonts w:ascii="Arial" w:hAnsi="Arial"/>
                <w:sz w:val="16"/>
                <w:szCs w:val="16"/>
              </w:rPr>
              <w:t>ÓLEO LUBRIFICANTE SINTÉTICO PARA MOTOR SAE 0W20 DESENVOLVIDO PARA ATENDER AOS MAIS RECENTES REQUERIMENTOS DE LUBRIFICAÇÃO DOS MODERNOS MOTORES DE QUATRO TEMPOS FLEX, À GASOLINA, ETANOL OU GNV, PRINCIPALMENTE AQUELES EQUIPADOS COM INJEÇÃO DIRETA E/OU TURBOCOMPRESSOR.</w:t>
              <w:br/>
              <w:t>DENSIDADE RELATIVA À 15°C (KG/L) ENTRE 0,840 E 0,850;</w:t>
              <w:br/>
              <w:t>VISCOSIDADE A 100ºC (CST) ENTRE 7,1 E 8,7;</w:t>
              <w:br/>
              <w:t>VISCOSIDADE A 40ºC (CST) ENTRE 37,0 E 45,0;</w:t>
              <w:br/>
              <w:t>ÍNDICE DE VISCOSIDADE ENTRE 165 E 174;</w:t>
              <w:br/>
              <w:t>PONTO DE FLUIDEZ MENOR OU IGUAL A -39 °C;</w:t>
              <w:br/>
              <w:t>PONTO DE FULGOR MAIOR OU IGUAL A 203;</w:t>
              <w:br/>
              <w:t>CLASSIFICAÇÃO DE DESEMPENHO: API SP, ILSAC GF-6A, FORD WSS-M2C947-A, GM DEXOS 1 GEN 2 OU GEN 3 (DEVERÁ CONSTAR O NÚMERO DA LICENÇA GM DEXOS NA FICHA TÉCNICA);</w:t>
              <w:br/>
              <w:br/>
              <w:t>EMBALAGEM: 1 LITRO (FRASCO);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left"/>
              <w:rPr>
                <w:rFonts w:ascii="Arial" w:hAnsi="Arial"/>
                <w:sz w:val="16"/>
                <w:szCs w:val="16"/>
              </w:rPr>
            </w:pPr>
            <w:r>
              <w:rPr>
                <w:rFonts w:ascii="Arial" w:hAnsi="Arial"/>
                <w:sz w:val="16"/>
                <w:szCs w:val="16"/>
              </w:rPr>
              <w:t>LITRO</w:t>
            </w:r>
          </w:p>
        </w:tc>
        <w:tc>
          <w:tcPr>
            <w:tcW w:w="67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240.0</w:t>
            </w:r>
          </w:p>
        </w:tc>
        <w:tc>
          <w:tcPr>
            <w:tcW w:w="945" w:type="dxa"/>
            <w:tcBorders>
              <w:left w:val="single" w:sz="4" w:space="0" w:color="000000"/>
              <w:bottom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R$ 47,29</w:t>
            </w:r>
          </w:p>
        </w:tc>
        <w:tc>
          <w:tcPr>
            <w:tcW w:w="1271" w:type="dxa"/>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right"/>
              <w:rPr>
                <w:rFonts w:ascii="Arial" w:hAnsi="Arial"/>
                <w:sz w:val="16"/>
                <w:szCs w:val="16"/>
              </w:rPr>
            </w:pPr>
            <w:r>
              <w:rPr>
                <w:rFonts w:ascii="Arial" w:hAnsi="Arial"/>
                <w:sz w:val="16"/>
                <w:szCs w:val="16"/>
              </w:rPr>
              <w:t>R$ 11.349,60</w:t>
            </w:r>
          </w:p>
        </w:tc>
      </w:tr>
      <w:tr>
        <w:trPr>
          <w:trHeight w:val="256" w:hRule="atLeast"/>
        </w:trPr>
        <w:tc>
          <w:tcPr>
            <w:tcW w:w="7569" w:type="dxa"/>
            <w:gridSpan w:val="5"/>
            <w:tcBorders>
              <w:left w:val="single" w:sz="4" w:space="0" w:color="000000"/>
              <w:bottom w:val="single" w:sz="4" w:space="0" w:color="000000"/>
            </w:tcBorders>
            <w:vAlign w:val="center"/>
          </w:tcPr>
          <w:p>
            <w:pPr>
              <w:pStyle w:val="Normal"/>
              <w:widowControl w:val="false"/>
              <w:numPr>
                <w:ilvl w:val="0"/>
                <w:numId w:val="1"/>
              </w:numPr>
              <w:spacing w:lineRule="auto" w:line="276"/>
              <w:jc w:val="center"/>
              <w:rPr>
                <w:rFonts w:ascii="Arial" w:hAnsi="Arial"/>
                <w:sz w:val="16"/>
                <w:szCs w:val="16"/>
              </w:rPr>
            </w:pPr>
            <w:r>
              <w:rPr>
                <w:rFonts w:ascii="Arial" w:hAnsi="Arial"/>
                <w:b/>
                <w:sz w:val="16"/>
                <w:szCs w:val="16"/>
              </w:rPr>
              <w:t>TOTAL ESTIMADO</w:t>
            </w:r>
          </w:p>
        </w:tc>
        <w:tc>
          <w:tcPr>
            <w:tcW w:w="2216" w:type="dxa"/>
            <w:gridSpan w:val="2"/>
            <w:tcBorders>
              <w:left w:val="single" w:sz="4" w:space="0" w:color="000000"/>
              <w:bottom w:val="single" w:sz="4" w:space="0" w:color="000000"/>
              <w:right w:val="single" w:sz="4" w:space="0" w:color="000000"/>
            </w:tcBorders>
            <w:vAlign w:val="center"/>
          </w:tcPr>
          <w:p>
            <w:pPr>
              <w:pStyle w:val="Normal"/>
              <w:widowControl w:val="false"/>
              <w:numPr>
                <w:ilvl w:val="0"/>
                <w:numId w:val="1"/>
              </w:numPr>
              <w:spacing w:lineRule="auto" w:line="276"/>
              <w:jc w:val="center"/>
              <w:rPr>
                <w:rFonts w:ascii="Arial" w:hAnsi="Arial"/>
                <w:sz w:val="16"/>
                <w:szCs w:val="16"/>
              </w:rPr>
            </w:pPr>
            <w:r>
              <w:rPr>
                <w:rFonts w:ascii="Arial" w:hAnsi="Arial"/>
                <w:b/>
                <w:sz w:val="16"/>
                <w:szCs w:val="16"/>
              </w:rPr>
              <w:t>R$ 521.818,14</w:t>
            </w:r>
          </w:p>
        </w:tc>
      </w:tr>
    </w:tbl>
    <w:p>
      <w:pPr>
        <w:pStyle w:val="Normal"/>
        <w:numPr>
          <w:ilvl w:val="0"/>
          <w:numId w:val="1"/>
        </w:numPr>
        <w:spacing w:lineRule="auto" w:line="276" w:before="0" w:after="0"/>
        <w:jc w:val="both"/>
        <w:rPr>
          <w:rFonts w:ascii="Arial" w:hAnsi="Arial"/>
          <w:sz w:val="22"/>
          <w:szCs w:val="22"/>
        </w:rPr>
      </w:pPr>
      <w:r>
        <w:rPr>
          <w:rFonts w:ascii="Arial" w:hAnsi="Arial"/>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Os itens desta contratação são caracterizados como comuns, </w:t>
      </w:r>
      <w:r>
        <w:rPr>
          <w:rFonts w:cs="Arial" w:ascii="Arial" w:hAnsi="Arial"/>
          <w:sz w:val="22"/>
          <w:szCs w:val="22"/>
        </w:rPr>
        <w:t>ou seja, são aqueles cujos padrões de desempenho e qualidade possam ser objetivamente definidos pelo edital, por meio de especificações reconhecidas e usuais do mercado (art. 6º, XIII da Lei nº 14.133/2021)</w:t>
      </w:r>
      <w:r>
        <w:rPr>
          <w:rFonts w:cs="Arial" w:ascii="Arial" w:hAnsi="Arial"/>
          <w:color w:val="000000"/>
          <w:sz w:val="22"/>
          <w:szCs w:val="22"/>
        </w:rPr>
        <w:t>.</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objeto desta contratação não se enquadra como sendo de bem de luxo.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O prazo de vigência da contratação é de 12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w:t>
      </w:r>
      <w:r>
        <w:rPr>
          <w:rFonts w:ascii="Arial" w:hAnsi="Arial"/>
          <w:sz w:val="22"/>
          <w:szCs w:val="22"/>
        </w:rPr>
        <w:t xml:space="preserve">, </w:t>
      </w:r>
      <w:r>
        <w:rPr>
          <w:rFonts w:cs="Arial" w:ascii="Arial" w:hAnsi="Arial"/>
          <w:sz w:val="22"/>
          <w:szCs w:val="22"/>
        </w:rPr>
        <w:t>desde que comprovado o preço vantajoso.</w:t>
      </w:r>
      <w:r>
        <w:rPr>
          <w:rFonts w:ascii="Arial" w:hAnsi="Arial"/>
          <w:sz w:val="22"/>
          <w:szCs w:val="22"/>
        </w:rPr>
        <w:t xml:space="preserve"> </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As notas de empenhos serão emitidas conforme a necessidade da secretaria solicitante.</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prazo da entre</w:t>
      </w:r>
      <w:r>
        <w:rPr>
          <w:rFonts w:cs="Arial" w:ascii="Arial" w:hAnsi="Arial"/>
          <w:color w:val="000000"/>
          <w:sz w:val="22"/>
          <w:szCs w:val="22"/>
          <w:shd w:fill="auto" w:val="clear"/>
        </w:rPr>
        <w:t>ga é de até 10 (vinte) dias, contados do recebimento da nota de empenho, podendo ser prorrogado por igual período.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A entrega das baterias deverão ser entregues, nas quantidades solicitadas, em regra, no seguinte endereço abaixo: </w:t>
      </w:r>
    </w:p>
    <w:p>
      <w:pPr>
        <w:pStyle w:val="NormalWeb"/>
        <w:numPr>
          <w:ilvl w:val="0"/>
          <w:numId w:val="0"/>
        </w:numPr>
        <w:spacing w:lineRule="auto" w:line="276" w:before="0" w:after="0"/>
        <w:ind w:left="0" w:hanging="0"/>
        <w:jc w:val="both"/>
        <w:rPr>
          <w:rFonts w:ascii="Arial" w:hAnsi="Arial"/>
          <w:sz w:val="22"/>
          <w:szCs w:val="22"/>
        </w:rPr>
      </w:pPr>
      <w:r>
        <w:rPr>
          <w:rFonts w:cs="Arial" w:ascii="Arial" w:hAnsi="Arial"/>
          <w:b/>
          <w:bCs/>
          <w:color w:val="000000"/>
          <w:sz w:val="22"/>
          <w:szCs w:val="22"/>
        </w:rPr>
        <w:t>ALMOXARIFADO:</w:t>
      </w:r>
      <w:r>
        <w:rPr>
          <w:rFonts w:cs="Arial" w:ascii="Arial" w:hAnsi="Arial"/>
          <w:color w:val="000000"/>
          <w:sz w:val="22"/>
          <w:szCs w:val="22"/>
        </w:rPr>
        <w:t xml:space="preserve"> Rua Olívio Fischborn, 510 – Parque de Máquinas – Bairro Arco-íris, Vera Cruz – RS – 96880-000, Tel. (51) 3718 1613, (51) 3718 1760,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SECRETARIA DE SAÚDE – GUARITA:</w:t>
      </w:r>
      <w:r>
        <w:rPr>
          <w:rFonts w:cs="Arial" w:ascii="Arial" w:hAnsi="Arial"/>
          <w:color w:val="000000"/>
          <w:sz w:val="22"/>
          <w:szCs w:val="22"/>
        </w:rPr>
        <w:t xml:space="preserve"> Av. Nestor Frederico Henn, 1645, Bairro Centro, Vera Cruz – RS – 96880-000, Tel. (51) 3718-3383, (51) 3718 1327,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SECRETARIA DE EDUCAÇÃO:</w:t>
      </w:r>
      <w:r>
        <w:rPr>
          <w:rFonts w:cs="Arial" w:ascii="Arial" w:hAnsi="Arial"/>
          <w:color w:val="000000"/>
          <w:sz w:val="22"/>
          <w:szCs w:val="22"/>
        </w:rPr>
        <w:t xml:space="preserve"> Rua Jacob Doern, 87, Bairro Centro, Vera Cruz – RS – 96880-000, Tel. (51) 3718 2759,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sz w:val="22"/>
          <w:szCs w:val="22"/>
        </w:rPr>
        <w:t>A empresa vencedora será responsável por despesas com fretes taxas para envio dos materiais.</w:t>
      </w:r>
    </w:p>
    <w:p>
      <w:pPr>
        <w:pStyle w:val="NormalWeb"/>
        <w:numPr>
          <w:ilvl w:val="0"/>
          <w:numId w:val="1"/>
        </w:numPr>
        <w:spacing w:lineRule="auto" w:line="276" w:before="0" w:after="0"/>
        <w:jc w:val="both"/>
        <w:rPr>
          <w:rFonts w:ascii="Arial" w:hAnsi="Arial"/>
          <w:sz w:val="22"/>
          <w:szCs w:val="22"/>
        </w:rPr>
      </w:pPr>
      <w:r>
        <w:rPr>
          <w:rFonts w:eastAsia="Arial-BoldMT" w:cs="Arial" w:ascii="Arial" w:hAnsi="Arial"/>
          <w:color w:val="000000"/>
          <w:sz w:val="22"/>
          <w:szCs w:val="22"/>
          <w:shd w:fill="FFFFFF" w:val="clear"/>
        </w:rPr>
        <w:t>Não serão aceitas entregas cujo objeto não esteja rigorosamente de acordo com a especificação e a solicitação de fornecimento.</w:t>
      </w:r>
    </w:p>
    <w:p>
      <w:pPr>
        <w:pStyle w:val="NormalWeb"/>
        <w:numPr>
          <w:ilvl w:val="0"/>
          <w:numId w:val="1"/>
        </w:numPr>
        <w:spacing w:lineRule="auto" w:line="276" w:before="0" w:after="0"/>
        <w:jc w:val="both"/>
        <w:rPr>
          <w:rFonts w:ascii="Arial" w:hAnsi="Arial" w:eastAsia="Arial-BoldMT" w:cs="Arial"/>
          <w:color w:val="000000"/>
          <w:sz w:val="22"/>
          <w:szCs w:val="22"/>
          <w:shd w:fill="FFFFFF" w:val="clear"/>
        </w:rPr>
      </w:pPr>
      <w:r>
        <w:rPr>
          <w:rFonts w:eastAsia="Arial-BoldMT" w:cs="Arial" w:ascii="Arial" w:hAnsi="Arial"/>
          <w:color w:val="000000"/>
          <w:sz w:val="22"/>
          <w:szCs w:val="22"/>
          <w:shd w:fill="FFFFFF" w:val="clear"/>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Compete ao gestor e fiscal responsável promover o aceite provisório e definitivo dos serviços e também atestar as faturas para pagamento.</w:t>
      </w:r>
    </w:p>
    <w:p>
      <w:pPr>
        <w:pStyle w:val="Normal"/>
        <w:numPr>
          <w:ilvl w:val="0"/>
          <w:numId w:val="1"/>
        </w:numPr>
        <w:spacing w:lineRule="auto" w:line="276"/>
        <w:jc w:val="both"/>
        <w:rPr>
          <w:rFonts w:ascii="Arial" w:hAnsi="Arial"/>
          <w:sz w:val="22"/>
          <w:szCs w:val="22"/>
        </w:rPr>
      </w:pPr>
      <w:r>
        <w:rPr>
          <w:rFonts w:cs="Arial" w:ascii="Arial" w:hAnsi="Arial"/>
          <w:sz w:val="22"/>
          <w:szCs w:val="22"/>
        </w:rPr>
        <w:t>A contratação da presente licitação será efetuada de forma parcelada, conforme necessidade da secretaria solicitante, respectivamente, através da emissão da Ordem de Compra, em um prazo máximo determinado para cada ocasião, local e necessidade dos serviços.</w:t>
      </w:r>
    </w:p>
    <w:p>
      <w:pPr>
        <w:pStyle w:val="Normal"/>
        <w:numPr>
          <w:ilvl w:val="0"/>
          <w:numId w:val="1"/>
        </w:numPr>
        <w:spacing w:lineRule="auto" w:line="276"/>
        <w:jc w:val="both"/>
        <w:rPr>
          <w:rFonts w:ascii="Arial" w:hAnsi="Arial"/>
          <w:sz w:val="22"/>
          <w:szCs w:val="22"/>
        </w:rPr>
      </w:pPr>
      <w:r>
        <w:rPr>
          <w:rFonts w:cs="Arial" w:ascii="Arial" w:hAnsi="Arial"/>
          <w:sz w:val="22"/>
          <w:szCs w:val="22"/>
        </w:rPr>
        <w:t>Todas as despesas decorrentes com pessoal, combustível e equipamentos utilizados para execução dos Serviços, correrão por conta da contratada.</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Após a conferência do serviço prestado, o responsável pela fiscalização deverá assinar seu nome no verso da nota fiscal atestando a execução do serviço e perfeitas condições. </w:t>
      </w:r>
    </w:p>
    <w:p>
      <w:pPr>
        <w:pStyle w:val="Normal"/>
        <w:numPr>
          <w:ilvl w:val="0"/>
          <w:numId w:val="1"/>
        </w:numPr>
        <w:spacing w:lineRule="auto" w:line="276"/>
        <w:jc w:val="both"/>
        <w:rPr>
          <w:rFonts w:ascii="Arial" w:hAnsi="Arial"/>
          <w:sz w:val="22"/>
          <w:szCs w:val="22"/>
        </w:rPr>
      </w:pPr>
      <w:r>
        <w:rPr>
          <w:rFonts w:cs="Arial" w:ascii="Arial" w:hAnsi="Arial"/>
          <w:sz w:val="22"/>
          <w:szCs w:val="22"/>
        </w:rPr>
        <w:t>É vedado/proibido a TERCEIRIZAÇÃO dos serviços para outras empresas.</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A entrega do material, mesmo que definitivo, não exclui a responsabilidade da empresa detentora pela qualidade e características do material entregue, cabendo-lhe sanar quaisquer irregularidades detectadas, durante todo prazo de vigência da Ata de Registro de Preços ou outro instrumento que lhe vier substituir. </w:t>
      </w:r>
    </w:p>
    <w:p>
      <w:pPr>
        <w:pStyle w:val="Normal"/>
        <w:numPr>
          <w:ilvl w:val="0"/>
          <w:numId w:val="1"/>
        </w:numPr>
        <w:spacing w:lineRule="auto" w:line="276"/>
        <w:jc w:val="both"/>
        <w:rPr>
          <w:rFonts w:ascii="Arial" w:hAnsi="Arial"/>
          <w:sz w:val="22"/>
          <w:szCs w:val="22"/>
        </w:rPr>
      </w:pPr>
      <w:r>
        <w:rPr>
          <w:rFonts w:cs="Arial" w:ascii="Arial" w:hAnsi="Arial"/>
          <w:sz w:val="22"/>
          <w:szCs w:val="22"/>
        </w:rPr>
        <w:t>À presença de fiscalização pela contratante não elimina e nem diminui a responsabilidade da empresa contratada.</w:t>
      </w:r>
    </w:p>
    <w:p>
      <w:pPr>
        <w:pStyle w:val="NormalWeb"/>
        <w:numPr>
          <w:ilvl w:val="0"/>
          <w:numId w:val="1"/>
        </w:numPr>
        <w:spacing w:lineRule="auto" w:line="276" w:before="0" w:after="0"/>
        <w:jc w:val="both"/>
        <w:rPr>
          <w:rFonts w:ascii="Arial" w:hAnsi="Arial"/>
          <w:sz w:val="22"/>
          <w:szCs w:val="22"/>
        </w:rPr>
      </w:pPr>
      <w:r>
        <w:rPr>
          <w:rFonts w:ascii="Arial" w:hAnsi="Arial"/>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2. FUNDAMENTAÇÃO DA CONTRATAÇÃO</w:t>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sz w:val="22"/>
          <w:szCs w:val="22"/>
        </w:rPr>
      </w:pPr>
      <w:r>
        <w:rPr>
          <w:rFonts w:cs="Arial" w:ascii="Arial" w:hAnsi="Arial"/>
          <w:color w:val="000000"/>
          <w:sz w:val="22"/>
          <w:szCs w:val="22"/>
        </w:rPr>
        <w:t>A contratação baseia-se no Estudo Técnico Preliminar realizado pela Secretaria de Obras, Saneamento e Trânsito, o qual identifica a necessidade de registro de preços de para a aquisição de óleo lubrificante e material de limpeza automotiva para garantir a plena operacionalidade e contribuir para a eficiência dos serviços públicos prestados pelo município.</w:t>
      </w:r>
    </w:p>
    <w:p>
      <w:pPr>
        <w:pStyle w:val="Normal"/>
        <w:numPr>
          <w:ilvl w:val="0"/>
          <w:numId w:val="1"/>
        </w:numPr>
        <w:spacing w:lineRule="auto" w:line="276"/>
        <w:jc w:val="both"/>
        <w:rPr>
          <w:rFonts w:ascii="Arial" w:hAnsi="Arial"/>
          <w:sz w:val="22"/>
          <w:szCs w:val="22"/>
        </w:rPr>
      </w:pPr>
      <w:r>
        <w:rPr>
          <w:rFonts w:cs="Arial" w:ascii="Arial" w:hAnsi="Arial"/>
          <w:sz w:val="22"/>
          <w:szCs w:val="22"/>
        </w:rPr>
        <w:t>A contratação pretendida está prevista no Plano de Contratações Anual do Município de Vera Cruz – RS, o valor estimado da presente licitação foi realizado, em conformidade com o artigo 23 da Lei Federal nº 14.133/2021, pelo Secretaria de Obras, Saneamento e Trânsito do Município. O valor de cada item foi cotado unidade (unitário).</w:t>
      </w:r>
    </w:p>
    <w:p>
      <w:pPr>
        <w:pStyle w:val="Normal"/>
        <w:numPr>
          <w:ilvl w:val="0"/>
          <w:numId w:val="1"/>
        </w:numPr>
        <w:spacing w:lineRule="auto" w:line="276"/>
        <w:jc w:val="both"/>
        <w:rPr>
          <w:rFonts w:ascii="Arial" w:hAnsi="Arial"/>
          <w:sz w:val="22"/>
          <w:szCs w:val="22"/>
        </w:rPr>
      </w:pPr>
      <w:r>
        <w:rPr>
          <w:rFonts w:cs="Arial" w:ascii="Arial" w:hAnsi="Arial"/>
          <w:sz w:val="22"/>
          <w:szCs w:val="22"/>
        </w:rPr>
        <w:t>Quanto ao fornecimento das baterias, o mesmo pode ser realizado por apenas um ou por mais de um fornecedor/licitante, visto que o objeto será adquirido conforme a necessidade do Setor e de maneira periódica, aproveitando as peculiaridades do mercado local com vistas à economicidade e manutenção dos parâmetros de qualidade, sem que isso afete a competição ou haja concentração de mercado (menor preço unitário)</w:t>
      </w:r>
    </w:p>
    <w:p>
      <w:pPr>
        <w:pStyle w:val="NormalWeb"/>
        <w:numPr>
          <w:ilvl w:val="0"/>
          <w:numId w:val="1"/>
        </w:numPr>
        <w:spacing w:lineRule="auto" w:line="276" w:before="0" w:after="0"/>
        <w:jc w:val="both"/>
        <w:rPr>
          <w:rFonts w:ascii="Arial" w:hAnsi="Arial"/>
          <w:sz w:val="22"/>
          <w:szCs w:val="22"/>
        </w:rPr>
      </w:pPr>
      <w:r>
        <w:rPr>
          <w:rFonts w:ascii="Arial" w:hAnsi="Arial"/>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sz w:val="22"/>
          <w:szCs w:val="22"/>
        </w:rPr>
        <w:t>3. JUSTIFICATIVA RELATIVA</w:t>
      </w:r>
    </w:p>
    <w:p>
      <w:pPr>
        <w:pStyle w:val="Corpodotexto"/>
        <w:numPr>
          <w:ilvl w:val="0"/>
          <w:numId w:val="1"/>
        </w:numPr>
        <w:spacing w:lineRule="auto" w:line="276"/>
        <w:jc w:val="both"/>
        <w:rPr>
          <w:rFonts w:ascii="Arial" w:hAnsi="Arial"/>
          <w:sz w:val="22"/>
          <w:szCs w:val="22"/>
        </w:rPr>
      </w:pPr>
      <w:r>
        <w:rPr>
          <w:rFonts w:cs="Arial" w:ascii="Arial" w:hAnsi="Arial"/>
          <w:sz w:val="22"/>
          <w:szCs w:val="22"/>
        </w:rPr>
        <w:t>O uso intenso da frota de veículos e máquinas pertencentes ao Município torna indispensável a aquisição de óleos lubrificantes e produtos de limpeza automotiva. Esses itens são fundamentais para a manutenção preventiva e corretiva, garantindo o pleno funcionamento dos veículos e equipamentos utilizados na prestação de serviços públicos.</w:t>
      </w:r>
    </w:p>
    <w:p>
      <w:pPr>
        <w:pStyle w:val="Corpodotexto"/>
        <w:numPr>
          <w:ilvl w:val="0"/>
          <w:numId w:val="1"/>
        </w:numPr>
        <w:spacing w:lineRule="auto" w:line="276"/>
        <w:rPr>
          <w:rFonts w:ascii="Arial" w:hAnsi="Arial"/>
          <w:sz w:val="22"/>
          <w:szCs w:val="22"/>
        </w:rPr>
      </w:pPr>
      <w:r>
        <w:rPr>
          <w:rFonts w:cs="Arial" w:ascii="Arial" w:hAnsi="Arial"/>
          <w:sz w:val="22"/>
          <w:szCs w:val="22"/>
        </w:rPr>
        <w:t>Os óleos lubrificantes são essenciais para assegurar a conservação mecânica, reduzir o desgaste prematuro dos componentes e prolongar a vida útil da frota. Trocas regulares de lubrificantes são práticas indispensáveis para evitar falhas mecânicas e otimizar o desempenho dos veículos e máquinas, garantindo a continuidade das atividades municipais.</w:t>
      </w:r>
    </w:p>
    <w:p>
      <w:pPr>
        <w:pStyle w:val="Corpodotexto"/>
        <w:numPr>
          <w:ilvl w:val="0"/>
          <w:numId w:val="1"/>
        </w:numPr>
        <w:spacing w:lineRule="auto" w:line="276"/>
        <w:rPr>
          <w:rFonts w:ascii="Arial" w:hAnsi="Arial"/>
          <w:sz w:val="22"/>
          <w:szCs w:val="22"/>
        </w:rPr>
      </w:pPr>
      <w:r>
        <w:rPr>
          <w:rFonts w:cs="Arial" w:ascii="Arial" w:hAnsi="Arial"/>
          <w:sz w:val="22"/>
          <w:szCs w:val="22"/>
        </w:rPr>
        <w:t>Adicionalmente, os produtos de limpeza automotiva desempenham papel crucial na conservação estética e funcional da frota. A limpeza adequada previne a corrosão e o acúmulo de sujeira que pode comprometer o funcionamento dos equipamentos e a segurança dos usuários. Além disso, a boa apresentação dos veículos é essencial para transmitir uma imagem de cuidado e profissionalismo, especialmente em serviços que envolvem interação com a população.</w:t>
      </w:r>
    </w:p>
    <w:p>
      <w:pPr>
        <w:pStyle w:val="Corpodotexto"/>
        <w:numPr>
          <w:ilvl w:val="0"/>
          <w:numId w:val="1"/>
        </w:numPr>
        <w:spacing w:lineRule="auto" w:line="276"/>
        <w:rPr>
          <w:rFonts w:ascii="Arial" w:hAnsi="Arial"/>
          <w:sz w:val="22"/>
          <w:szCs w:val="22"/>
        </w:rPr>
      </w:pPr>
      <w:r>
        <w:rPr>
          <w:rFonts w:cs="Arial" w:ascii="Arial" w:hAnsi="Arial"/>
          <w:sz w:val="22"/>
          <w:szCs w:val="22"/>
        </w:rPr>
        <w:t>Portanto, a aquisição de óleos lubrificantes e produtos de limpeza automotiva é imprescindível para a efetiva e adequada prestação dos serviços públicos, contribuindo para a durabilidade, eficiência e conservação do patrimônio público municipal.</w:t>
      </w:r>
    </w:p>
    <w:p>
      <w:pPr>
        <w:pStyle w:val="Normal"/>
        <w:numPr>
          <w:ilvl w:val="0"/>
          <w:numId w:val="1"/>
        </w:numPr>
        <w:spacing w:lineRule="auto" w:line="276"/>
        <w:jc w:val="both"/>
        <w:rPr>
          <w:rFonts w:ascii="Arial" w:hAnsi="Arial"/>
          <w:sz w:val="22"/>
          <w:szCs w:val="22"/>
        </w:rPr>
      </w:pPr>
      <w:bookmarkStart w:id="7" w:name="art6xxiiid_Copia_1"/>
      <w:bookmarkEnd w:id="7"/>
      <w:r>
        <w:rPr>
          <w:rFonts w:cs="Arial" w:ascii="Arial" w:hAnsi="Arial"/>
          <w:b/>
          <w:bCs/>
          <w:color w:val="000000"/>
          <w:sz w:val="22"/>
          <w:szCs w:val="22"/>
        </w:rPr>
        <w:t>4. REQUISITOS DA CONTRATAÇÃO</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Os bens têm natureza de bens comuns, tendo em vista que seus </w:t>
      </w:r>
      <w:r>
        <w:rPr>
          <w:rFonts w:cs="Arial" w:ascii="Arial" w:hAnsi="Arial"/>
          <w:color w:val="000000"/>
          <w:sz w:val="22"/>
          <w:szCs w:val="22"/>
        </w:rPr>
        <w:t xml:space="preserve">padrões de desempenho e qualidade podem ser objetivamente definidos pelo edital, por meio de especificações usuais de mercado, </w:t>
      </w:r>
      <w:r>
        <w:rPr>
          <w:rFonts w:cs="Arial" w:ascii="Arial" w:hAnsi="Arial"/>
          <w:sz w:val="22"/>
          <w:szCs w:val="22"/>
        </w:rPr>
        <w:t>nos termos do art. 6º, inciso XIII, da Lei Federal nº 14.133/2021.</w:t>
      </w:r>
    </w:p>
    <w:p>
      <w:pPr>
        <w:pStyle w:val="Normal"/>
        <w:numPr>
          <w:ilvl w:val="0"/>
          <w:numId w:val="1"/>
        </w:numPr>
        <w:spacing w:lineRule="auto" w:line="276"/>
        <w:jc w:val="both"/>
        <w:rPr>
          <w:rFonts w:ascii="Arial" w:hAnsi="Arial"/>
          <w:sz w:val="22"/>
          <w:szCs w:val="22"/>
        </w:rPr>
      </w:pPr>
      <w:r>
        <w:rPr>
          <w:rFonts w:cs="Arial" w:ascii="Arial" w:hAnsi="Arial"/>
          <w:sz w:val="22"/>
          <w:szCs w:val="22"/>
        </w:rPr>
        <w:t>A contratação será realizada por meio de licitação, na modalidade Pregão, na sua forma eletrônica, de forma parcelada, com critério de julgamento por menor preço, nos termos dos artigos 6º, inciso XLI, 17, § 2º, e 34, todos da Lei Federal nº 14.133/2021.</w:t>
      </w:r>
    </w:p>
    <w:p>
      <w:pPr>
        <w:pStyle w:val="Normal"/>
        <w:numPr>
          <w:ilvl w:val="0"/>
          <w:numId w:val="1"/>
        </w:numPr>
        <w:spacing w:lineRule="auto" w:line="276"/>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5. MODELO DE EXECUÇÃO DO OBJETO</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Condições de entrega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xml:space="preserve">O prazo de vigência da contratação é de 12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w:t>
      </w:r>
      <w:r>
        <w:rPr>
          <w:rFonts w:cs="Arial" w:ascii="Arial" w:hAnsi="Arial"/>
          <w:sz w:val="22"/>
          <w:szCs w:val="22"/>
        </w:rPr>
        <w:t>, desde que comprovado o preço vantajoso.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prazo da entre</w:t>
      </w:r>
      <w:r>
        <w:rPr>
          <w:rFonts w:cs="Arial" w:ascii="Arial" w:hAnsi="Arial"/>
          <w:color w:val="000000"/>
          <w:sz w:val="22"/>
          <w:szCs w:val="22"/>
          <w:shd w:fill="auto" w:val="clear"/>
        </w:rPr>
        <w:t>ga é de até 10 (dez) dias, contados do recebimento da nota de empenho, podendo ser prorrogado por igual período.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A entrega das baterias deverão ser entregues, nas quantidades solicitadas, em regra, no seguinte endereço abaixo: </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ALMOXARIFADO:</w:t>
      </w:r>
      <w:r>
        <w:rPr>
          <w:rFonts w:cs="Arial" w:ascii="Arial" w:hAnsi="Arial"/>
          <w:color w:val="000000"/>
          <w:sz w:val="22"/>
          <w:szCs w:val="22"/>
        </w:rPr>
        <w:t xml:space="preserve"> Rua Olívio Fischborn, 510 – Parque de Máquinas – Bairro Arco-íris, Vera Cruz – RS – 96880-000, Tel. (51) 3718 1613, (51) 3718 1760,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SECRETARIA DE SAÚDE – GUARITA:</w:t>
      </w:r>
      <w:r>
        <w:rPr>
          <w:rFonts w:cs="Arial" w:ascii="Arial" w:hAnsi="Arial"/>
          <w:color w:val="000000"/>
          <w:sz w:val="22"/>
          <w:szCs w:val="22"/>
        </w:rPr>
        <w:t xml:space="preserve"> Av. Nestor Frederico Henn, 1645, Bairro Centro, Vera Cruz – RS – 96880-000, Tel. (51) 3718-3383, (51) 3718 1327,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SECRETARIA DE EDUCAÇÃO:</w:t>
      </w:r>
      <w:r>
        <w:rPr>
          <w:rFonts w:cs="Arial" w:ascii="Arial" w:hAnsi="Arial"/>
          <w:color w:val="000000"/>
          <w:sz w:val="22"/>
          <w:szCs w:val="22"/>
        </w:rPr>
        <w:t xml:space="preserve"> Rua Jacob Doern, 87, Bairro Centro, Vera Cruz – RS – 96880-000, Tel. (51) 3718 2759, de segunda a sexta, no horário das 07h30 às 11h30 ou da 13:00h às 16:00h.</w:t>
      </w:r>
    </w:p>
    <w:p>
      <w:pPr>
        <w:pStyle w:val="NormalWeb"/>
        <w:numPr>
          <w:ilvl w:val="0"/>
          <w:numId w:val="1"/>
        </w:numPr>
        <w:spacing w:lineRule="auto" w:line="276" w:before="0" w:after="0"/>
        <w:jc w:val="both"/>
        <w:rPr>
          <w:rFonts w:ascii="Arial" w:hAnsi="Arial"/>
          <w:sz w:val="22"/>
          <w:szCs w:val="22"/>
        </w:rPr>
      </w:pPr>
      <w:r>
        <w:rPr>
          <w:rFonts w:cs="Arial" w:ascii="Arial" w:hAnsi="Arial"/>
          <w:sz w:val="22"/>
          <w:szCs w:val="22"/>
        </w:rPr>
        <w:t>A empresa vencedora será responsável por despesas com fretes taxas para envio dos materiais.</w:t>
      </w:r>
    </w:p>
    <w:p>
      <w:pPr>
        <w:pStyle w:val="NormalWeb"/>
        <w:numPr>
          <w:ilvl w:val="0"/>
          <w:numId w:val="1"/>
        </w:numPr>
        <w:spacing w:lineRule="auto" w:line="276" w:before="0" w:after="0"/>
        <w:jc w:val="both"/>
        <w:rPr>
          <w:rFonts w:ascii="Arial" w:hAnsi="Arial"/>
          <w:sz w:val="22"/>
          <w:szCs w:val="22"/>
        </w:rPr>
      </w:pPr>
      <w:r>
        <w:rPr>
          <w:rFonts w:eastAsia="Arial-BoldMT" w:cs="Arial" w:ascii="Arial" w:hAnsi="Arial"/>
          <w:color w:val="000000"/>
          <w:sz w:val="22"/>
          <w:szCs w:val="22"/>
          <w:shd w:fill="FFFFFF" w:val="clear"/>
        </w:rPr>
        <w:t>Não serão aceitas entregas cujo objeto não esteja rigorosamente de acordo com a especificação e a solicitação de fornecimento.</w:t>
      </w:r>
    </w:p>
    <w:p>
      <w:pPr>
        <w:pStyle w:val="NormalWeb"/>
        <w:numPr>
          <w:ilvl w:val="0"/>
          <w:numId w:val="1"/>
        </w:numPr>
        <w:spacing w:lineRule="auto" w:line="276" w:before="0" w:after="0"/>
        <w:jc w:val="both"/>
        <w:rPr>
          <w:rFonts w:ascii="Arial" w:hAnsi="Arial" w:eastAsia="Arial-BoldMT" w:cs="Arial"/>
          <w:color w:val="000000"/>
          <w:sz w:val="22"/>
          <w:szCs w:val="22"/>
          <w:shd w:fill="FFFFFF" w:val="clear"/>
        </w:rPr>
      </w:pPr>
      <w:r>
        <w:rPr>
          <w:rFonts w:eastAsia="Arial-BoldMT" w:cs="Arial" w:ascii="Arial" w:hAnsi="Arial"/>
          <w:color w:val="000000"/>
          <w:sz w:val="22"/>
          <w:szCs w:val="22"/>
          <w:shd w:fill="FFFFFF" w:val="clear"/>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Compete ao gestor e fiscal responsável promover o aceite provisório e definitivo dos serviços e também atestar as faturas para pagamento.</w:t>
      </w:r>
    </w:p>
    <w:p>
      <w:pPr>
        <w:pStyle w:val="Normal"/>
        <w:numPr>
          <w:ilvl w:val="0"/>
          <w:numId w:val="1"/>
        </w:numPr>
        <w:spacing w:lineRule="auto" w:line="276"/>
        <w:jc w:val="both"/>
        <w:rPr>
          <w:rFonts w:ascii="Arial" w:hAnsi="Arial"/>
          <w:sz w:val="22"/>
          <w:szCs w:val="22"/>
        </w:rPr>
      </w:pPr>
      <w:r>
        <w:rPr>
          <w:rFonts w:cs="Arial" w:ascii="Arial" w:hAnsi="Arial"/>
          <w:sz w:val="22"/>
          <w:szCs w:val="22"/>
        </w:rPr>
        <w:t>A contratação da presente licitação será efetuada de forma parcelada, conforme necessidade da secretaria solicitante, respectivamente, através da emissão da Ordem de Compra, em um prazo máximo determinado para cada ocasião, local e necessidade dos serviços.</w:t>
      </w:r>
    </w:p>
    <w:p>
      <w:pPr>
        <w:pStyle w:val="Normal"/>
        <w:numPr>
          <w:ilvl w:val="0"/>
          <w:numId w:val="1"/>
        </w:numPr>
        <w:spacing w:lineRule="auto" w:line="276"/>
        <w:jc w:val="both"/>
        <w:rPr>
          <w:rFonts w:ascii="Arial" w:hAnsi="Arial"/>
          <w:sz w:val="22"/>
          <w:szCs w:val="22"/>
        </w:rPr>
      </w:pPr>
      <w:r>
        <w:rPr>
          <w:rFonts w:cs="Arial" w:ascii="Arial" w:hAnsi="Arial"/>
          <w:sz w:val="22"/>
          <w:szCs w:val="22"/>
        </w:rPr>
        <w:t>Todas as despesas decorrentes com pessoal, combustível e equipamentos utilizados para execução dos Serviços, correrão por conta da contratada.</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Após a conferência do serviço prestado, o responsável pela fiscalização deverá assinar seu nome no verso da nota fiscal atestando a execução do serviço e perfeitas condições. </w:t>
      </w:r>
    </w:p>
    <w:p>
      <w:pPr>
        <w:pStyle w:val="Normal"/>
        <w:numPr>
          <w:ilvl w:val="0"/>
          <w:numId w:val="1"/>
        </w:numPr>
        <w:spacing w:lineRule="auto" w:line="276"/>
        <w:jc w:val="both"/>
        <w:rPr>
          <w:rFonts w:ascii="Arial" w:hAnsi="Arial"/>
          <w:sz w:val="22"/>
          <w:szCs w:val="22"/>
        </w:rPr>
      </w:pPr>
      <w:r>
        <w:rPr>
          <w:rFonts w:cs="Arial" w:ascii="Arial" w:hAnsi="Arial"/>
          <w:sz w:val="22"/>
          <w:szCs w:val="22"/>
        </w:rPr>
        <w:t>É vedado/proibido a TERCEIRIZAÇÃO dos serviços para outras empresas.</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A entrega do material, mesmo que definitivo, não exclui a responsabilidade da empresa detentora pela qualidade e características do material entregue, cabendo-lhe sanar quaisquer irregularidades detectadas, durante todo prazo de vigência da Ata de Registro de Preços ou outro instrumento que lhe vier substituir. </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À presença de fiscalização pela contratante não elimina e nem diminui a responsabilidade da empresa contratada.</w:t>
      </w:r>
    </w:p>
    <w:p>
      <w:pPr>
        <w:pStyle w:val="NormalWeb"/>
        <w:numPr>
          <w:ilvl w:val="0"/>
          <w:numId w:val="1"/>
        </w:numPr>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276" w:before="0" w:after="0"/>
        <w:jc w:val="both"/>
        <w:rPr>
          <w:rFonts w:ascii="Arial" w:hAnsi="Arial"/>
          <w:sz w:val="22"/>
          <w:szCs w:val="22"/>
        </w:rPr>
      </w:pPr>
      <w:bookmarkStart w:id="8" w:name="art6xxiiif_Copia_1"/>
      <w:bookmarkEnd w:id="8"/>
      <w:r>
        <w:rPr>
          <w:rFonts w:cs="Arial" w:ascii="Arial" w:hAnsi="Arial"/>
          <w:b/>
          <w:bCs/>
          <w:color w:val="000000"/>
          <w:sz w:val="22"/>
          <w:szCs w:val="22"/>
        </w:rPr>
        <w:t>6. MODELO DE GESTÃO DO CONTRATO</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Da fiscalização administrativa</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hAnsi="Arial"/>
          <w:sz w:val="22"/>
          <w:szCs w:val="22"/>
        </w:rPr>
        <w:t xml:space="preserve"> </w:t>
      </w:r>
    </w:p>
    <w:p>
      <w:pPr>
        <w:pStyle w:val="NormalWeb"/>
        <w:numPr>
          <w:ilvl w:val="0"/>
          <w:numId w:val="1"/>
        </w:numPr>
        <w:spacing w:lineRule="auto" w:line="276" w:before="0" w:after="0"/>
        <w:jc w:val="both"/>
        <w:rPr>
          <w:rFonts w:ascii="Arial" w:hAnsi="Arial"/>
          <w:sz w:val="22"/>
          <w:szCs w:val="22"/>
        </w:rPr>
      </w:pPr>
      <w:r>
        <w:rPr>
          <w:rFonts w:cs="Arial" w:ascii="Arial" w:hAnsi="Arial"/>
          <w:sz w:val="22"/>
          <w:szCs w:val="22"/>
        </w:rPr>
        <w:t xml:space="preserve">Caso Ata/contrato ocorram descumprimento informará a seus superiores, em tempo hábil para a adoção das medidas convenientes, a situação que demandar decisão ou providência que ultrapasse sua competência. O fiscal da Ata/contrato será auxiliado pelos órgãos de assessoramento jurídico e de controle interno da Administração, que </w:t>
      </w:r>
      <w:r>
        <w:rPr>
          <w:rFonts w:cs="Arial" w:ascii="Arial" w:hAnsi="Arial"/>
          <w:color w:val="000000"/>
          <w:sz w:val="22"/>
          <w:szCs w:val="22"/>
        </w:rPr>
        <w:t>atuará tempestivamente na solução do problema</w:t>
      </w:r>
      <w:r>
        <w:rPr>
          <w:rFonts w:cs="Arial" w:ascii="Arial" w:hAnsi="Arial"/>
          <w:sz w:val="22"/>
          <w:szCs w:val="22"/>
        </w:rPr>
        <w:t xml:space="preserve"> dirimir dúvidas e subsidiá-lo com informações relevantes para prevenir riscos na execução contratual.</w:t>
      </w:r>
    </w:p>
    <w:p>
      <w:pPr>
        <w:pStyle w:val="NormalWeb"/>
        <w:numPr>
          <w:ilvl w:val="0"/>
          <w:numId w:val="1"/>
        </w:numPr>
        <w:spacing w:lineRule="auto" w:line="276" w:before="0" w:after="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Gestor do contrato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O gestor do Ata/contrato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Gestor: Maiquel Aretz</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Fiscal: Samuel Oliveira Mateus</w:t>
      </w:r>
    </w:p>
    <w:p>
      <w:pPr>
        <w:pStyle w:val="NormalWeb"/>
        <w:numPr>
          <w:ilvl w:val="0"/>
          <w:numId w:val="1"/>
        </w:numPr>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7. CRITÉRIOS DE MEDIÇÃO e DE PAGAMENTO</w:t>
      </w:r>
    </w:p>
    <w:p>
      <w:pPr>
        <w:pStyle w:val="Default"/>
        <w:numPr>
          <w:ilvl w:val="0"/>
          <w:numId w:val="1"/>
        </w:numPr>
        <w:spacing w:lineRule="auto" w:line="276"/>
        <w:jc w:val="both"/>
        <w:rPr>
          <w:rFonts w:ascii="Arial" w:hAnsi="Arial"/>
          <w:sz w:val="22"/>
          <w:szCs w:val="22"/>
        </w:rPr>
      </w:pPr>
      <w:r>
        <w:rPr>
          <w:rFonts w:cs="Arial" w:ascii="Arial" w:hAnsi="Arial"/>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Default"/>
        <w:numPr>
          <w:ilvl w:val="0"/>
          <w:numId w:val="1"/>
        </w:numPr>
        <w:spacing w:lineRule="auto" w:line="276"/>
        <w:jc w:val="both"/>
        <w:rPr>
          <w:rFonts w:ascii="Arial" w:hAnsi="Arial"/>
          <w:sz w:val="22"/>
          <w:szCs w:val="22"/>
        </w:rPr>
      </w:pPr>
      <w:r>
        <w:rPr>
          <w:rFonts w:cs="Arial" w:ascii="Arial" w:hAnsi="Arial"/>
          <w:sz w:val="22"/>
          <w:szCs w:val="22"/>
        </w:rPr>
        <w:t>O recebimento definitivo ocorrerá no prazo de 10 (dez) dias úteis, podendo ser prorrogável por igual período, a contar do recebimento da nota fiscal ou instrumento de cobrança equivalente pela administração, após a verificação da qualidade e quantidade do material e consequente aceitação mediante termo detalhado.</w:t>
      </w:r>
    </w:p>
    <w:p>
      <w:pPr>
        <w:pStyle w:val="Default"/>
        <w:numPr>
          <w:ilvl w:val="0"/>
          <w:numId w:val="1"/>
        </w:numPr>
        <w:spacing w:lineRule="auto" w:line="276"/>
        <w:jc w:val="both"/>
        <w:rPr>
          <w:rFonts w:ascii="Arial" w:hAnsi="Arial"/>
          <w:sz w:val="22"/>
          <w:szCs w:val="22"/>
        </w:rPr>
      </w:pPr>
      <w:r>
        <w:rPr>
          <w:rFonts w:cs="Arial" w:ascii="Arial" w:hAnsi="Arial"/>
          <w:sz w:val="22"/>
          <w:szCs w:val="22"/>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1"/>
        </w:numPr>
        <w:spacing w:lineRule="auto" w:line="276"/>
        <w:jc w:val="both"/>
        <w:rPr>
          <w:rFonts w:ascii="Arial" w:hAnsi="Arial"/>
          <w:sz w:val="22"/>
          <w:szCs w:val="22"/>
        </w:rPr>
      </w:pPr>
      <w:r>
        <w:rPr>
          <w:rFonts w:cs="Arial" w:ascii="Arial" w:hAnsi="Arial"/>
          <w:sz w:val="22"/>
          <w:szCs w:val="22"/>
        </w:rPr>
        <w:t>As licitantes devem acompanhar a emissão dos empenhos pelo sistema da Prefeitura, por meio do Portal da Transparência.</w:t>
      </w:r>
    </w:p>
    <w:p>
      <w:pPr>
        <w:pStyle w:val="Default"/>
        <w:numPr>
          <w:ilvl w:val="0"/>
          <w:numId w:val="1"/>
        </w:numPr>
        <w:spacing w:lineRule="auto" w:line="276"/>
        <w:jc w:val="both"/>
        <w:rPr>
          <w:rFonts w:ascii="Arial" w:hAnsi="Arial"/>
          <w:sz w:val="22"/>
          <w:szCs w:val="22"/>
        </w:rPr>
      </w:pPr>
      <w:r>
        <w:rPr>
          <w:rFonts w:cs="Arial" w:ascii="Arial" w:hAnsi="Arial"/>
          <w:sz w:val="22"/>
          <w:szCs w:val="22"/>
        </w:rPr>
        <w:t>No caso de execução/fornecimento de peças estar em desacordo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1"/>
        </w:numPr>
        <w:spacing w:lineRule="auto" w:line="276"/>
        <w:jc w:val="both"/>
        <w:rPr>
          <w:rFonts w:ascii="Arial" w:hAnsi="Arial"/>
          <w:sz w:val="22"/>
          <w:szCs w:val="22"/>
        </w:rPr>
      </w:pPr>
      <w:r>
        <w:rPr>
          <w:rFonts w:cs="Arial" w:ascii="Arial" w:hAnsi="Arial"/>
          <w:sz w:val="22"/>
          <w:szCs w:val="22"/>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w:t>
      </w:r>
    </w:p>
    <w:p>
      <w:pPr>
        <w:pStyle w:val="Default"/>
        <w:numPr>
          <w:ilvl w:val="0"/>
          <w:numId w:val="1"/>
        </w:numPr>
        <w:spacing w:lineRule="auto" w:line="276"/>
        <w:jc w:val="both"/>
        <w:rPr>
          <w:rFonts w:ascii="Arial" w:hAnsi="Arial"/>
          <w:sz w:val="22"/>
          <w:szCs w:val="22"/>
        </w:rPr>
      </w:pPr>
      <w:r>
        <w:rPr>
          <w:rFonts w:cs="Arial" w:ascii="Arial" w:hAnsi="Arial"/>
          <w:sz w:val="22"/>
          <w:szCs w:val="22"/>
        </w:rPr>
        <w:t>A licitante vencedora deverá emitir a nota fiscal tão logo ocorra o fornecimento/ prestação dos serviços. Na nota fiscal deve ser especificado o ponto de entrega do objeto e CNPJ da licitante.</w:t>
      </w:r>
    </w:p>
    <w:p>
      <w:pPr>
        <w:pStyle w:val="Default"/>
        <w:numPr>
          <w:ilvl w:val="0"/>
          <w:numId w:val="1"/>
        </w:numPr>
        <w:spacing w:lineRule="auto" w:line="276"/>
        <w:jc w:val="both"/>
        <w:rPr>
          <w:rFonts w:ascii="Arial" w:hAnsi="Arial"/>
          <w:sz w:val="22"/>
          <w:szCs w:val="22"/>
        </w:rPr>
      </w:pPr>
      <w:r>
        <w:rPr>
          <w:rFonts w:cs="Arial" w:ascii="Arial" w:hAnsi="Arial"/>
          <w:sz w:val="22"/>
          <w:szCs w:val="22"/>
        </w:rPr>
        <w:t>Em caso de rejeição da nota fiscal e/ou fatura, motivada por erro ou incorreção, o prazo de até 30 (trinta) dias passará a ser contado a partir da data da reapresentação.</w:t>
      </w:r>
    </w:p>
    <w:p>
      <w:pPr>
        <w:pStyle w:val="Default"/>
        <w:numPr>
          <w:ilvl w:val="0"/>
          <w:numId w:val="1"/>
        </w:numPr>
        <w:spacing w:lineRule="auto" w:line="276"/>
        <w:jc w:val="both"/>
        <w:rPr>
          <w:rFonts w:ascii="Arial" w:hAnsi="Arial"/>
          <w:sz w:val="22"/>
          <w:szCs w:val="22"/>
        </w:rPr>
      </w:pPr>
      <w:r>
        <w:rPr>
          <w:rFonts w:cs="Arial" w:ascii="Arial" w:hAnsi="Arial"/>
          <w:sz w:val="22"/>
          <w:szCs w:val="22"/>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Default"/>
        <w:numPr>
          <w:ilvl w:val="0"/>
          <w:numId w:val="1"/>
        </w:numPr>
        <w:spacing w:lineRule="auto" w:line="276"/>
        <w:jc w:val="both"/>
        <w:rPr>
          <w:rFonts w:ascii="Arial" w:hAnsi="Arial"/>
          <w:sz w:val="22"/>
          <w:szCs w:val="22"/>
        </w:rPr>
      </w:pPr>
      <w:r>
        <w:rPr>
          <w:rFonts w:cs="Arial" w:ascii="Arial" w:hAnsi="Arial"/>
          <w:sz w:val="22"/>
          <w:szCs w:val="22"/>
        </w:rPr>
        <w:t>Não serão aceitos boletos bancários, somente serão efetuados depósitos em conta-corrente em nome da empresa licitante vencedora.</w:t>
      </w:r>
    </w:p>
    <w:p>
      <w:pPr>
        <w:pStyle w:val="Default"/>
        <w:numPr>
          <w:ilvl w:val="0"/>
          <w:numId w:val="1"/>
        </w:numPr>
        <w:spacing w:lineRule="auto" w:line="276"/>
        <w:jc w:val="both"/>
        <w:rPr>
          <w:rFonts w:ascii="Arial" w:hAnsi="Arial"/>
          <w:sz w:val="22"/>
          <w:szCs w:val="22"/>
        </w:rPr>
      </w:pPr>
      <w:r>
        <w:rPr>
          <w:rFonts w:cs="Arial" w:ascii="Arial" w:hAnsi="Arial"/>
          <w:sz w:val="22"/>
          <w:szCs w:val="22"/>
        </w:rPr>
        <w:t>Deverão ser entregues sempre que necessário, as Certidões atualizadas (válidas) relativas ao Fundo de Garantia por Tempo de Serviço (FGTS) e de regularidade para com as Fazendas Municipal, Estadual, Federal e Trabalhista.</w:t>
      </w:r>
    </w:p>
    <w:p>
      <w:pPr>
        <w:pStyle w:val="Normal"/>
        <w:numPr>
          <w:ilvl w:val="0"/>
          <w:numId w:val="1"/>
        </w:numPr>
        <w:spacing w:lineRule="auto" w:line="276"/>
        <w:jc w:val="both"/>
        <w:rPr>
          <w:rFonts w:ascii="Arial" w:hAnsi="Arial"/>
          <w:sz w:val="22"/>
          <w:szCs w:val="22"/>
        </w:rPr>
      </w:pPr>
      <w:r>
        <w:rPr>
          <w:rFonts w:cs="Arial" w:ascii="Arial" w:hAnsi="Arial"/>
          <w:sz w:val="22"/>
          <w:szCs w:val="22"/>
        </w:rPr>
        <w:t xml:space="preserve">Ocorrendo atraso no pagamento, os valores serão corrigidos monetariamente pelo índice IPCA do período, ou outro índice que vier a substituí-lo, e a Administração compensará a contratada com juros de 0,5% ao mês, </w:t>
      </w:r>
      <w:r>
        <w:rPr>
          <w:rFonts w:cs="Arial" w:ascii="Arial" w:hAnsi="Arial"/>
          <w:i/>
          <w:sz w:val="22"/>
          <w:szCs w:val="22"/>
        </w:rPr>
        <w:t>pro rata</w:t>
      </w:r>
      <w:r>
        <w:rPr>
          <w:rFonts w:cs="Arial" w:ascii="Arial" w:hAnsi="Arial"/>
          <w:sz w:val="22"/>
          <w:szCs w:val="22"/>
        </w:rPr>
        <w:t>.</w:t>
      </w:r>
    </w:p>
    <w:p>
      <w:pPr>
        <w:pStyle w:val="NormalWeb"/>
        <w:numPr>
          <w:ilvl w:val="0"/>
          <w:numId w:val="1"/>
        </w:numPr>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8. FORMA E CRITÉRIOS DE SELEÇÃO DO FORNECEDOR/PRESTADOR DE SERVIÇO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fornecedor será selecionado por meio da realização de procedimento de Licitação, na modalidade Pregão, sob a forma eletrônica, com adoção do critério de julgamento pelo menor preço por item.</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Será adotada a exclusividade para ME e EPP, conforme LC 123/2006.</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Da forma de fornecimento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O fornecimento do objeto será parcelado.</w:t>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Exigências de habilitação</w:t>
      </w:r>
    </w:p>
    <w:p>
      <w:pPr>
        <w:pStyle w:val="NormalWeb"/>
        <w:numPr>
          <w:ilvl w:val="0"/>
          <w:numId w:val="1"/>
        </w:numPr>
        <w:spacing w:lineRule="auto" w:line="276" w:before="0" w:after="0"/>
        <w:jc w:val="both"/>
        <w:rPr>
          <w:rFonts w:ascii="Arial" w:hAnsi="Arial"/>
          <w:sz w:val="22"/>
          <w:szCs w:val="22"/>
        </w:rPr>
      </w:pPr>
      <w:r>
        <w:rPr>
          <w:rFonts w:cs="Arial" w:ascii="Arial" w:hAnsi="Arial"/>
          <w:color w:val="000000"/>
          <w:sz w:val="22"/>
          <w:szCs w:val="22"/>
        </w:rPr>
        <w:t>Para fins de habilitação, deverá o licitante comprovar os seguintes requisitos:</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Habilitação Jurídica:</w:t>
      </w:r>
    </w:p>
    <w:p>
      <w:pPr>
        <w:pStyle w:val="Default"/>
        <w:numPr>
          <w:ilvl w:val="0"/>
          <w:numId w:val="1"/>
        </w:numPr>
        <w:spacing w:lineRule="auto" w:line="276"/>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Habilitação fiscal, Social e Trabalhista:</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numPr>
          <w:ilvl w:val="0"/>
          <w:numId w:val="1"/>
        </w:numPr>
        <w:spacing w:lineRule="auto" w:line="276"/>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numPr>
          <w:ilvl w:val="0"/>
          <w:numId w:val="1"/>
        </w:numPr>
        <w:spacing w:lineRule="auto" w:line="276"/>
        <w:jc w:val="both"/>
        <w:textAlignment w:val="top"/>
        <w:rPr>
          <w:rFonts w:ascii="Arial" w:hAnsi="Arial"/>
          <w:sz w:val="22"/>
          <w:szCs w:val="22"/>
        </w:rPr>
      </w:pPr>
      <w:r>
        <w:rPr>
          <w:rFonts w:cs="Arial" w:ascii="Arial" w:hAnsi="Arial"/>
          <w:b/>
          <w:color w:val="000000"/>
          <w:sz w:val="22"/>
          <w:szCs w:val="22"/>
        </w:rPr>
        <w:t>Habilitação Econômico-Financeiro:</w:t>
      </w:r>
    </w:p>
    <w:p>
      <w:pPr>
        <w:pStyle w:val="Normal"/>
        <w:numPr>
          <w:ilvl w:val="0"/>
          <w:numId w:val="1"/>
        </w:numPr>
        <w:spacing w:lineRule="auto" w:line="276"/>
        <w:jc w:val="both"/>
        <w:textAlignment w:val="top"/>
        <w:rPr>
          <w:rFonts w:ascii="Arial" w:hAnsi="Arial"/>
          <w:sz w:val="22"/>
          <w:szCs w:val="22"/>
        </w:rPr>
      </w:pPr>
      <w:r>
        <w:rPr>
          <w:rFonts w:cs="Arial" w:ascii="Arial" w:hAnsi="Arial"/>
          <w:b/>
          <w:sz w:val="22"/>
          <w:szCs w:val="22"/>
        </w:rPr>
        <w:t xml:space="preserve">a) </w:t>
      </w:r>
      <w:r>
        <w:rPr>
          <w:rFonts w:cs="Arial" w:ascii="Arial" w:hAnsi="Arial"/>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Web"/>
        <w:numPr>
          <w:ilvl w:val="0"/>
          <w:numId w:val="1"/>
        </w:numPr>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rPr>
        <w:t>9. ESTIMATIVA DO VALOR DA CONTRATAÇÃO</w:t>
      </w:r>
    </w:p>
    <w:p>
      <w:pPr>
        <w:pStyle w:val="Normal"/>
        <w:numPr>
          <w:ilvl w:val="0"/>
          <w:numId w:val="1"/>
        </w:numPr>
        <w:spacing w:lineRule="auto" w:line="276"/>
        <w:ind w:left="0" w:right="-24" w:hanging="0"/>
        <w:jc w:val="both"/>
        <w:rPr>
          <w:rFonts w:ascii="Arial" w:hAnsi="Arial"/>
          <w:sz w:val="22"/>
          <w:szCs w:val="22"/>
        </w:rPr>
      </w:pPr>
      <w:r>
        <w:rPr>
          <w:rFonts w:cs="Arial" w:ascii="Arial" w:hAnsi="Arial"/>
          <w:b w:val="false"/>
          <w:bCs w:val="false"/>
          <w:color w:val="000000"/>
          <w:sz w:val="22"/>
          <w:szCs w:val="22"/>
          <w:shd w:fill="auto" w:val="clear"/>
        </w:rPr>
        <w:t>Estima-se para a contratação almejada o valor total de</w:t>
      </w:r>
      <w:r>
        <w:rPr>
          <w:rFonts w:cs="Arial" w:ascii="Arial" w:hAnsi="Arial"/>
          <w:b/>
          <w:bCs/>
          <w:color w:val="000000"/>
          <w:sz w:val="22"/>
          <w:szCs w:val="22"/>
          <w:shd w:fill="auto" w:val="clear"/>
        </w:rPr>
        <w:t xml:space="preserve"> R$ 521.818,14 (Quinhentos e vinte e um mil, oitocentos e dezoito reais e quatorze centavos).</w:t>
      </w:r>
    </w:p>
    <w:p>
      <w:pPr>
        <w:pStyle w:val="NormalWeb"/>
        <w:numPr>
          <w:ilvl w:val="0"/>
          <w:numId w:val="1"/>
        </w:numPr>
        <w:spacing w:lineRule="auto" w:line="276" w:before="0" w:after="0"/>
        <w:jc w:val="both"/>
        <w:rPr>
          <w:rFonts w:ascii="Arial" w:hAnsi="Arial" w:cs="Arial"/>
          <w:b/>
          <w:bCs/>
          <w:color w:val="C9211E"/>
          <w:sz w:val="22"/>
          <w:szCs w:val="22"/>
        </w:rPr>
      </w:pPr>
      <w:r>
        <w:rPr>
          <w:rFonts w:cs="Arial" w:ascii="Arial" w:hAnsi="Arial"/>
          <w:b/>
          <w:bCs/>
          <w:color w:val="C9211E"/>
          <w:sz w:val="22"/>
          <w:szCs w:val="22"/>
        </w:rPr>
      </w:r>
    </w:p>
    <w:p>
      <w:pPr>
        <w:pStyle w:val="Normal"/>
        <w:numPr>
          <w:ilvl w:val="0"/>
          <w:numId w:val="1"/>
        </w:numPr>
        <w:spacing w:lineRule="auto" w:line="276"/>
        <w:jc w:val="both"/>
        <w:rPr>
          <w:rFonts w:ascii="Arial" w:hAnsi="Arial"/>
          <w:sz w:val="22"/>
          <w:szCs w:val="22"/>
        </w:rPr>
      </w:pPr>
      <w:r>
        <w:rPr>
          <w:rFonts w:cs="Arial" w:ascii="Arial" w:hAnsi="Arial"/>
          <w:sz w:val="22"/>
          <w:szCs w:val="22"/>
        </w:rPr>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Normal"/>
        <w:numPr>
          <w:ilvl w:val="0"/>
          <w:numId w:val="1"/>
        </w:numPr>
        <w:spacing w:lineRule="auto" w:line="276"/>
        <w:jc w:val="both"/>
        <w:rPr>
          <w:rFonts w:ascii="Arial" w:hAnsi="Arial"/>
          <w:sz w:val="22"/>
          <w:szCs w:val="22"/>
        </w:rPr>
      </w:pPr>
      <w:r>
        <w:rPr>
          <w:rFonts w:cs="Arial" w:ascii="Arial" w:hAnsi="Arial"/>
          <w:sz w:val="22"/>
          <w:szCs w:val="22"/>
          <w:shd w:fill="auto" w:val="clear"/>
        </w:rPr>
        <w:t>Observe-se, qu</w:t>
      </w:r>
      <w:r>
        <w:rPr>
          <w:rFonts w:cs="Arial" w:ascii="Arial" w:hAnsi="Arial"/>
          <w:sz w:val="22"/>
          <w:szCs w:val="22"/>
        </w:rPr>
        <w:t>e foi</w:t>
      </w:r>
      <w:r>
        <w:rPr>
          <w:rFonts w:cs="Arial" w:ascii="Arial" w:hAnsi="Arial"/>
          <w:color w:val="000000"/>
          <w:sz w:val="22"/>
          <w:szCs w:val="22"/>
        </w:rPr>
        <w:t xml:space="preserve"> utilizado a ferramenta de pesquisa de preço através de pesquisa pelo </w:t>
      </w:r>
      <w:r>
        <w:rPr>
          <w:rFonts w:cs="Arial" w:ascii="Arial" w:hAnsi="Arial"/>
          <w:b/>
          <w:bCs/>
          <w:color w:val="000000"/>
          <w:sz w:val="22"/>
          <w:szCs w:val="22"/>
        </w:rPr>
        <w:t>PAINEL DE PREÇOS.</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O detalhamento do procedimento adotado para o levantamento dos preços e as estimativas de preço de contratação para cada item estão apresentados naquele documento</w:t>
      </w:r>
      <w:r>
        <w:rPr>
          <w:rFonts w:cs="Arial" w:ascii="Arial" w:hAnsi="Arial"/>
          <w:color w:val="FF0000"/>
          <w:sz w:val="22"/>
          <w:szCs w:val="22"/>
        </w:rPr>
        <w:t>.</w:t>
      </w:r>
    </w:p>
    <w:p>
      <w:pPr>
        <w:pStyle w:val="NormalWeb"/>
        <w:numPr>
          <w:ilvl w:val="0"/>
          <w:numId w:val="1"/>
        </w:numPr>
        <w:spacing w:lineRule="auto" w:line="276" w:before="0" w:after="0"/>
        <w:jc w:val="both"/>
        <w:rPr>
          <w:rFonts w:ascii="Arial" w:hAnsi="Arial" w:cs="Arial"/>
          <w:b/>
          <w:bCs/>
          <w:color w:val="000000"/>
          <w:sz w:val="22"/>
          <w:szCs w:val="22"/>
          <w:shd w:fill="FFEB3B" w:val="clear"/>
        </w:rPr>
      </w:pPr>
      <w:r>
        <w:rPr>
          <w:rFonts w:cs="Arial" w:ascii="Arial" w:hAnsi="Arial"/>
          <w:b/>
          <w:bCs/>
          <w:color w:val="000000"/>
          <w:sz w:val="22"/>
          <w:szCs w:val="22"/>
          <w:shd w:fill="FFEB3B" w:val="clear"/>
        </w:rPr>
      </w:r>
    </w:p>
    <w:p>
      <w:pPr>
        <w:pStyle w:val="NormalWeb"/>
        <w:numPr>
          <w:ilvl w:val="0"/>
          <w:numId w:val="1"/>
        </w:numPr>
        <w:spacing w:lineRule="auto" w:line="276" w:before="0" w:after="0"/>
        <w:jc w:val="both"/>
        <w:rPr>
          <w:rFonts w:ascii="Arial" w:hAnsi="Arial"/>
          <w:sz w:val="22"/>
          <w:szCs w:val="22"/>
        </w:rPr>
      </w:pPr>
      <w:r>
        <w:rPr>
          <w:rFonts w:cs="Arial" w:ascii="Arial" w:hAnsi="Arial"/>
          <w:b/>
          <w:bCs/>
          <w:color w:val="000000"/>
          <w:sz w:val="22"/>
          <w:szCs w:val="22"/>
          <w:shd w:fill="auto" w:val="clear"/>
        </w:rPr>
        <w:t>10. ADEQUAÇÃO ORÇAMENTÁRIA</w:t>
      </w:r>
    </w:p>
    <w:p>
      <w:pPr>
        <w:pStyle w:val="Normal"/>
        <w:numPr>
          <w:ilvl w:val="0"/>
          <w:numId w:val="1"/>
        </w:numPr>
        <w:spacing w:lineRule="auto" w:line="276"/>
        <w:jc w:val="both"/>
        <w:rPr>
          <w:rFonts w:ascii="Arial" w:hAnsi="Arial"/>
          <w:sz w:val="22"/>
          <w:szCs w:val="22"/>
        </w:rPr>
      </w:pPr>
      <w:r>
        <w:rPr>
          <w:rFonts w:cs="Arial" w:ascii="Arial" w:hAnsi="Arial"/>
          <w:sz w:val="22"/>
          <w:szCs w:val="22"/>
        </w:rPr>
        <w:t>O dispêndio financeiro decorrente da contratação ora pretendida decorrerá das seguintes dotações orçamentárias:</w:t>
      </w:r>
    </w:p>
    <w:p>
      <w:pPr>
        <w:pStyle w:val="Normal"/>
        <w:numPr>
          <w:ilvl w:val="0"/>
          <w:numId w:val="1"/>
        </w:numPr>
        <w:spacing w:lineRule="auto" w:line="276"/>
        <w:jc w:val="both"/>
        <w:rPr>
          <w:rFonts w:ascii="Arial" w:hAnsi="Arial" w:cs="Arial"/>
          <w:sz w:val="22"/>
          <w:szCs w:val="22"/>
          <w:shd w:fill="FFFF00" w:val="clear"/>
        </w:rPr>
      </w:pPr>
      <w:r>
        <w:rPr>
          <w:rFonts w:cs="Arial" w:ascii="Arial" w:hAnsi="Arial"/>
          <w:sz w:val="22"/>
          <w:szCs w:val="22"/>
          <w:shd w:fill="FFFF00" w:val="clear"/>
        </w:rPr>
      </w:r>
    </w:p>
    <w:tbl>
      <w:tblPr>
        <w:tblW w:w="5000" w:type="pct"/>
        <w:jc w:val="left"/>
        <w:tblInd w:w="55" w:type="dxa"/>
        <w:tblLayout w:type="fixed"/>
        <w:tblCellMar>
          <w:top w:w="55" w:type="dxa"/>
          <w:left w:w="55" w:type="dxa"/>
          <w:bottom w:w="55" w:type="dxa"/>
          <w:right w:w="55" w:type="dxa"/>
        </w:tblCellMar>
      </w:tblPr>
      <w:tblGrid>
        <w:gridCol w:w="1204"/>
        <w:gridCol w:w="1205"/>
        <w:gridCol w:w="1204"/>
        <w:gridCol w:w="1205"/>
        <w:gridCol w:w="1205"/>
        <w:gridCol w:w="1204"/>
        <w:gridCol w:w="1205"/>
        <w:gridCol w:w="1204"/>
      </w:tblGrid>
      <w:tr>
        <w:trPr/>
        <w:tc>
          <w:tcPr>
            <w:tcW w:w="1204"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Sequência</w:t>
            </w:r>
          </w:p>
        </w:tc>
        <w:tc>
          <w:tcPr>
            <w:tcW w:w="1205"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Dotação</w:t>
            </w:r>
          </w:p>
        </w:tc>
        <w:tc>
          <w:tcPr>
            <w:tcW w:w="1204"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Unidade</w:t>
            </w:r>
          </w:p>
        </w:tc>
        <w:tc>
          <w:tcPr>
            <w:tcW w:w="1205"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Funcional</w:t>
            </w:r>
          </w:p>
        </w:tc>
        <w:tc>
          <w:tcPr>
            <w:tcW w:w="1205"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Ação</w:t>
            </w:r>
          </w:p>
        </w:tc>
        <w:tc>
          <w:tcPr>
            <w:tcW w:w="1204"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b/>
                <w:color w:val="000000"/>
                <w:sz w:val="16"/>
                <w:szCs w:val="16"/>
              </w:rPr>
              <w:t>Elemento - Código</w:t>
            </w:r>
          </w:p>
        </w:tc>
        <w:tc>
          <w:tcPr>
            <w:tcW w:w="1205"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Elemento - Descrição</w:t>
            </w:r>
          </w:p>
        </w:tc>
        <w:tc>
          <w:tcPr>
            <w:tcW w:w="1204"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b/>
                <w:color w:val="000000"/>
                <w:sz w:val="16"/>
                <w:szCs w:val="16"/>
              </w:rPr>
              <w:t>Vínculo</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6</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45</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0004.0122.0002</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2004</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107</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0004.0122.0007</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2013</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3</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240</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0017.0512.0015</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2031</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255</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0017.0512.0018</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2034</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4</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273</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0025.0752.0012</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2027</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285</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0026.0782.0019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2036</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7</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550</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0020.0606.0029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2074</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8</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620</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0010.0122.0050</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2078</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5001002</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667</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0010.0301.0036</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2088</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5001002</w:t>
            </w:r>
          </w:p>
        </w:tc>
      </w:tr>
      <w:tr>
        <w:trPr/>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10</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1000</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1</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0004.0122.0058</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2131</w:t>
            </w:r>
          </w:p>
        </w:tc>
        <w:tc>
          <w:tcPr>
            <w:tcW w:w="1204" w:type="dxa"/>
            <w:tcBorders>
              <w:left w:val="single" w:sz="4" w:space="0" w:color="000000"/>
              <w:bottom w:val="single" w:sz="4" w:space="0" w:color="000000"/>
            </w:tcBorders>
          </w:tcPr>
          <w:p>
            <w:pPr>
              <w:pStyle w:val="Contedodatabela"/>
              <w:widowControl w:val="false"/>
              <w:numPr>
                <w:ilvl w:val="0"/>
                <w:numId w:val="1"/>
              </w:numPr>
              <w:spacing w:lineRule="auto" w:line="276"/>
              <w:jc w:val="right"/>
              <w:rPr>
                <w:rFonts w:ascii="Arial" w:hAnsi="Arial"/>
                <w:sz w:val="16"/>
                <w:szCs w:val="16"/>
              </w:rPr>
            </w:pPr>
            <w:r>
              <w:rPr>
                <w:rFonts w:cs="Arial" w:ascii="Arial" w:hAnsi="Arial"/>
                <w:color w:val="000000"/>
                <w:sz w:val="16"/>
                <w:szCs w:val="16"/>
              </w:rPr>
              <w:t>3.3390303900000002E19</w:t>
            </w:r>
          </w:p>
        </w:tc>
        <w:tc>
          <w:tcPr>
            <w:tcW w:w="1205" w:type="dxa"/>
            <w:tcBorders>
              <w:left w:val="single" w:sz="4" w:space="0" w:color="000000"/>
              <w:bottom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Material para manutenção de veículos</w:t>
            </w:r>
          </w:p>
        </w:tc>
        <w:tc>
          <w:tcPr>
            <w:tcW w:w="1204"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276"/>
              <w:jc w:val="left"/>
              <w:rPr>
                <w:rFonts w:ascii="Arial" w:hAnsi="Arial"/>
                <w:sz w:val="16"/>
                <w:szCs w:val="16"/>
              </w:rPr>
            </w:pPr>
            <w:r>
              <w:rPr>
                <w:rFonts w:cs="Arial" w:ascii="Arial" w:hAnsi="Arial"/>
                <w:color w:val="000000"/>
                <w:sz w:val="16"/>
                <w:szCs w:val="16"/>
              </w:rPr>
              <w:t>5001000</w:t>
            </w:r>
          </w:p>
        </w:tc>
      </w:tr>
    </w:tbl>
    <w:p>
      <w:pPr>
        <w:pStyle w:val="Normal"/>
        <w:numPr>
          <w:ilvl w:val="0"/>
          <w:numId w:val="1"/>
        </w:numPr>
        <w:spacing w:lineRule="auto" w:line="276"/>
        <w:rPr>
          <w:rFonts w:ascii="Arial" w:hAnsi="Arial"/>
          <w:sz w:val="22"/>
          <w:szCs w:val="22"/>
        </w:rPr>
      </w:pPr>
      <w:r>
        <w:rPr>
          <w:rFonts w:ascii="Arial" w:hAnsi="Arial"/>
          <w:sz w:val="22"/>
          <w:szCs w:val="22"/>
        </w:rPr>
      </w:r>
    </w:p>
    <w:p>
      <w:pPr>
        <w:pStyle w:val="Normal"/>
        <w:numPr>
          <w:ilvl w:val="0"/>
          <w:numId w:val="1"/>
        </w:numPr>
        <w:spacing w:lineRule="auto" w:line="276"/>
        <w:jc w:val="right"/>
        <w:rPr>
          <w:rFonts w:ascii="Arial" w:hAnsi="Arial"/>
          <w:sz w:val="22"/>
          <w:szCs w:val="22"/>
        </w:rPr>
      </w:pPr>
      <w:r>
        <w:rPr>
          <w:rFonts w:cs="Arial" w:ascii="Arial" w:hAnsi="Arial"/>
          <w:sz w:val="22"/>
          <w:szCs w:val="22"/>
        </w:rPr>
        <w:t>Vera Cruz / RS, sex, 10 de janeiro de 2025.</w:t>
      </w:r>
    </w:p>
    <w:p>
      <w:pPr>
        <w:pStyle w:val="Normal"/>
        <w:numPr>
          <w:ilvl w:val="0"/>
          <w:numId w:val="1"/>
        </w:numPr>
        <w:spacing w:lineRule="auto" w:line="276"/>
        <w:jc w:val="right"/>
        <w:rPr>
          <w:rFonts w:ascii="Arial" w:hAnsi="Arial" w:cs="Arial"/>
          <w:sz w:val="22"/>
          <w:szCs w:val="22"/>
        </w:rPr>
      </w:pPr>
      <w:r>
        <w:rPr>
          <w:rFonts w:cs="Arial" w:ascii="Arial" w:hAnsi="Arial"/>
          <w:sz w:val="22"/>
          <w:szCs w:val="22"/>
        </w:rPr>
      </w:r>
    </w:p>
    <w:p>
      <w:pPr>
        <w:pStyle w:val="Normal"/>
        <w:numPr>
          <w:ilvl w:val="0"/>
          <w:numId w:val="1"/>
        </w:numPr>
        <w:spacing w:lineRule="auto" w:line="276"/>
        <w:jc w:val="right"/>
        <w:rPr>
          <w:rFonts w:ascii="Arial" w:hAnsi="Arial" w:cs="Arial"/>
          <w:sz w:val="22"/>
          <w:szCs w:val="22"/>
        </w:rPr>
      </w:pPr>
      <w:r>
        <w:rPr>
          <w:rFonts w:cs="Arial" w:ascii="Arial" w:hAnsi="Arial"/>
          <w:sz w:val="22"/>
          <w:szCs w:val="22"/>
        </w:rPr>
      </w:r>
    </w:p>
    <w:p>
      <w:pPr>
        <w:pStyle w:val="Normal"/>
        <w:numPr>
          <w:ilvl w:val="0"/>
          <w:numId w:val="1"/>
        </w:numPr>
        <w:spacing w:lineRule="auto" w:line="276"/>
        <w:jc w:val="both"/>
        <w:rPr>
          <w:rFonts w:ascii="Arial" w:hAnsi="Arial" w:cs="Arial"/>
          <w:sz w:val="22"/>
          <w:szCs w:val="22"/>
        </w:rPr>
      </w:pPr>
      <w:r>
        <w:rPr>
          <w:rFonts w:cs="Arial" w:ascii="Arial" w:hAnsi="Arial"/>
          <w:sz w:val="22"/>
          <w:szCs w:val="22"/>
        </w:rPr>
      </w:r>
    </w:p>
    <w:p>
      <w:pPr>
        <w:pStyle w:val="Normal"/>
        <w:numPr>
          <w:ilvl w:val="0"/>
          <w:numId w:val="1"/>
        </w:numPr>
        <w:spacing w:lineRule="auto" w:line="276"/>
        <w:jc w:val="both"/>
        <w:rPr>
          <w:rFonts w:ascii="Arial" w:hAnsi="Arial" w:cs="Arial"/>
          <w:sz w:val="22"/>
          <w:szCs w:val="22"/>
        </w:rPr>
      </w:pPr>
      <w:r>
        <w:rPr>
          <w:rFonts w:cs="Arial" w:ascii="Arial" w:hAnsi="Arial"/>
          <w:sz w:val="22"/>
          <w:szCs w:val="22"/>
        </w:rPr>
      </w:r>
    </w:p>
    <w:p>
      <w:pPr>
        <w:pStyle w:val="Normal"/>
        <w:numPr>
          <w:ilvl w:val="0"/>
          <w:numId w:val="1"/>
        </w:numPr>
        <w:spacing w:lineRule="auto" w:line="276"/>
        <w:jc w:val="both"/>
        <w:rPr>
          <w:rFonts w:ascii="Arial" w:hAnsi="Arial"/>
          <w:sz w:val="22"/>
          <w:szCs w:val="22"/>
        </w:rPr>
      </w:pPr>
      <w:r>
        <w:rPr>
          <w:rFonts w:ascii="Arial" w:hAnsi="Arial"/>
          <w:sz w:val="22"/>
          <w:szCs w:val="22"/>
        </w:rPr>
      </w:r>
    </w:p>
    <w:p>
      <w:pPr>
        <w:pStyle w:val="Normal"/>
        <w:numPr>
          <w:ilvl w:val="0"/>
          <w:numId w:val="1"/>
        </w:numPr>
        <w:spacing w:lineRule="auto" w:line="276"/>
        <w:jc w:val="both"/>
        <w:rPr>
          <w:rFonts w:ascii="Arial" w:hAnsi="Arial"/>
          <w:sz w:val="22"/>
          <w:szCs w:val="22"/>
        </w:rPr>
      </w:pPr>
      <w:r>
        <w:rPr>
          <w:rFonts w:ascii="Arial" w:hAnsi="Arial"/>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Maiquel Aretz</w:t>
        <w:tab/>
        <w:tab/>
        <w:tab/>
        <w:tab/>
        <w:tab/>
        <w:tab/>
        <w:tab/>
        <w:t>Samuel Oliveira Mateus</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rPr>
        <w:t xml:space="preserve">Secretário M. de Obras, </w:t>
        <w:tab/>
        <w:tab/>
        <w:tab/>
        <w:tab/>
        <w:tab/>
        <w:tab/>
        <w:tab/>
        <w:t>Mecânico</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rPr>
        <w:t>Saneamento e Trânsito</w:t>
        <w:tab/>
        <w:tab/>
        <w:tab/>
        <w:tab/>
        <w:tab/>
        <w:tab/>
        <w:tab/>
        <w:t xml:space="preserve"> 31453/2</w:t>
      </w:r>
      <w:r>
        <w:br w:type="page"/>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rPr>
        <w:t>ANEXO II – DECLARAÇÃO CONJUNTA</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DADOS DA EMPRESA:</w:t>
      </w:r>
    </w:p>
    <w:p>
      <w:pPr>
        <w:pStyle w:val="Normal"/>
        <w:spacing w:lineRule="auto" w:line="276"/>
        <w:jc w:val="both"/>
        <w:rPr>
          <w:rFonts w:ascii="Arial" w:hAnsi="Arial"/>
          <w:sz w:val="22"/>
          <w:szCs w:val="22"/>
        </w:rPr>
      </w:pPr>
      <w:r>
        <w:rPr>
          <w:rFonts w:cs="Arial" w:ascii="Arial" w:hAnsi="Arial"/>
          <w:color w:val="000000"/>
          <w:sz w:val="22"/>
          <w:szCs w:val="22"/>
        </w:rPr>
        <w:t>RAZÃO SOCIAL:</w:t>
      </w:r>
    </w:p>
    <w:p>
      <w:pPr>
        <w:pStyle w:val="Normal"/>
        <w:spacing w:lineRule="auto" w:line="276"/>
        <w:jc w:val="both"/>
        <w:rPr>
          <w:rFonts w:ascii="Arial" w:hAnsi="Arial"/>
          <w:sz w:val="22"/>
          <w:szCs w:val="22"/>
        </w:rPr>
      </w:pPr>
      <w:r>
        <w:rPr>
          <w:rFonts w:cs="Arial" w:ascii="Arial" w:hAnsi="Arial"/>
          <w:color w:val="000000"/>
          <w:sz w:val="22"/>
          <w:szCs w:val="22"/>
        </w:rPr>
        <w:t>CNPJ/MF/Nº</w:t>
      </w:r>
    </w:p>
    <w:p>
      <w:pPr>
        <w:pStyle w:val="Normal"/>
        <w:spacing w:lineRule="auto" w:line="276"/>
        <w:jc w:val="both"/>
        <w:rPr>
          <w:rFonts w:ascii="Arial" w:hAnsi="Arial"/>
          <w:sz w:val="22"/>
          <w:szCs w:val="22"/>
        </w:rPr>
      </w:pPr>
      <w:r>
        <w:rPr>
          <w:rFonts w:cs="Arial" w:ascii="Arial" w:hAnsi="Arial"/>
          <w:color w:val="000000"/>
          <w:sz w:val="22"/>
          <w:szCs w:val="22"/>
        </w:rPr>
        <w:t xml:space="preserve">ENDEREÇO: </w:t>
      </w:r>
    </w:p>
    <w:p>
      <w:pPr>
        <w:pStyle w:val="Normal"/>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011</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que a Empresa por mim apresentada:</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rFonts w:ascii="Arial" w:hAnsi="Arial"/>
          <w:sz w:val="22"/>
          <w:szCs w:val="22"/>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rFonts w:ascii="Arial" w:hAnsi="Arial"/>
          <w:sz w:val="22"/>
          <w:szCs w:val="22"/>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________________________, ______ de __________________ de 2024.</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rPr>
        <w:t>ANEXO III - MODELO DE DECLARAÇÃO DO PORTE DA EMPRESA</w:t>
      </w:r>
    </w:p>
    <w:p>
      <w:pPr>
        <w:pStyle w:val="Normal"/>
        <w:tabs>
          <w:tab w:val="clear" w:pos="408"/>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276"/>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 ______ de _________________ de 2024.</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rPr>
      </w:r>
      <w:r>
        <w:br w:type="page"/>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rPr>
        <w:t>ANEXO IV – MODELO DE PROPOSTA FINANCEIRA</w:t>
      </w:r>
    </w:p>
    <w:p>
      <w:pPr>
        <w:pStyle w:val="Itemdoedital"/>
        <w:numPr>
          <w:ilvl w:val="0"/>
          <w:numId w:val="1"/>
        </w:numPr>
        <w:spacing w:lineRule="auto" w:line="276"/>
        <w:ind w:left="0" w:right="0" w:hanging="0"/>
        <w:jc w:val="center"/>
        <w:rPr>
          <w:rFonts w:ascii="Arial" w:hAnsi="Arial"/>
          <w:sz w:val="22"/>
          <w:szCs w:val="22"/>
        </w:rPr>
      </w:pPr>
      <w:r>
        <w:rPr>
          <w:rFonts w:ascii="Arial" w:hAnsi="Arial"/>
          <w:sz w:val="22"/>
          <w:szCs w:val="22"/>
        </w:rPr>
        <w:t xml:space="preserve">Pregão Eletrônico nº </w:t>
      </w:r>
      <w:r>
        <w:rPr>
          <w:rFonts w:ascii="Arial" w:hAnsi="Arial"/>
          <w:sz w:val="22"/>
          <w:szCs w:val="22"/>
        </w:rPr>
        <w:fldChar w:fldCharType="begin"/>
      </w:r>
      <w:r>
        <w:rPr>
          <w:sz w:val="22"/>
          <w:szCs w:val="22"/>
          <w:rFonts w:ascii="Arial" w:hAnsi="Arial"/>
        </w:rPr>
        <w:instrText xml:space="preserve"> DOCVARIABLE Npregão </w:instrText>
      </w:r>
      <w:r>
        <w:rPr>
          <w:sz w:val="22"/>
          <w:szCs w:val="22"/>
          <w:rFonts w:ascii="Arial" w:hAnsi="Arial"/>
        </w:rPr>
        <w:fldChar w:fldCharType="separate"/>
      </w:r>
      <w:r>
        <w:rPr>
          <w:sz w:val="22"/>
          <w:szCs w:val="22"/>
          <w:rFonts w:ascii="Arial" w:hAnsi="Arial"/>
        </w:rPr>
        <w:t>011</w:t>
      </w:r>
      <w:r>
        <w:rPr>
          <w:sz w:val="22"/>
          <w:szCs w:val="22"/>
          <w:rFonts w:ascii="Arial" w:hAnsi="Arial"/>
        </w:rPr>
        <w:fldChar w:fldCharType="end"/>
      </w:r>
      <w:r>
        <w:rPr>
          <w:rFonts w:ascii="Arial" w:hAnsi="Arial"/>
          <w:sz w:val="22"/>
          <w:szCs w:val="22"/>
        </w:rPr>
        <w:t>/2024</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276"/>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CPF do Representante:</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011</w:t>
      </w:r>
      <w:r>
        <w:rPr>
          <w:sz w:val="22"/>
          <w:b/>
          <w:szCs w:val="22"/>
          <w:rFonts w:cs="Arial" w:ascii="Arial" w:hAnsi="Arial"/>
          <w:color w:val="000000"/>
        </w:rPr>
        <w:fldChar w:fldCharType="end"/>
      </w:r>
      <w:r>
        <w:rPr>
          <w:rFonts w:cs="Arial" w:ascii="Arial" w:hAnsi="Arial"/>
          <w:b/>
          <w:color w:val="000000"/>
          <w:sz w:val="22"/>
          <w:szCs w:val="22"/>
        </w:rPr>
        <w:t>/2024</w:t>
      </w:r>
      <w:r>
        <w:rPr>
          <w:rFonts w:cs="Arial" w:ascii="Arial" w:hAnsi="Arial"/>
          <w:color w:val="000000"/>
          <w:sz w:val="22"/>
          <w:szCs w:val="22"/>
        </w:rPr>
        <w:t>, apresentando a seguinte proposta financeira, para fornecimento do seguinte serviço / produto:</w:t>
      </w:r>
    </w:p>
    <w:p>
      <w:pPr>
        <w:pStyle w:val="Normal"/>
        <w:numPr>
          <w:ilvl w:val="0"/>
          <w:numId w:val="1"/>
        </w:numPr>
        <w:spacing w:lineRule="auto" w:line="276" w:before="0" w:after="0"/>
        <w:jc w:val="both"/>
        <w:rPr>
          <w:rFonts w:ascii="Arial" w:hAnsi="Arial"/>
          <w:sz w:val="22"/>
          <w:szCs w:val="22"/>
        </w:rPr>
      </w:pPr>
      <w:r>
        <w:rPr>
          <w:rFonts w:ascii="Arial" w:hAnsi="Arial"/>
          <w:sz w:val="22"/>
          <w:szCs w:val="22"/>
        </w:rPr>
      </w:r>
    </w:p>
    <w:tbl>
      <w:tblPr>
        <w:tblW w:w="9641" w:type="dxa"/>
        <w:jc w:val="left"/>
        <w:tblInd w:w="-2" w:type="dxa"/>
        <w:tblLayout w:type="fixed"/>
        <w:tblCellMar>
          <w:top w:w="0" w:type="dxa"/>
          <w:left w:w="28" w:type="dxa"/>
          <w:bottom w:w="0" w:type="dxa"/>
          <w:right w:w="28" w:type="dxa"/>
        </w:tblCellMar>
      </w:tblPr>
      <w:tblGrid>
        <w:gridCol w:w="941"/>
        <w:gridCol w:w="845"/>
        <w:gridCol w:w="5209"/>
        <w:gridCol w:w="969"/>
        <w:gridCol w:w="763"/>
        <w:gridCol w:w="914"/>
      </w:tblGrid>
      <w:tr>
        <w:trPr>
          <w:trHeight w:val="256" w:hRule="atLeast"/>
        </w:trPr>
        <w:tc>
          <w:tcPr>
            <w:tcW w:w="941"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Item</w:t>
            </w:r>
          </w:p>
        </w:tc>
        <w:tc>
          <w:tcPr>
            <w:tcW w:w="845"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Produto</w:t>
            </w:r>
          </w:p>
        </w:tc>
        <w:tc>
          <w:tcPr>
            <w:tcW w:w="5209"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Produto - Descrição</w:t>
            </w:r>
          </w:p>
        </w:tc>
        <w:tc>
          <w:tcPr>
            <w:tcW w:w="969"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Unidade</w:t>
            </w:r>
          </w:p>
        </w:tc>
        <w:tc>
          <w:tcPr>
            <w:tcW w:w="763"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Quant</w:t>
            </w:r>
          </w:p>
        </w:tc>
        <w:tc>
          <w:tcPr>
            <w:tcW w:w="914" w:type="dxa"/>
            <w:tcBorders>
              <w:top w:val="single" w:sz="2" w:space="0" w:color="000000"/>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Valores - Total</w:t>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1885.0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DETERGENTE LIMPEZA VEÍCULO, ASPECTO FÍSICO: LÍQUIDO VISCOSO, COMPOSIÇÃO: ÁCIDO SULFÔNICO, HIDRÓXIDO DE SÓDIO, TENSOATIVO, APLICAÇÃO: LAVAGEM VEÍCULOS E SUPERFÍCIES PINTADAS, CARACTERÍSTICAS ADICIONAIS: LÍQUIDO CONCENTRADO, SOLÚVEL EM ÁGUA, BASE NEUTRA. EMBALAGENS A CRITÉRIO DO FORNECEDOR.</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600.0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1909.0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DETERGENTE DESENGRAXANTE ALCALINO PARA USO EM EQUIPAMENTOS DE CONSTRUÇÃO, TERRAPLANAGEM, CAMINHÕES E DEMAIS. NA REMOÇÃO DE GAXAS, ÓLEOS E SUJEIRAS EM CHASSI, MOTORES E DEMAIS. (EMBALAGENS DE 05 LITROS)</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2499.0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QUEROSENE, USO: LIMPEZA, DESENGRAXANTE, SOLVENTE, TIPO:COMUM. EMBALAGEM DE 50 LITROS.</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2503.0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40 ESPECIALMENTE DESENVOLVIDO PARA TRANSMISSÕES MANUAIS SINCRONIZADOS DE CAMINHÕES E ÔNIBUS, FORMALMENTE APROVADO PELA MERCEDES-BENZ CONFORME ESPECIFICAÇÃO MB 235.12; PONTO DE FULGOR MAIOR OU IGUAL A 240 °C; PONTO DE FLUIDEZ MENOR OU IGUAL A - 24 °C; VISCOSIDADE A 100°C (CST) ENTRE 14,6 E 15,6; VISCOSIDADE A 40°C (CST) ENTRE 137,5 E 149,2; ÍNDICE DE VISCOSIDADE ENTRE 99 E 108; EMBALAGEM: 20 LITROS (BALDE); PONTO DE FULGOR MAIOR OU IGUAL A 240 °C; PONTO DE FLUIDEZ MENOR OU IGUAL A - 24 °C; VISCOSIDADE A 100°C (CST) ENTRE 14,6 E 15,6; VISCOSIDADE A 40°C (CST) ENTRE 137,5 E 149,2; ÍNDICE DE VISCOSIDADE ENTRE 99 E 108;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2502.0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TRANSMISSÃO E DIFERENCIAIS, SAE 90, COM ADITIVOS EP, DESEMPENHO API GL-5 E MIL-L-2105D; VISCOSIDADE A 40°C, CST, ENTRE 175,4 E 207; VISCOSIDADE A 100°C, CST, ENTRE 16 E 18,2;  ÍNDICE DE VISCOSIDADE ENTRE 90,8 E 97,2; PONTO DE FLUIDEZ MENOR OU IGUAL A -6 °C; PONTO DE FULGOR MAIOR OU IGUAL A 220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6.0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MOTORES 02 TEMPOS A GASOLINA, UTILIZADO EM MOTOSSERRAS, CORTADORES DE GRAMA, ROÇADEIRAS, MOTOPODAS, ETC.  VISCOSIDADE A 40°C, CST, ENTRE 81,7 E 92,2; VISCOSIDADE A 100°C, CST, ENTRE 8,7 E 10,8; PONTO DE FULGOR MAIOR OU IGUAL A 116 °C; CLASSIFICAÇÃO DE DESEMPENHO: JASO - FB OU SUPERIOR (JASO - FC, JASO - FD). EMBALAGEM: 500 ML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TUBO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7.0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2507.0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GRAXA LUBRIFICANTE À BASE DE SABÃO COMPLEXO DE LÍTIO, GRAU NLGI 2, CONTENDO ADITIVOS DE EXTREMA PRESSÃO (EP) E INIBIDORES DE OXIDAÇÃO E CORROSÃO, RECOMENDADA PARA APLICAÇÃO EM EQUIPAMENTOS AUTOMOTIVOS, INDUSTRIAIS, MARÍTIMOS OU AGRÍCOLAS SUBMETIDOS A CARGAS ELEVADAS, EM MANCAIS DE ROLAMENTO OU DESLIZAMENTO, ARTICULAÇÕES E CUBOS DE RODA AUTOMOTIVOS, CHASSIS E JUNTAS UNIVERSAIS. CLASSIFICAÇÃO DE DESEMPENHO MERCEDES BENZ DBL 6804.50;TEMPERATURA MÍNIMA DE OPERAÇÃO MENOR OU IGUAL A &amp;#8211; 20 °C; TEMPERATURA MÁXIMA DE OPERAÇÃO MAIOR OU IGUAL A 177 °C;PENETRAÇÃO TRABALHADA 60X IGUAL A 275;PONTO DE GOTA MAIOR QUE 260 °C;CARGA TIMKEN MAIOR OU IGUAL A 45 LB;FOUR BALL &amp;#8211; CARGA DE SOLDA MAIOR OU IGUAL A 250 KGF;VISCOSIDADE A 40 °C (CST) ENTRE 149 E 152; EMBALAGEM: BALDE DE 20 KG.</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SISTEMA HIDRÁULICOS, ISO VG 68, DESEMPENHO DIN 51524 PARTE 2 (HLP) E CINCINNATI P-69. TESTE FZG A/8.3/90 (DIN 51354) MAIOR QUE 11.  VISCOSIDADE A 40°C, CST, ENTRE 64,5 E 68; VISCOSIDADE A 100°C, CST, ENTRE 8,6 E 9;  ÍNDICE DE VISCOSIDADE ENTRE 98,9 E 107,2; PONTO DE FLUIDEZ MENOR OU IGUAL A -18 °C; PONTO DE FULGOR MAIOR OU IGUAL A 242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9.0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4401.0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FLUÍDO PARA APLICAÇÃO ESPECÍFICA, APLICAÇÃO: ADITIVO CONCENTRADO ARREFECEDOR PARA RADIADOR, ANTICORROSIVO, ANTIOXIDANTE PARA USO EM VEÍCULOS A GASOLINA, ÁLCOOL E DIESEL. ISENTOS DE NITRITOS, FOSFATOS, BORATOS, SILICATOS E AMINAS, FEITO À BASE DE GLICOL E DE INIBIDORES DE CORROSÃO ORGÂNICOS. EMBALAGENS DE 1 LITRO.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5611.0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10W PARA USO EM SISTEMAS HIDRÁULICOS, CONVERSORES DE TORQUE, COMANDOS FINAIS E SISTEMAS DE TRANSMISSÃO DE EQUIPAMENTOS DE TERRAPLANAGEM; ADITIVAÇÃO ANTIDESGASTE, ANTICORROSIVA, ANTIESPUMANTE, ALÉM DE CONTAR COM PROPRIEDADES ANTIFRICÇÃO. PONTO DE FULGOR MAIOR OU IGUAL 210 °C; VISCOSIDADE A 40°C (CST) ENTRE 34 E 44; VISCOSIDADE A 100°C (CST) ENTRE 5,9 E 7; ÍNDICE DE VISCOSIDADE ENTRE 104 E 118; CLASSIFICAÇÃO DE DESEMPENHO: ALLISON C-4, CAT TO-4 E KOMATSU KES 07.868.1; EMBALAGEM: 200 LITROS (TAMBOR);</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TONEL</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8551.0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FLUIDO PARA FREIO ESPECIAL DOT 4, SINTÉTICO, PARA USO EM FREIOS A DISCO, TAMBOR OU ABS, QUE EQUIPAM CARROS DE PASSEIO, ÔNIBUS, CAMINHÕES OU MOTOCICLETAS.  PONTO DE EBULIÇÃO (ºC) MAIOR QUE 252; VISCOSIDADE A - 40ºC (CST) ENTRE 881 E 1025; VISCOSIDADE A 100ºC (CST) ENTRE 2,0 E 2,4; CLASSIFICAÇÃO DE DESEMPENHO: SAE J1704, FMVSS 116, NBR 9292; EMBALAGEM: 500 ML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FRASCO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8628.0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MINERAL PARA TRANSMISSÃO/DIFERENCIAL, VISCOSIDADE SAE 10W30. CLASSIFICAÇÃO DE DESEMPENHO: API GL-4, ALLISON C-4, CATERPILLAR TO-2, MASSEY FERGUSON CMS M1143, JOHN DEERE JDM J20C, ZF TE-ML 03E (TRANSMISSÕES POWERSHIFT DE VEÍCULOS ESPECIAIS, OFF-ROAD E EMPILHADEIRAS), ZF TE-ML 05F (EIXOS DE VEÍCULOS OFF-ROAD), ZF TE-ML 17E (EIXOS DE EMPILHADEIRAS), ZF TE-ML 21F (EIXOS PARA TRATORES); VISCOSIDADE A 40°C, CST, ENTRE 58,9 E 62,5; VISCOSIDADE A 100°C, CST, ENTRE 9,3 E 9,8;  ÍNDICE DE VISCOSIDADE ENTRE 131 E 150; PONTO DE FLUIDEZ MENOR OU IGUAL A - 36°C; PONTO DE FULGOR MAIOR OU IGUAL A 220 °C;  EMBALAGEM: 20 LITROS (GALAO);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9266.0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85W140 PARA LUBRIFICAÇÃO DE DIFERENCIAIS CONVENCIONAIS, CAIXAS DE TRANSMISSÕES E CAIXAS DE TRANSFERÊNCIA DE VEÍCULOS PESADOS, RODOVIÁRIOS OU DO TIPO &amp;#8220;FORA-DE-ESTRADA&amp;#8221;.  VISCOSIDADE CINEMÁTICA 100°C (CST) ENTRE 25,0 E 28,0;  VISCOSIDADE CINEMÁTICA 40°C (CST) ENTRE 347 E 393;  ÍNDICE DE VISCOSIDADE ENTRE 92 E 101;  PONTO DE FLUIDEZ MENOR OU IGUAL A &amp;#8211;12°C; PONTO DE FULGOR MAIOR OU IGUAL A 200 °C;  CLASSIFICAÇÃO DE DESEMPENHO: API GL-5, API MT-1, SAE J2360, MIL-PRF-2105E;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14.0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13046.0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SEMI SINTÉTICO MULTI VISCOSO SAE 15W40 API SL PARA USO EM MOTORES A GASOLINA E ETANOL, COM INJEÇÃO ELETRÔNICA. VISCOSIDADE 100°C CST 14,99  VISCOSIDADE 40°C CST 104,0  ÍNDICE DE VISCOSIDADE ENTRE 151 E 20°C   PONTO DE FLUIDEZ MENOR OU IGUAL A 18 °C  PONTO DE FULGOR MAIOR OU IGUAL A 240 °C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15.0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13047.0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FLUÍDO HIDRÁULICO, TIPO ATF, PARA TRANSMISSÕES AUTOMÁTICAS E SISTEMAS DE DIREÇÃO HIDRÁULICA DE VEÍCULOS LEVES, CAMINHÕES, ÔNIBUS E VEÍCULOS OFF-ROAD. CLASSIFICAÇÃO DE DESEMPENHO: ALLISON C-4, GM DEXRON III E FORD MERCON;  VISCOSIDADE A 40°C, CST, ENTRE 32,8 E 39,8; VISCOSIDADE A 100°C, CST, ENTRE 7,0 E 7,8;  ÍNDICE DE VISCOSIDADE ENTRE 170 E 183; PONTO DE FLUIDEZ MENOR OU IGUAL A - 48 °C; PONTO DE FULGOR MAIOR OU IGUAL A 180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10815.0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SINTÉTICO SAE 75W90 PARA APLICAÇÃO EM EIXOS DIFERENCIAIS CONVENCIONAIS, EIXOS FINAIS E REDUTORES QUANTO EM CAIXAS DE MUDANÇA MANUAIS (SINCRONIZADAS OU NÃO SINCRONIZADAS) E AUTOMATIZADAS. DENSIDADE, ASTM D4052, (G/ML) ENTRE 0,85 E 0,88; VISCOSIDADE A 100 °C, MM²/S (CST) ENTRE 15,4 E 18,2; VISCOSIDADE A 40 °C, MM²/S (CST) ENTRE 103 E 108; ÍNDICE DE VISCOSIDADE ENTRE 153 E 158; PONTO DE FLUIDEZ MENOR OU IGUAL A -45 °C; PONTO DE FULGOR MAIOR OU IGUAL A 135 °C; CLASSIFICAÇÃO DE DESEMPENHO: SAE J2360, API GL-4/GL-5/MT-1, MIL PRF-2105E, MAN 341 TIPO Z2, MAN 342 TIPO S1, APROVAÇÃO MB 235.8, MERITOR O76N, SCANIA STO 1:0, VOLVO 97312, ZF TE-ML (02B, 05A, 07A, 12L, 12N, 16F, 17B, 19C), DETROIT DIESEL DFS93K219.01;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160794.0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SINTÉTICO PARA MOTOR SAE 10W40 DESENVOLVIDO PARA ATENDER AOS MAIS RECENTES REQUERIMENTOS DE LUBRIFICAÇÃO DOS MODERNOS MOTORES DE QUATRO TEMPOS FLEX, À GASOLINA, ETANOL OU GNV, PRINCIPALMENTE AQUELES EQUIPADOS COM INJEÇÃO DIRETA E/OU TURBOCOMPRESSOR. DENSIDADE RELATIVA À 15°C (KG/L) ENTRE 0,840 E 0,870; VISCOSIDADE A 100ºC (CST) ENTRE 10,1 E 14,85; VISCOSIDADE A 40ºC (CST) ENTRE 80,0 E 92;  ÍNDICE DE VISCOSIDADE ENTRE 155 E 180; PONTO DE FLUIDEZ MENOR OU IGUAL A -33 °C; PONTO DE FULGOR MAIOR OU IGUAL A 226; CLASSIFICAÇÃO DE DESEMPENHO: AP SM;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164935.0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DE MOTOR, CICLO DIESEL, VISCOSIDADE SAE 15W40. DESEMPENHO API CK-4, ACEA E9-16, CATERPILLAR ECF-3, CUMMINS CES 20086, MB-APPRO VAL 228.31 E VOLVO VDS-4.5;  VISCOSIDADE A 40°C, CST, ENTRE 111,8 E 114,2; VISCOSIDADE A 100°C, CST, ENTRE 14,5 E 15,7;  ÍNDICE DE VISCOSIDADE ENTRE 133,9 E 136,1; PONTO DE FLUIDEZ MENOR OU IGUAL A - 39°C; PONTO DE FULGOR MAIOR OU IGUAL A 202°C;  EMBALAGEM: 20 LITROS (GALÃO);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19.0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174123.0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LÍQUIDO DE ARREFECIMENTO PRONTO PARA USO (PREMIX/DILUÍDO 50/50 EM ÁGUA DESMINERALIZADA/DEIONIZADA), A BASE DE MONOETILENOGLICOL/ ETILENOGLICOL E DE INIBIDORES DE CORROSÃO ORGÂNICOS (OAT) PARA LINHA LEVE E PESADA. ISENTO DE NITRITO, FOSFATO. PROTEÇÃO CONTRA CORROSÃO, CONTRA CAVITAÇÃO E CONTRA FORMAÇÃO DE ESPUMA. PONTO DE EBULIÇÃO MAIOR OU IGUAL A 108 °C; PONTO DE CONGELAMENTO MENOR OU IGUAL A -37 °C; PH ENTRE 7,4 E 9,6; NÍVEIS DE DESEMPENHO: ASTM D3306, ABNT NBR 14261;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174245.0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SAE 5W30 ESPECIALMENTE DESENVOLVIDO PARA MOTORES DIESEL EQUIPADOS COM FILTRO DE PARTÍCULAS. DENSIDADE A 15°C (G/ML) ENTRE 0,84 E 0,86; VISCOSIDADE CINEMÁTICA A 40°C (MM²/S) ENTRE 67,8 E 73; VISCOSIDADE CINEMÁTICA A 100°C (MM²/S) ENTRE 12,0 E 12,5; PONTO DE FULGOR MAIOR OU IGUAL A 196 °C; PONTO DE FLUIDEZ MENOR OU IGUAL A -36 °C; CLASSIFICAÇÃO DE DESEMPENHO: ACEA C4, RENAULT: RN0720, MB-APPROVAL 226.51;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176115.0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SINTÉTICO SAE 5W30 PARA MOTORES A GASOLINA, ETANOL, FLEX E GNV .  VISCOSIDADE A 40ºC, CST, ENTRE 58,5 E64,1; ÍNDICE DE VISCOSIDADE A 100ºC, CST, ENTRE 10 E 11,1; ÍNDICE DE VISCOSIDADE  ENTRE 159,8 E 166,2; PONTO DE FLUIDEZ IGUA A -33ºC; PONTO DE FULGOR MAIOR OU IGUAL A 224ºC ;CLASSIFICAÇÃO DE DESEMPENHO: IGUAL OU SUPERIOR API SN;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176168.0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SINTÉTICO PARA MOTOR SAE 0W20 DESENVOLVIDO PARA ATENDER AOS MAIS RECENTES REQUERIMENTOS DE LUBRIFICAÇÃO DOS MODERNOS MOTORES DE QUATRO TEMPOS FLEX, À GASOLINA, ETANOL OU GNV, PRINCIPALMENTE AQUELES EQUIPADOS COM INJEÇÃO DIRETA E/OU TURBOCOMPRESSOR. DENSIDADE RELATIVA À 15°C (KG/L) ENTRE 0,840 E 0,850; VISCOSIDADE A 100ºC (CST) ENTRE 7,1 E 8,7; VISCOSIDADE A 40ºC (CST) ENTRE 37,0 E 45,0; ÍNDICE DE VISCOSIDADE ENTRE 165 E 174; PONTO DE FLUIDEZ MENOR OU IGUAL A -39 °C; PONTO DE FULGOR MAIOR OU IGUAL A 203; CLASSIFICAÇÃO DE DESEMPENHO: API SP, ILSAC GF-6A, FORD WSS-M2C947-A, GM DEXOS 1 GEN 2 OU GEN 3 (DEVERÁ CONSTAR O NÚMERO DA LICENÇA GM DEXOS NA FICHA TÉCNICA);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240.0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8727" w:type="dxa"/>
            <w:gridSpan w:val="5"/>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TOTAL ESTIMADO</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bl>
    <w:p>
      <w:pPr>
        <w:pStyle w:val="Normal"/>
        <w:numPr>
          <w:ilvl w:val="0"/>
          <w:numId w:val="1"/>
        </w:numPr>
        <w:rPr/>
      </w:pPr>
      <w:r>
        <w:rPr/>
      </w:r>
    </w:p>
    <w:p>
      <w:pPr>
        <w:pStyle w:val="Normal"/>
        <w:tabs>
          <w:tab w:val="clear" w:pos="408"/>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cs="Arial"/>
          <w:b/>
          <w:bCs/>
          <w:iCs/>
          <w:color w:val="000000"/>
          <w:shd w:fill="auto" w:val="clear"/>
        </w:rPr>
      </w:pPr>
      <w:r>
        <w:rPr>
          <w:rFonts w:ascii="Arial" w:hAnsi="Arial"/>
          <w:sz w:val="22"/>
          <w:szCs w:val="22"/>
        </w:rPr>
      </w:r>
    </w:p>
    <w:p>
      <w:pPr>
        <w:pStyle w:val="Normal"/>
        <w:spacing w:lineRule="auto" w:line="276"/>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1"/>
        </w:numPr>
        <w:spacing w:lineRule="auto" w:line="276"/>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1"/>
        </w:numPr>
        <w:spacing w:lineRule="auto" w:line="276"/>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1"/>
        </w:numPr>
        <w:spacing w:lineRule="auto" w:line="276"/>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1"/>
        </w:numPr>
        <w:spacing w:lineRule="auto" w:line="276"/>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1"/>
        </w:numPr>
        <w:spacing w:lineRule="auto" w:line="276"/>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1"/>
        </w:numPr>
        <w:spacing w:lineRule="auto" w:line="276"/>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tabs>
          <w:tab w:val="clear" w:pos="408"/>
          <w:tab w:val="left" w:pos="9475" w:leader="none"/>
        </w:tabs>
        <w:spacing w:lineRule="auto" w:line="276"/>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quatro,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011</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/2024</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
        </w:numPr>
        <w:spacing w:lineRule="auto" w:line="276" w:before="0" w:after="0"/>
        <w:ind w:left="0" w:right="0" w:hanging="0"/>
        <w:jc w:val="both"/>
        <w:rPr>
          <w:rFonts w:ascii="Arial" w:hAnsi="Arial"/>
          <w:sz w:val="22"/>
          <w:szCs w:val="22"/>
        </w:rPr>
      </w:pPr>
      <w:r>
        <w:rPr>
          <w:rFonts w:cs="Arial" w:ascii="Arial" w:hAnsi="Arial"/>
          <w:color w:val="000000"/>
          <w:sz w:val="22"/>
          <w:szCs w:val="22"/>
          <w:shd w:fill="auto" w:val="clear"/>
        </w:rPr>
        <w:t>1. DO OBJETO</w:t>
      </w:r>
    </w:p>
    <w:p>
      <w:pPr>
        <w:pStyle w:val="Normal"/>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ObjPregão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aquisição de óleo lubrificante e produtos de limpeza automotiva, destinados à manutenção e conservação da frota de veículos e máquinas da Prefeitura Municipal de Vera Cruz</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100</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/2024,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011</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/2024, para Registro de Preços.</w:t>
      </w:r>
    </w:p>
    <w:p>
      <w:pPr>
        <w:pStyle w:val="Nivel2"/>
        <w:numPr>
          <w:ilvl w:val="0"/>
          <w:numId w:val="1"/>
        </w:numPr>
        <w:spacing w:lineRule="auto" w:line="276"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
        </w:numPr>
        <w:spacing w:lineRule="auto" w:line="276" w:before="0" w:after="0"/>
        <w:ind w:left="0" w:right="0" w:hanging="0"/>
        <w:jc w:val="both"/>
        <w:rPr>
          <w:rFonts w:ascii="Arial" w:hAnsi="Arial"/>
          <w:sz w:val="22"/>
          <w:szCs w:val="22"/>
        </w:rPr>
      </w:pPr>
      <w:r>
        <w:rPr>
          <w:rFonts w:cs="Arial" w:ascii="Arial" w:hAnsi="Arial"/>
          <w:color w:val="000000"/>
          <w:sz w:val="22"/>
          <w:szCs w:val="22"/>
          <w:shd w:fill="auto" w:val="clear"/>
        </w:rPr>
        <w:t>2. DOS PREÇOS, ESPECIFICAÇÕES E QUANTITATIVOS</w:t>
      </w:r>
    </w:p>
    <w:p>
      <w:pPr>
        <w:pStyle w:val="Nivel2"/>
        <w:numPr>
          <w:ilvl w:val="0"/>
          <w:numId w:val="1"/>
        </w:numPr>
        <w:spacing w:lineRule="auto" w:line="276"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Normal"/>
        <w:numPr>
          <w:ilvl w:val="0"/>
          <w:numId w:val="1"/>
        </w:numPr>
        <w:spacing w:lineRule="auto" w:line="276" w:before="0" w:after="0"/>
        <w:jc w:val="both"/>
        <w:rPr>
          <w:rFonts w:ascii="Arial" w:hAnsi="Arial"/>
          <w:sz w:val="22"/>
          <w:szCs w:val="22"/>
        </w:rPr>
      </w:pPr>
      <w:r>
        <w:rPr>
          <w:rFonts w:ascii="Arial" w:hAnsi="Arial"/>
          <w:sz w:val="22"/>
          <w:szCs w:val="22"/>
        </w:rPr>
      </w:r>
    </w:p>
    <w:p>
      <w:pPr>
        <w:pStyle w:val="Normal"/>
        <w:numPr>
          <w:ilvl w:val="0"/>
          <w:numId w:val="1"/>
        </w:numPr>
        <w:spacing w:lineRule="auto" w:line="276" w:before="0" w:after="0"/>
        <w:jc w:val="both"/>
        <w:rPr>
          <w:rFonts w:ascii="Arial" w:hAnsi="Arial"/>
          <w:sz w:val="22"/>
          <w:szCs w:val="22"/>
        </w:rPr>
      </w:pPr>
      <w:r>
        <w:rPr>
          <w:rFonts w:ascii="Arial" w:hAnsi="Arial"/>
          <w:sz w:val="22"/>
          <w:szCs w:val="22"/>
        </w:rPr>
      </w:r>
    </w:p>
    <w:tbl>
      <w:tblPr>
        <w:tblW w:w="9641" w:type="dxa"/>
        <w:jc w:val="left"/>
        <w:tblInd w:w="-2" w:type="dxa"/>
        <w:tblLayout w:type="fixed"/>
        <w:tblCellMar>
          <w:top w:w="0" w:type="dxa"/>
          <w:left w:w="28" w:type="dxa"/>
          <w:bottom w:w="0" w:type="dxa"/>
          <w:right w:w="28" w:type="dxa"/>
        </w:tblCellMar>
      </w:tblPr>
      <w:tblGrid>
        <w:gridCol w:w="941"/>
        <w:gridCol w:w="845"/>
        <w:gridCol w:w="5209"/>
        <w:gridCol w:w="969"/>
        <w:gridCol w:w="763"/>
        <w:gridCol w:w="914"/>
      </w:tblGrid>
      <w:tr>
        <w:trPr>
          <w:trHeight w:val="256" w:hRule="atLeast"/>
        </w:trPr>
        <w:tc>
          <w:tcPr>
            <w:tcW w:w="941"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Item</w:t>
            </w:r>
          </w:p>
        </w:tc>
        <w:tc>
          <w:tcPr>
            <w:tcW w:w="845"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Produto</w:t>
            </w:r>
          </w:p>
        </w:tc>
        <w:tc>
          <w:tcPr>
            <w:tcW w:w="5209"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Produto - Descrição</w:t>
            </w:r>
          </w:p>
        </w:tc>
        <w:tc>
          <w:tcPr>
            <w:tcW w:w="969"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Unidade</w:t>
            </w:r>
          </w:p>
        </w:tc>
        <w:tc>
          <w:tcPr>
            <w:tcW w:w="763" w:type="dxa"/>
            <w:tcBorders>
              <w:top w:val="single" w:sz="2" w:space="0" w:color="000000"/>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Quant</w:t>
            </w:r>
          </w:p>
        </w:tc>
        <w:tc>
          <w:tcPr>
            <w:tcW w:w="914" w:type="dxa"/>
            <w:tcBorders>
              <w:top w:val="single" w:sz="2" w:space="0" w:color="000000"/>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Valores - Total</w:t>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1885.0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DETERGENTE LIMPEZA VEÍCULO, ASPECTO FÍSICO: LÍQUIDO VISCOSO, COMPOSIÇÃO: ÁCIDO SULFÔNICO, HIDRÓXIDO DE SÓDIO, TENSOATIVO, APLICAÇÃO: LAVAGEM VEÍCULOS E SUPERFÍCIES PINTADAS, CARACTERÍSTICAS ADICIONAIS: LÍQUIDO CONCENTRADO, SOLÚVEL EM ÁGUA, BASE NEUTRA. EMBALAGENS A CRITÉRIO DO FORNECEDOR.</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600.0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1909.0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DETERGENTE DESENGRAXANTE ALCALINO PARA USO EM EQUIPAMENTOS DE CONSTRUÇÃO, TERRAPLANAGEM, CAMINHÕES E DEMAIS. NA REMOÇÃO DE GAXAS, ÓLEOS E SUJEIRAS EM CHASSI, MOTORES E DEMAIS. (EMBALAGENS DE 05 LITROS)</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2499.0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QUEROSENE, USO: LIMPEZA, DESENGRAXANTE, SOLVENTE, TIPO:COMUM. EMBALAGEM DE 50 LITROS.</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2503.0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40 ESPECIALMENTE DESENVOLVIDO PARA TRANSMISSÕES MANUAIS SINCRONIZADOS DE CAMINHÕES E ÔNIBUS, FORMALMENTE APROVADO PELA MERCEDES-BENZ CONFORME ESPECIFICAÇÃO MB 235.12; PONTO DE FULGOR MAIOR OU IGUAL A 240 °C; PONTO DE FLUIDEZ MENOR OU IGUAL A - 24 °C; VISCOSIDADE A 100°C (CST) ENTRE 14,6 E 15,6; VISCOSIDADE A 40°C (CST) ENTRE 137,5 E 149,2; ÍNDICE DE VISCOSIDADE ENTRE 99 E 108; EMBALAGEM: 20 LITROS (BALDE); PONTO DE FULGOR MAIOR OU IGUAL A 240 °C; PONTO DE FLUIDEZ MENOR OU IGUAL A - 24 °C; VISCOSIDADE A 100°C (CST) ENTRE 14,6 E 15,6; VISCOSIDADE A 40°C (CST) ENTRE 137,5 E 149,2; ÍNDICE DE VISCOSIDADE ENTRE 99 E 108;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2502.0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TRANSMISSÃO E DIFERENCIAIS, SAE 90, COM ADITIVOS EP, DESEMPENHO API GL-5 E MIL-L-2105D; VISCOSIDADE A 40°C, CST, ENTRE 175,4 E 207; VISCOSIDADE A 100°C, CST, ENTRE 16 E 18,2;  ÍNDICE DE VISCOSIDADE ENTRE 90,8 E 97,2; PONTO DE FLUIDEZ MENOR OU IGUAL A -6 °C; PONTO DE FULGOR MAIOR OU IGUAL A 220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6.0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MOTORES 02 TEMPOS A GASOLINA, UTILIZADO EM MOTOSSERRAS, CORTADORES DE GRAMA, ROÇADEIRAS, MOTOPODAS, ETC.  VISCOSIDADE A 40°C, CST, ENTRE 81,7 E 92,2; VISCOSIDADE A 100°C, CST, ENTRE 8,7 E 10,8; PONTO DE FULGOR MAIOR OU IGUAL A 116 °C; CLASSIFICAÇÃO DE DESEMPENHO: JASO - FB OU SUPERIOR (JASO - FC, JASO - FD). EMBALAGEM: 500 ML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TUBO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7.0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2507.0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GRAXA LUBRIFICANTE À BASE DE SABÃO COMPLEXO DE LÍTIO, GRAU NLGI 2, CONTENDO ADITIVOS DE EXTREMA PRESSÃO (EP) E INIBIDORES DE OXIDAÇÃO E CORROSÃO, RECOMENDADA PARA APLICAÇÃO EM EQUIPAMENTOS AUTOMOTIVOS, INDUSTRIAIS, MARÍTIMOS OU AGRÍCOLAS SUBMETIDOS A CARGAS ELEVADAS, EM MANCAIS DE ROLAMENTO OU DESLIZAMENTO, ARTICULAÇÕES E CUBOS DE RODA AUTOMOTIVOS, CHASSIS E JUNTAS UNIVERSAIS. CLASSIFICAÇÃO DE DESEMPENHO MERCEDES BENZ DBL 6804.50;TEMPERATURA MÍNIMA DE OPERAÇÃO MENOR OU IGUAL A &amp;#8211; 20 °C; TEMPERATURA MÁXIMA DE OPERAÇÃO MAIOR OU IGUAL A 177 °C;PENETRAÇÃO TRABALHADA 60X IGUAL A 275;PONTO DE GOTA MAIOR QUE 260 °C;CARGA TIMKEN MAIOR OU IGUAL A 45 LB;FOUR BALL &amp;#8211; CARGA DE SOLDA MAIOR OU IGUAL A 250 KGF;VISCOSIDADE A 40 °C (CST) ENTRE 149 E 152; EMBALAGEM: BALDE DE 20 KG.</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2508.0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PARA SISTEMA HIDRÁULICOS, ISO VG 68, DESEMPENHO DIN 51524 PARTE 2 (HLP) E CINCINNATI P-69. TESTE FZG A/8.3/90 (DIN 51354) MAIOR QUE 11.  VISCOSIDADE A 40°C, CST, ENTRE 64,5 E 68; VISCOSIDADE A 100°C, CST, ENTRE 8,6 E 9;  ÍNDICE DE VISCOSIDADE ENTRE 98,9 E 107,2; PONTO DE FLUIDEZ MENOR OU IGUAL A -18 °C; PONTO DE FULGOR MAIOR OU IGUAL A 242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BALDE</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9.0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4401.0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FLUÍDO PARA APLICAÇÃO ESPECÍFICA, APLICAÇÃO: ADITIVO CONCENTRADO ARREFECEDOR PARA RADIADOR, ANTICORROSIVO, ANTIOXIDANTE PARA USO EM VEÍCULOS A GASOLINA, ÁLCOOL E DIESEL. ISENTOS DE NITRITOS, FOSFATOS, BORATOS, SILICATOS E AMINAS, FEITO À BASE DE GLICOL E DE INIBIDORES DE CORROSÃO ORGÂNICOS. EMBALAGENS DE 1 LITRO.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5611.0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10W PARA USO EM SISTEMAS HIDRÁULICOS, CONVERSORES DE TORQUE, COMANDOS FINAIS E SISTEMAS DE TRANSMISSÃO DE EQUIPAMENTOS DE TERRAPLANAGEM; ADITIVAÇÃO ANTIDESGASTE, ANTICORROSIVA, ANTIESPUMANTE, ALÉM DE CONTAR COM PROPRIEDADES ANTIFRICÇÃO. PONTO DE FULGOR MAIOR OU IGUAL 210 °C; VISCOSIDADE A 40°C (CST) ENTRE 34 E 44; VISCOSIDADE A 100°C (CST) ENTRE 5,9 E 7; ÍNDICE DE VISCOSIDADE ENTRE 104 E 118; CLASSIFICAÇÃO DE DESEMPENHO: ALLISON C-4, CAT TO-4 E KOMATSU KES 07.868.1; EMBALAGEM: 200 LITROS (TAMBOR);</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TONEL</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8551.0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FLUIDO PARA FREIO ESPECIAL DOT 4, SINTÉTICO, PARA USO EM FREIOS A DISCO, TAMBOR OU ABS, QUE EQUIPAM CARROS DE PASSEIO, ÔNIBUS, CAMINHÕES OU MOTOCICLETAS.  PONTO DE EBULIÇÃO (ºC) MAIOR QUE 252; VISCOSIDADE A - 40ºC (CST) ENTRE 881 E 1025; VISCOSIDADE A 100ºC (CST) ENTRE 2,0 E 2,4; CLASSIFICAÇÃO DE DESEMPENHO: SAE J1704, FMVSS 116, NBR 9292; EMBALAGEM: 500 ML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FRASCO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8628.0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MINERAL PARA TRANSMISSÃO/DIFERENCIAL, VISCOSIDADE SAE 10W30. CLASSIFICAÇÃO DE DESEMPENHO: API GL-4, ALLISON C-4, CATERPILLAR TO-2, MASSEY FERGUSON CMS M1143, JOHN DEERE JDM J20C, ZF TE-ML 03E (TRANSMISSÕES POWERSHIFT DE VEÍCULOS ESPECIAIS, OFF-ROAD E EMPILHADEIRAS), ZF TE-ML 05F (EIXOS DE VEÍCULOS OFF-ROAD), ZF TE-ML 17E (EIXOS DE EMPILHADEIRAS), ZF TE-ML 21F (EIXOS PARA TRATORES); VISCOSIDADE A 40°C, CST, ENTRE 58,9 E 62,5; VISCOSIDADE A 100°C, CST, ENTRE 9,3 E 9,8;  ÍNDICE DE VISCOSIDADE ENTRE 131 E 150; PONTO DE FLUIDEZ MENOR OU IGUAL A - 36°C; PONTO DE FULGOR MAIOR OU IGUAL A 220 °C;  EMBALAGEM: 20 LITROS (GALAO);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9266.0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LUBRIFICANTE SAE 85W140 PARA LUBRIFICAÇÃO DE DIFERENCIAIS CONVENCIONAIS, CAIXAS DE TRANSMISSÕES E CAIXAS DE TRANSFERÊNCIA DE VEÍCULOS PESADOS, RODOVIÁRIOS OU DO TIPO &amp;#8220;FORA-DE-ESTRADA&amp;#8221;.  VISCOSIDADE CINEMÁTICA 100°C (CST) ENTRE 25,0 E 28,0;  VISCOSIDADE CINEMÁTICA 40°C (CST) ENTRE 347 E 393;  ÍNDICE DE VISCOSIDADE ENTRE 92 E 101;  PONTO DE FLUIDEZ MENOR OU IGUAL A &amp;#8211;12°C; PONTO DE FULGOR MAIOR OU IGUAL A 200 °C;  CLASSIFICAÇÃO DE DESEMPENHO: API GL-5, API MT-1, SAE J2360, MIL-PRF-2105E;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14.0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13046.0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SEMI SINTÉTICO MULTI VISCOSO SAE 15W40 API SL PARA USO EM MOTORES A GASOLINA E ETANOL, COM INJEÇÃO ELETRÔNICA. VISCOSIDADE 100°C CST 14,99  VISCOSIDADE 40°C CST 104,0  ÍNDICE DE VISCOSIDADE ENTRE 151 E 20°C   PONTO DE FLUIDEZ MENOR OU IGUAL A 18 °C  PONTO DE FULGOR MAIOR OU IGUAL A 240 °C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350.0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15.0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13047.0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FLUÍDO HIDRÁULICO, TIPO ATF, PARA TRANSMISSÕES AUTOMÁTICAS E SISTEMAS DE DIREÇÃO HIDRÁULICA DE VEÍCULOS LEVES, CAMINHÕES, ÔNIBUS E VEÍCULOS OFF-ROAD. CLASSIFICAÇÃO DE DESEMPENHO: ALLISON C-4, GM DEXRON III E FORD MERCON;  VISCOSIDADE A 40°C, CST, ENTRE 32,8 E 39,8; VISCOSIDADE A 100°C, CST, ENTRE 7,0 E 7,8;  ÍNDICE DE VISCOSIDADE ENTRE 170 E 183; PONTO DE FLUIDEZ MENOR OU IGUAL A - 48 °C; PONTO DE FULGOR MAIOR OU IGUAL A 180 °C;  EMBALAGEM: 20 LITROS (BALDE);</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GALAO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8.0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10815.0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SINTÉTICO SAE 75W90 PARA APLICAÇÃO EM EIXOS DIFERENCIAIS CONVENCIONAIS, EIXOS FINAIS E REDUTORES QUANTO EM CAIXAS DE MUDANÇA MANUAIS (SINCRONIZADAS OU NÃO SINCRONIZADAS) E AUTOMATIZADAS. DENSIDADE, ASTM D4052, (G/ML) ENTRE 0,85 E 0,88; VISCOSIDADE A 100 °C, MM²/S (CST) ENTRE 15,4 E 18,2; VISCOSIDADE A 40 °C, MM²/S (CST) ENTRE 103 E 108; ÍNDICE DE VISCOSIDADE ENTRE 153 E 158; PONTO DE FLUIDEZ MENOR OU IGUAL A -45 °C; PONTO DE FULGOR MAIOR OU IGUAL A 135 °C; CLASSIFICAÇÃO DE DESEMPENHO: SAE J2360, API GL-4/GL-5/MT-1, MIL PRF-2105E, MAN 341 TIPO Z2, MAN 342 TIPO S1, APROVAÇÃO MB 235.8, MERITOR O76N, SCANIA STO 1:0, VOLVO 97312, ZF TE-ML (02B, 05A, 07A, 12L, 12N, 16F, 17B, 19C), DETROIT DIESEL DFS93K219.01;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160794.0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SINTÉTICO PARA MOTOR SAE 10W40 DESENVOLVIDO PARA ATENDER AOS MAIS RECENTES REQUERIMENTOS DE LUBRIFICAÇÃO DOS MODERNOS MOTORES DE QUATRO TEMPOS FLEX, À GASOLINA, ETANOL OU GNV, PRINCIPALMENTE AQUELES EQUIPADOS COM INJEÇÃO DIRETA E/OU TURBOCOMPRESSOR. DENSIDADE RELATIVA À 15°C (KG/L) ENTRE 0,840 E 0,870; VISCOSIDADE A 100ºC (CST) ENTRE 10,1 E 14,85; VISCOSIDADE A 40ºC (CST) ENTRE 80,0 E 92;  ÍNDICE DE VISCOSIDADE ENTRE 155 E 180; PONTO DE FLUIDEZ MENOR OU IGUAL A -33 °C; PONTO DE FULGOR MAIOR OU IGUAL A 226; CLASSIFICAÇÃO DE DESEMPENHO: AP SM;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164935.0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DE MOTOR, CICLO DIESEL, VISCOSIDADE SAE 15W40. DESEMPENHO API CK-4, ACEA E9-16, CATERPILLAR ECF-3, CUMMINS CES 20086, MB-APPRO VAL 228.31 E VOLVO VDS-4.5;  VISCOSIDADE A 40°C, CST, ENTRE 111,8 E 114,2; VISCOSIDADE A 100°C, CST, ENTRE 14,5 E 15,7;  ÍNDICE DE VISCOSIDADE ENTRE 133,9 E 136,1; PONTO DE FLUIDEZ MENOR OU IGUAL A - 39°C; PONTO DE FULGOR MAIOR OU IGUAL A 202°C;  EMBALAGEM: 20 LITROS (GALÃO);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180.0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19.0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174123.0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LÍQUIDO DE ARREFECIMENTO PRONTO PARA USO (PREMIX/DILUÍDO 50/50 EM ÁGUA DESMINERALIZADA/DEIONIZADA), A BASE DE MONOETILENOGLICOL/ ETILENOGLICOL E DE INIBIDORES DE CORROSÃO ORGÂNICOS (OAT) PARA LINHA LEVE E PESADA. ISENTO DE NITRITO, FOSFATO. PROTEÇÃO CONTRA CORROSÃO, CONTRA CAVITAÇÃO E CONTRA FORMAÇÃO DE ESPUMA. PONTO DE EBULIÇÃO MAIOR OU IGUAL A 108 °C; PONTO DE CONGELAMENTO MENOR OU IGUAL A -37 °C; PH ENTRE 7,4 E 9,6; NÍVEIS DE DESEMPENHO: ASTM D3306, ABNT NBR 14261;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20.0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174245.0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SAE 5W30 ESPECIALMENTE DESENVOLVIDO PARA MOTORES DIESEL EQUIPADOS COM FILTRO DE PARTÍCULAS. DENSIDADE A 15°C (G/ML) ENTRE 0,84 E 0,86; VISCOSIDADE CINEMÁTICA A 40°C (MM²/S) ENTRE 67,8 E 73; VISCOSIDADE CINEMÁTICA A 100°C (MM²/S) ENTRE 12,0 E 12,5; PONTO DE FULGOR MAIOR OU IGUAL A 196 °C; PONTO DE FLUIDEZ MENOR OU IGUAL A -36 °C; CLASSIFICAÇÃO DE DESEMPENHO: ACEA C4, RENAULT: RN0720, MB-APPROVAL 226.51;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21.0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176115.0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SINTÉTICO SAE 5W30 PARA MOTORES A GASOLINA, ETANOL, FLEX E GNV .  VISCOSIDADE A 40ºC, CST, ENTRE 58,5 E64,1; ÍNDICE DE VISCOSIDADE A 100ºC, CST, ENTRE 10 E 11,1; ÍNDICE DE VISCOSIDADE  ENTRE 159,8 E 166,2; PONTO DE FLUIDEZ IGUA A -33ºC; PONTO DE FULGOR MAIOR OU IGUAL A 224ºC ;CLASSIFICAÇÃO DE DESEMPENHO: IGUAL OU SUPERIOR API SN;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300.0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941"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22.0</w:t>
            </w:r>
          </w:p>
        </w:tc>
        <w:tc>
          <w:tcPr>
            <w:tcW w:w="845"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176168.0</w:t>
            </w:r>
          </w:p>
        </w:tc>
        <w:tc>
          <w:tcPr>
            <w:tcW w:w="520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ÓLEO LUBRIFICANTE SINTÉTICO PARA MOTOR SAE 0W20 DESENVOLVIDO PARA ATENDER AOS MAIS RECENTES REQUERIMENTOS DE LUBRIFICAÇÃO DOS MODERNOS MOTORES DE QUATRO TEMPOS FLEX, À GASOLINA, ETANOL OU GNV, PRINCIPALMENTE AQUELES EQUIPADOS COM INJEÇÃO DIRETA E/OU TURBOCOMPRESSOR. DENSIDADE RELATIVA À 15°C (KG/L) ENTRE 0,840 E 0,850; VISCOSIDADE A 100ºC (CST) ENTRE 7,1 E 8,7; VISCOSIDADE A 40ºC (CST) ENTRE 37,0 E 45,0; ÍNDICE DE VISCOSIDADE ENTRE 165 E 174; PONTO DE FLUIDEZ MENOR OU IGUAL A -39 °C; PONTO DE FULGOR MAIOR OU IGUAL A 203; CLASSIFICAÇÃO DE DESEMPENHO: API SP, ILSAC GF-6A, FORD WSS-M2C947-A, GM DEXOS 1 GEN 2 OU GEN 3 (DEVERÁ CONSTAR O NÚMERO DA LICENÇA GM DEXOS NA FICHA TÉCNICA);  EMBALAGEM: 1 LITRO (FRASCO);</w:t>
            </w:r>
          </w:p>
        </w:tc>
        <w:tc>
          <w:tcPr>
            <w:tcW w:w="969"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LITRO</w:t>
            </w:r>
          </w:p>
        </w:tc>
        <w:tc>
          <w:tcPr>
            <w:tcW w:w="763" w:type="dxa"/>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t>240.0</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r>
        <w:trPr>
          <w:trHeight w:val="256" w:hRule="atLeast"/>
        </w:trPr>
        <w:tc>
          <w:tcPr>
            <w:tcW w:w="8727" w:type="dxa"/>
            <w:gridSpan w:val="5"/>
            <w:tcBorders>
              <w:left w:val="single" w:sz="2" w:space="0" w:color="000000"/>
              <w:bottom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b/>
                <w:sz w:val="16"/>
                <w:szCs w:val="16"/>
              </w:rPr>
              <w:t>TOTAL ESTIMADO</w:t>
            </w:r>
          </w:p>
        </w:tc>
        <w:tc>
          <w:tcPr>
            <w:tcW w:w="914" w:type="dxa"/>
            <w:tcBorders>
              <w:left w:val="single" w:sz="2" w:space="0" w:color="000000"/>
              <w:bottom w:val="single" w:sz="2" w:space="0" w:color="000000"/>
              <w:right w:val="single" w:sz="2" w:space="0" w:color="000000"/>
            </w:tcBorders>
            <w:vAlign w:val="bottom"/>
          </w:tcPr>
          <w:p>
            <w:pPr>
              <w:pStyle w:val="Normal"/>
              <w:numPr>
                <w:ilvl w:val="0"/>
                <w:numId w:val="1"/>
              </w:numPr>
              <w:tabs>
                <w:tab w:val="clear" w:pos="408"/>
              </w:tabs>
              <w:jc w:val="center"/>
              <w:rPr>
                <w:rFonts w:ascii="Arial" w:hAnsi="Arial"/>
                <w:sz w:val="16"/>
                <w:szCs w:val="16"/>
              </w:rPr>
            </w:pPr>
            <w:r>
              <w:rPr>
                <w:rFonts w:ascii="Arial" w:hAnsi="Arial"/>
                <w:sz w:val="16"/>
                <w:szCs w:val="16"/>
              </w:rPr>
            </w:r>
          </w:p>
        </w:tc>
      </w:tr>
    </w:tbl>
    <w:p>
      <w:pPr>
        <w:pStyle w:val="Default"/>
        <w:numPr>
          <w:ilvl w:val="0"/>
          <w:numId w:val="1"/>
        </w:numPr>
        <w:spacing w:lineRule="auto" w:line="276"/>
        <w:jc w:val="both"/>
        <w:rPr>
          <w:rFonts w:cs="Arial"/>
          <w:b/>
          <w:color w:val="000000"/>
          <w:shd w:fill="auto" w:val="clear"/>
          <w:lang w:eastAsia="zh-CN"/>
        </w:rPr>
      </w:pPr>
      <w:r>
        <w:rPr>
          <w:rFonts w:ascii="Arial" w:hAnsi="Arial"/>
          <w:sz w:val="22"/>
          <w:szCs w:val="22"/>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1"/>
        </w:numPr>
        <w:spacing w:lineRule="auto" w:line="276"/>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1"/>
        </w:numPr>
        <w:spacing w:lineRule="auto" w:line="276"/>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1"/>
        </w:numPr>
        <w:spacing w:lineRule="auto" w:line="276"/>
        <w:jc w:val="both"/>
        <w:rPr>
          <w:rFonts w:ascii="Arial" w:hAnsi="Arial"/>
          <w:sz w:val="22"/>
          <w:szCs w:val="22"/>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1"/>
        </w:numPr>
        <w:spacing w:lineRule="auto" w:line="276"/>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1"/>
        </w:numPr>
        <w:spacing w:lineRule="auto" w:line="276"/>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1"/>
        </w:numPr>
        <w:spacing w:lineRule="auto" w:line="276"/>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1"/>
        </w:numPr>
        <w:spacing w:lineRule="auto" w:line="276"/>
        <w:jc w:val="both"/>
        <w:rPr/>
      </w:pPr>
      <w:bookmarkStart w:id="9" w:name="_3znysh71"/>
      <w:bookmarkEnd w:id="9"/>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1"/>
        </w:numPr>
        <w:spacing w:lineRule="auto" w:line="276"/>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1"/>
        </w:numPr>
        <w:spacing w:lineRule="auto" w:line="276"/>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rFonts w:ascii="Arial" w:hAnsi="Arial"/>
          <w:sz w:val="22"/>
          <w:szCs w:val="22"/>
        </w:rPr>
      </w:pPr>
      <w:bookmarkStart w:id="10" w:name="_2et92p01"/>
      <w:bookmarkEnd w:id="10"/>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1"/>
        </w:numPr>
        <w:spacing w:lineRule="auto" w:line="276"/>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276"/>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1"/>
        </w:numPr>
        <w:spacing w:lineRule="auto" w:line="276"/>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1"/>
        </w:numPr>
        <w:spacing w:lineRule="auto" w:line="276"/>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1"/>
        </w:numPr>
        <w:spacing w:lineRule="auto" w:line="276"/>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1"/>
        </w:numPr>
        <w:spacing w:lineRule="auto" w:line="276"/>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1"/>
        </w:numPr>
        <w:spacing w:lineRule="auto" w:line="276"/>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1"/>
        </w:numPr>
        <w:spacing w:lineRule="auto" w:line="276"/>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1"/>
        </w:numPr>
        <w:spacing w:lineRule="auto" w:line="276"/>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1"/>
        </w:numPr>
        <w:spacing w:lineRule="auto" w:line="276"/>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/RS, com renúncia de quaisquer outros ainda que privilegiados. E por estarem as partes justas e acertadas assinam a presente Ata de Registro de Preços.</w:t>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1"/>
        </w:numPr>
        <w:spacing w:lineRule="auto" w:line="276"/>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jc w:val="center"/>
        <w:rPr>
          <w:rFonts w:ascii="Arial" w:hAnsi="Arial"/>
          <w:sz w:val="22"/>
          <w:szCs w:val="22"/>
        </w:rPr>
      </w:pPr>
      <w:bookmarkStart w:id="11" w:name="art6xxiiid"/>
      <w:bookmarkStart w:id="12" w:name="art6xxiiif"/>
      <w:bookmarkStart w:id="13" w:name="art6xxiiij"/>
      <w:bookmarkStart w:id="14" w:name="art6xxiiij_Copia_1"/>
      <w:bookmarkStart w:id="15" w:name="art6xxiii.i"/>
      <w:bookmarkStart w:id="16" w:name="art6xxiii.i_Copia_1"/>
      <w:bookmarkStart w:id="17" w:name="art6xxiiig"/>
      <w:bookmarkStart w:id="18" w:name="art6xxiiig_Copia_1_Copia_1"/>
      <w:bookmarkStart w:id="19" w:name="30j0zll"/>
      <w:bookmarkStart w:id="20" w:name="30j0zll_Copia_1"/>
      <w:bookmarkStart w:id="21" w:name="art6xxiiic"/>
      <w:bookmarkStart w:id="22" w:name="art6xxiiic_Copia_1"/>
      <w:r>
        <w:rPr>
          <w:rFonts w:cs="Arial" w:ascii="Arial" w:hAnsi="Arial"/>
          <w:b/>
          <w:bCs/>
          <w:iCs/>
          <w:color w:val="000000"/>
          <w:sz w:val="22"/>
          <w:szCs w:val="22"/>
          <w:shd w:fill="auto" w:val="clear"/>
        </w:rPr>
        <w:t>EMPRESA</w:t>
      </w:r>
      <w:bookmarkEnd w:id="11"/>
      <w:bookmarkEnd w:id="12"/>
      <w:bookmarkEnd w:id="13"/>
      <w:bookmarkEnd w:id="14"/>
      <w:bookmarkEnd w:id="15"/>
      <w:bookmarkEnd w:id="16"/>
      <w:bookmarkEnd w:id="17"/>
      <w:bookmarkEnd w:id="18"/>
      <w:bookmarkEnd w:id="19"/>
      <w:bookmarkEnd w:id="20"/>
      <w:bookmarkEnd w:id="21"/>
      <w:bookmarkEnd w:id="22"/>
    </w:p>
    <w:sectPr>
      <w:headerReference w:type="default" r:id="rId8"/>
      <w:footerReference w:type="default" r:id="rId9"/>
      <w:type w:val="nextPage"/>
      <w:pgSz w:w="11906" w:h="16838"/>
      <w:pgMar w:left="1134" w:right="1134"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9">
          <wp:simplePos x="0" y="0"/>
          <wp:positionH relativeFrom="column">
            <wp:posOffset>1523365</wp:posOffset>
          </wp:positionH>
          <wp:positionV relativeFrom="paragraph">
            <wp:posOffset>-412115</wp:posOffset>
          </wp:positionV>
          <wp:extent cx="3091815" cy="403225"/>
          <wp:effectExtent l="0" t="0" r="0" b="0"/>
          <wp:wrapSquare wrapText="largest"/>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1"/>
                  <a:srcRect l="-161" t="-1301" r="-161" b="-1301"/>
                  <a:stretch>
                    <a:fillRect/>
                  </a:stretch>
                </pic:blipFill>
                <pic:spPr bwMode="auto">
                  <a:xfrm>
                    <a:off x="0" y="0"/>
                    <a:ext cx="3091815" cy="40322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7">
          <wp:simplePos x="0" y="0"/>
          <wp:positionH relativeFrom="column">
            <wp:align>center</wp:align>
          </wp:positionH>
          <wp:positionV relativeFrom="paragraph">
            <wp:posOffset>635</wp:posOffset>
          </wp:positionV>
          <wp:extent cx="4533900" cy="85661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4533900" cy="856615"/>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408"/>
  <w:autoHyphenation w:val="true"/>
  <w:compat>
    <w:compatSetting w:name="compatibilityMode" w:uri="http://schemas.microsoft.com/office/word" w:val="12"/>
  </w:compat>
  <w:themeFontLang w:val="" w:eastAsia="" w:bidi=""/>
  <w:docVars>
    <w:docVar w:name="Npregão" w:val="011"/>
    <w:docVar w:name="Qsecretaria" w:val="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
    <w:docVar w:name="Nprocesso" w:val="023"/>
    <w:docVar w:name="Tjulgamento" w:val="menor preço unitário"/>
    <w:docVar w:name="ObjPregão" w:val="aquisição de óleo lubrificante e produtos de limpeza automotiva, destinados à manutenção e conservação da frota de veículos e máquinas da Prefeitura Municipal de Vera Cruz"/>
    <w:docVar w:name="Nreq" w:val="100"/>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3213</TotalTime>
  <Application>LibreOffice/7.5.5.2$Windows_X86_64 LibreOffice_project/ca8fe7424262805f223b9a2334bc7181abbcbf5e</Application>
  <AppVersion>15.0000</AppVersion>
  <Pages>58</Pages>
  <Words>25458</Words>
  <Characters>139897</Characters>
  <CharactersWithSpaces>164118</CharactersWithSpaces>
  <Paragraphs>1547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dcterms:modified xsi:type="dcterms:W3CDTF">2025-02-06T11:35:17Z</dcterms:modified>
  <cp:revision>201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