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header4.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276" w:before="0" w:after="0"/>
        <w:jc w:val="center"/>
        <w:rPr>
          <w:rFonts w:ascii="Arial" w:hAnsi="Arial"/>
          <w:color w:val="000000"/>
          <w:sz w:val="22"/>
          <w:szCs w:val="22"/>
          <w:highlight w:val="none"/>
          <w:shd w:fill="auto" w:val="clear"/>
        </w:rPr>
      </w:pPr>
      <w:r>
        <w:rPr>
          <w:rFonts w:eastAsia="Arial" w:cs="Arial" w:ascii="Arial" w:hAnsi="Arial"/>
          <w:b/>
          <w:bCs/>
          <w:color w:val="000000"/>
          <w:spacing w:val="14"/>
          <w:sz w:val="22"/>
          <w:szCs w:val="22"/>
          <w:shd w:fill="auto" w:val="clear"/>
          <w:lang w:val="pt-BR" w:eastAsia="pt-BR" w:bidi="ar-SA"/>
        </w:rPr>
        <w:t>PREG</w:t>
      </w:r>
      <w:r>
        <w:rPr>
          <w:rFonts w:cs="Arial" w:ascii="Arial" w:hAnsi="Arial"/>
          <w:b/>
          <w:bCs/>
          <w:color w:val="000000"/>
          <w:sz w:val="22"/>
          <w:szCs w:val="22"/>
          <w:shd w:fill="auto" w:val="clear"/>
        </w:rPr>
        <w:t xml:space="preserve">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108</w:t>
      </w:r>
      <w:r>
        <w:rPr>
          <w:sz w:val="22"/>
          <w:b/>
          <w:shd w:fill="auto" w:val="clear"/>
          <w:szCs w:val="22"/>
          <w:bCs/>
          <w:rFonts w:cs="Arial" w:ascii="Arial" w:hAnsi="Arial"/>
          <w:color w:val="000000"/>
        </w:rPr>
        <w:fldChar w:fldCharType="end"/>
      </w:r>
      <w:r>
        <w:rPr>
          <w:rFonts w:cs="Arial" w:ascii="Arial" w:hAnsi="Arial"/>
          <w:b/>
          <w:bCs/>
          <w:color w:val="000000"/>
          <w:sz w:val="22"/>
          <w:szCs w:val="22"/>
          <w:shd w:fill="auto" w:val="clear"/>
        </w:rPr>
        <w:t>/2025</w:t>
      </w:r>
    </w:p>
    <w:p>
      <w:pPr>
        <w:pStyle w:val="Corpodotexto"/>
        <w:spacing w:lineRule="auto" w:line="276" w:before="0" w:after="0"/>
        <w:jc w:val="center"/>
        <w:rPr>
          <w:rFonts w:ascii="Arial" w:hAnsi="Arial"/>
          <w:color w:val="000000"/>
          <w:sz w:val="22"/>
          <w:szCs w:val="22"/>
          <w:highlight w:val="none"/>
          <w:shd w:fill="auto" w:val="clear"/>
        </w:rPr>
      </w:pPr>
      <w:r>
        <w:rPr>
          <w:rFonts w:cs="Arial" w:ascii="Arial" w:hAnsi="Arial"/>
          <w:b/>
          <w:bCs/>
          <w:color w:val="000000"/>
          <w:sz w:val="22"/>
          <w:szCs w:val="22"/>
          <w:shd w:fill="auto" w:val="clear"/>
        </w:rPr>
        <w:t>REGISTRO DE PREÇOS</w:t>
      </w:r>
    </w:p>
    <w:p>
      <w:pPr>
        <w:pStyle w:val="Corpodotexto"/>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Corpodotexto"/>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Município de Vera Cruz / RS</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Processo Administrativo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Nprocesso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403</w:t>
      </w:r>
      <w:r>
        <w:rPr>
          <w:sz w:val="22"/>
          <w:b/>
          <w:shd w:fill="auto" w:val="clear"/>
          <w:szCs w:val="22"/>
          <w:bCs/>
          <w:rFonts w:cs="Arial" w:ascii="Arial" w:hAnsi="Arial"/>
          <w:color w:val="000000"/>
        </w:rPr>
        <w:fldChar w:fldCharType="end"/>
      </w:r>
      <w:r>
        <w:rPr>
          <w:rFonts w:cs="Arial" w:ascii="Arial" w:hAnsi="Arial"/>
          <w:b/>
          <w:bCs/>
          <w:color w:val="000000"/>
          <w:sz w:val="22"/>
          <w:szCs w:val="22"/>
          <w:shd w:fill="auto" w:val="clear"/>
        </w:rPr>
        <w:t>/2025</w:t>
      </w:r>
    </w:p>
    <w:p>
      <w:pPr>
        <w:pStyle w:val="Normal"/>
        <w:spacing w:lineRule="auto" w:line="276"/>
        <w:jc w:val="both"/>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O PREFEITO MUNICIPAL DE VERA CRUZ / RS</w:t>
      </w:r>
      <w:r>
        <w:rPr>
          <w:rFonts w:cs="Arial" w:ascii="Arial" w:hAnsi="Arial"/>
          <w:color w:val="000000"/>
          <w:sz w:val="22"/>
          <w:szCs w:val="22"/>
          <w:shd w:fill="auto" w:val="clear"/>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Tjulgamento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menor preço unitário</w:t>
      </w:r>
      <w:r>
        <w:rPr>
          <w:sz w:val="22"/>
          <w:shd w:fill="auto" w:val="clear"/>
          <w:szCs w:val="22"/>
          <w:rFonts w:cs="Arial" w:ascii="Arial" w:hAnsi="Arial"/>
          <w:color w:val="000000"/>
        </w:rPr>
        <w:fldChar w:fldCharType="end"/>
      </w:r>
      <w:r>
        <w:rPr>
          <w:rFonts w:cs="Arial" w:ascii="Arial" w:hAnsi="Arial"/>
          <w:color w:val="000000"/>
          <w:sz w:val="22"/>
          <w:szCs w:val="22"/>
          <w:shd w:fill="auto" w:val="clear"/>
        </w:rPr>
        <w:t>, tendo por objetivo a</w:t>
      </w:r>
      <w:r>
        <w:rPr>
          <w:rFonts w:cs="Arial" w:ascii="Arial" w:hAnsi="Arial"/>
          <w:color w:val="000000"/>
          <w:sz w:val="22"/>
          <w:szCs w:val="22"/>
          <w:shd w:fill="auto" w:val="clear"/>
        </w:rPr>
        <w:t xml:space="preserv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LUMINARIA COM TECNOLOGIA LED</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conforme descrito nesse edital e seus anexos, e nos termos da Lei Federal nº 14.133, de 1º de abril de 2021, e do Decreto Municipal nº 7.426/2024.</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10318" w:type="dxa"/>
        <w:jc w:val="left"/>
        <w:tblInd w:w="62" w:type="dxa"/>
        <w:tblLayout w:type="fixed"/>
        <w:tblCellMar>
          <w:top w:w="55" w:type="dxa"/>
          <w:left w:w="55" w:type="dxa"/>
          <w:bottom w:w="55" w:type="dxa"/>
          <w:right w:w="55" w:type="dxa"/>
        </w:tblCellMar>
      </w:tblPr>
      <w:tblGrid>
        <w:gridCol w:w="10318"/>
      </w:tblGrid>
      <w:tr>
        <w:trPr>
          <w:trHeight w:val="1925" w:hRule="atLeast"/>
        </w:trPr>
        <w:tc>
          <w:tcPr>
            <w:tcW w:w="1031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01/10</w:t>
            </w:r>
            <w:r>
              <w:rPr>
                <w:rFonts w:cs="Arial" w:ascii="Arial" w:hAnsi="Arial"/>
                <w:b/>
                <w:bCs/>
                <w:color w:val="000000"/>
                <w:sz w:val="22"/>
                <w:szCs w:val="22"/>
                <w:shd w:fill="auto" w:val="clear"/>
              </w:rPr>
              <w:t>/2025 07h55</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01/10</w:t>
            </w:r>
            <w:r>
              <w:rPr>
                <w:rFonts w:cs="Arial" w:ascii="Arial" w:hAnsi="Arial"/>
                <w:b/>
                <w:bCs/>
                <w:color w:val="000000"/>
                <w:sz w:val="22"/>
                <w:szCs w:val="22"/>
                <w:shd w:fill="auto" w:val="clear"/>
              </w:rPr>
              <w:t>/2025</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HORÁRIO: 08 h</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IMPUGNAÇÕES E ESCLARECIMENTOS: até as 23:59 do dia </w:t>
            </w:r>
            <w:r>
              <w:rPr>
                <w:rFonts w:cs="Arial" w:ascii="Arial" w:hAnsi="Arial"/>
                <w:b/>
                <w:bCs/>
                <w:color w:val="000000"/>
                <w:sz w:val="22"/>
                <w:szCs w:val="22"/>
                <w:shd w:fill="auto" w:val="clear"/>
              </w:rPr>
              <w:t>26</w:t>
            </w:r>
            <w:r>
              <w:rPr>
                <w:rFonts w:cs="Arial" w:ascii="Arial" w:hAnsi="Arial"/>
                <w:b/>
                <w:bCs/>
                <w:color w:val="000000"/>
                <w:sz w:val="22"/>
                <w:szCs w:val="22"/>
                <w:shd w:fill="auto" w:val="clear"/>
              </w:rPr>
              <w:t>/09/2025</w:t>
            </w:r>
          </w:p>
        </w:tc>
      </w:tr>
    </w:tbl>
    <w:p>
      <w:pPr>
        <w:pStyle w:val="Normal"/>
        <w:widowControl w:val="false"/>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 xml:space="preserve">O Pregão Eletrônico será realizado em sessão pública, por meio da </w:t>
      </w:r>
      <w:r>
        <w:rPr>
          <w:rFonts w:cs="Arial" w:ascii="Arial" w:hAnsi="Arial"/>
          <w:b/>
          <w:bCs/>
          <w:i/>
          <w:iCs/>
          <w:color w:val="000000"/>
          <w:sz w:val="22"/>
          <w:szCs w:val="22"/>
          <w:shd w:fill="auto" w:val="clear"/>
        </w:rPr>
        <w:t>INTERNET</w:t>
      </w:r>
      <w:r>
        <w:rPr>
          <w:rFonts w:cs="Arial" w:ascii="Arial" w:hAnsi="Arial"/>
          <w:color w:val="000000"/>
          <w:sz w:val="22"/>
          <w:szCs w:val="22"/>
          <w:shd w:fill="auto" w:val="clear"/>
        </w:rPr>
        <w:t>, mediante condições de segurança – criptografia e autenticação – em todas as suas fases através do Sistema de Pregão Eletrônico (licitações) do Portal de Compras Públicas;</w:t>
      </w:r>
    </w:p>
    <w:p>
      <w:pPr>
        <w:pStyle w:val="Normal"/>
        <w:spacing w:lineRule="auto" w:line="276"/>
        <w:ind w:left="1134"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Normal"/>
        <w:spacing w:lineRule="auto" w:line="276"/>
        <w:ind w:left="1134"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Agente de Contratação designado: Eunice Rosimeri Konzen Rodrigues</w:t>
      </w:r>
    </w:p>
    <w:p>
      <w:pPr>
        <w:pStyle w:val="Normal"/>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Equipe de apoio: Alexandra Barcelos Vogt e Jonny Francisco Wagner.</w:t>
      </w:r>
    </w:p>
    <w:p>
      <w:pPr>
        <w:pStyle w:val="Normal"/>
        <w:spacing w:lineRule="auto" w:line="276"/>
        <w:jc w:val="both"/>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1. DO OBJETO: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 </w:t>
      </w:r>
      <w:r>
        <w:rPr>
          <w:rFonts w:cs="Arial" w:ascii="Arial" w:hAnsi="Arial"/>
          <w:color w:val="000000"/>
          <w:sz w:val="22"/>
          <w:szCs w:val="22"/>
          <w:shd w:fill="auto" w:val="clear"/>
        </w:rPr>
        <w:t xml:space="preserve">O objeto da presente licitação é </w:t>
      </w:r>
      <w:r>
        <w:rPr>
          <w:rFonts w:cs="Arial" w:ascii="Arial" w:hAnsi="Arial"/>
          <w:b/>
          <w:bCs/>
          <w:color w:val="000000"/>
          <w:sz w:val="22"/>
          <w:szCs w:val="22"/>
          <w:shd w:fill="auto" w:val="clear"/>
        </w:rPr>
        <w:t xml:space="preserve">PREGÃO ELETRÔNICO para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LUMINARIA COM TECNOLOGIA LED</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xml:space="preserve">, para atender as necessidades da Administração Pública Municipal, conforme condições, quantidades e exigências estabelecidas no </w:t>
      </w:r>
      <w:r>
        <w:rPr>
          <w:rFonts w:cs="Arial" w:ascii="Arial" w:hAnsi="Arial"/>
          <w:b/>
          <w:bCs/>
          <w:color w:val="000000"/>
          <w:sz w:val="22"/>
          <w:szCs w:val="22"/>
          <w:shd w:fill="auto" w:val="clear"/>
        </w:rPr>
        <w:t>Termo de Referência – Anexo I</w:t>
      </w:r>
      <w:r>
        <w:rPr>
          <w:rFonts w:cs="Arial" w:ascii="Arial" w:hAnsi="Arial"/>
          <w:color w:val="000000"/>
          <w:sz w:val="22"/>
          <w:szCs w:val="22"/>
          <w:shd w:fill="auto" w:val="clear"/>
        </w:rPr>
        <w:t xml:space="preserve"> (baseado na Requisição de Compras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Nreq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1390</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shd w:fill="auto" w:val="clear"/>
        </w:rPr>
        <w:t>).</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1.2 </w:t>
      </w:r>
      <w:r>
        <w:rPr>
          <w:rFonts w:cs="Arial" w:ascii="Arial" w:hAnsi="Arial"/>
          <w:color w:val="000000"/>
          <w:sz w:val="22"/>
          <w:szCs w:val="22"/>
          <w:shd w:fill="auto" w:val="clear"/>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1.3</w:t>
      </w:r>
      <w:r>
        <w:rPr>
          <w:rFonts w:cs="Arial" w:ascii="Arial" w:hAnsi="Arial"/>
          <w:b w:val="false"/>
          <w:bCs w:val="false"/>
          <w:i w:val="false"/>
          <w:caps w:val="false"/>
          <w:smallCaps w:val="false"/>
          <w:color w:val="000000"/>
          <w:spacing w:val="0"/>
          <w:sz w:val="22"/>
          <w:szCs w:val="22"/>
          <w:shd w:fill="auto" w:val="clear"/>
        </w:rPr>
        <w:t xml:space="preserve"> O </w:t>
      </w:r>
      <w:r>
        <w:rPr>
          <w:rFonts w:cs="Arial" w:ascii="Arial" w:hAnsi="Arial"/>
          <w:b w:val="false"/>
          <w:i w:val="false"/>
          <w:caps w:val="false"/>
          <w:smallCaps w:val="false"/>
          <w:color w:val="000000"/>
          <w:spacing w:val="0"/>
          <w:sz w:val="22"/>
          <w:szCs w:val="22"/>
          <w:shd w:fill="auto" w:val="clear"/>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i w:val="false"/>
          <w:caps w:val="false"/>
          <w:smallCaps w:val="false"/>
          <w:color w:val="000000"/>
          <w:spacing w:val="0"/>
          <w:sz w:val="22"/>
          <w:szCs w:val="22"/>
          <w:shd w:fill="auto" w:val="clear"/>
        </w:rPr>
        <w:t>1.4</w:t>
      </w:r>
      <w:r>
        <w:rPr>
          <w:rFonts w:cs="Arial" w:ascii="Arial" w:hAnsi="Arial"/>
          <w:b w:val="false"/>
          <w:i w:val="false"/>
          <w:caps w:val="false"/>
          <w:smallCaps w:val="false"/>
          <w:color w:val="000000"/>
          <w:spacing w:val="0"/>
          <w:sz w:val="22"/>
          <w:szCs w:val="22"/>
          <w:shd w:fill="auto" w:val="clear"/>
        </w:rPr>
        <w:t xml:space="preserve"> A quantidade mínima a ser cotada de unidades de bens ou, no caso de serviços, de unidades de medida e a prevista na tabela abaixo:</w:t>
      </w:r>
    </w:p>
    <w:p>
      <w:pPr>
        <w:pStyle w:val="Corpodotexto"/>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10323" w:type="dxa"/>
        <w:jc w:val="left"/>
        <w:tblInd w:w="-2" w:type="dxa"/>
        <w:tblLayout w:type="fixed"/>
        <w:tblCellMar>
          <w:top w:w="0" w:type="dxa"/>
          <w:left w:w="28" w:type="dxa"/>
          <w:bottom w:w="0" w:type="dxa"/>
          <w:right w:w="28" w:type="dxa"/>
        </w:tblCellMar>
      </w:tblPr>
      <w:tblGrid>
        <w:gridCol w:w="647"/>
        <w:gridCol w:w="4476"/>
        <w:gridCol w:w="802"/>
        <w:gridCol w:w="1016"/>
        <w:gridCol w:w="1595"/>
        <w:gridCol w:w="1786"/>
      </w:tblGrid>
      <w:tr>
        <w:trPr>
          <w:trHeight w:val="256" w:hRule="atLeast"/>
        </w:trPr>
        <w:tc>
          <w:tcPr>
            <w:tcW w:w="647" w:type="dxa"/>
            <w:tcBorders>
              <w:top w:val="single" w:sz="2" w:space="0" w:color="000000"/>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ITEM</w:t>
            </w:r>
          </w:p>
        </w:tc>
        <w:tc>
          <w:tcPr>
            <w:tcW w:w="4476" w:type="dxa"/>
            <w:tcBorders>
              <w:top w:val="single" w:sz="2" w:space="0" w:color="000000"/>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DESCRIÇÃO</w:t>
            </w:r>
          </w:p>
        </w:tc>
        <w:tc>
          <w:tcPr>
            <w:tcW w:w="802" w:type="dxa"/>
            <w:tcBorders>
              <w:top w:val="single" w:sz="2" w:space="0" w:color="000000"/>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UNID.</w:t>
            </w:r>
          </w:p>
        </w:tc>
        <w:tc>
          <w:tcPr>
            <w:tcW w:w="1016" w:type="dxa"/>
            <w:tcBorders>
              <w:top w:val="single" w:sz="2" w:space="0" w:color="000000"/>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QUANT</w:t>
            </w:r>
          </w:p>
        </w:tc>
        <w:tc>
          <w:tcPr>
            <w:tcW w:w="1595" w:type="dxa"/>
            <w:tcBorders>
              <w:top w:val="single" w:sz="2" w:space="0" w:color="000000"/>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VALOR UNIT</w:t>
            </w:r>
          </w:p>
        </w:tc>
        <w:tc>
          <w:tcPr>
            <w:tcW w:w="1786"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VALOR TOTAL</w:t>
            </w:r>
          </w:p>
        </w:tc>
      </w:tr>
      <w:tr>
        <w:trPr>
          <w:trHeight w:val="462" w:hRule="atLeast"/>
        </w:trPr>
        <w:tc>
          <w:tcPr>
            <w:tcW w:w="647"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1</w:t>
            </w:r>
          </w:p>
        </w:tc>
        <w:tc>
          <w:tcPr>
            <w:tcW w:w="447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Luminária LED com potência nominal de ≤   50 W:</w:t>
              <w:br/>
              <w:t>Demais características citadas nas especificações técnicas do Anexo I.</w:t>
            </w:r>
          </w:p>
        </w:tc>
        <w:tc>
          <w:tcPr>
            <w:tcW w:w="802"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Peças</w:t>
            </w:r>
          </w:p>
        </w:tc>
        <w:tc>
          <w:tcPr>
            <w:tcW w:w="101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150</w:t>
            </w:r>
          </w:p>
        </w:tc>
        <w:tc>
          <w:tcPr>
            <w:tcW w:w="1595"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200,78</w:t>
            </w:r>
          </w:p>
        </w:tc>
        <w:tc>
          <w:tcPr>
            <w:tcW w:w="1786" w:type="dxa"/>
            <w:tcBorders>
              <w:left w:val="single" w:sz="2" w:space="0" w:color="000000"/>
              <w:bottom w:val="single" w:sz="2" w:space="0" w:color="000000"/>
              <w:right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30.117,00</w:t>
            </w:r>
          </w:p>
        </w:tc>
      </w:tr>
      <w:tr>
        <w:trPr>
          <w:trHeight w:val="388" w:hRule="atLeast"/>
        </w:trPr>
        <w:tc>
          <w:tcPr>
            <w:tcW w:w="647"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2</w:t>
            </w:r>
          </w:p>
        </w:tc>
        <w:tc>
          <w:tcPr>
            <w:tcW w:w="447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Luminária LED com potência nominal de  ≤   70 W:</w:t>
              <w:br/>
              <w:t>Demais características citadas nas especificações técnicas do Anexo I.</w:t>
            </w:r>
          </w:p>
        </w:tc>
        <w:tc>
          <w:tcPr>
            <w:tcW w:w="802"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Peças</w:t>
            </w:r>
          </w:p>
        </w:tc>
        <w:tc>
          <w:tcPr>
            <w:tcW w:w="101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150</w:t>
            </w:r>
          </w:p>
        </w:tc>
        <w:tc>
          <w:tcPr>
            <w:tcW w:w="1595"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343,75</w:t>
            </w:r>
          </w:p>
        </w:tc>
        <w:tc>
          <w:tcPr>
            <w:tcW w:w="1786" w:type="dxa"/>
            <w:tcBorders>
              <w:left w:val="single" w:sz="2" w:space="0" w:color="000000"/>
              <w:bottom w:val="single" w:sz="2" w:space="0" w:color="000000"/>
              <w:right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51.562,50</w:t>
            </w:r>
          </w:p>
        </w:tc>
      </w:tr>
      <w:tr>
        <w:trPr>
          <w:trHeight w:val="388" w:hRule="atLeast"/>
        </w:trPr>
        <w:tc>
          <w:tcPr>
            <w:tcW w:w="647"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3</w:t>
            </w:r>
          </w:p>
        </w:tc>
        <w:tc>
          <w:tcPr>
            <w:tcW w:w="447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Luminária LED com potência nominal de ≤  120 W:</w:t>
              <w:br/>
              <w:t>Demais características citadas nas especificações técnicas do Anexo I.</w:t>
            </w:r>
          </w:p>
        </w:tc>
        <w:tc>
          <w:tcPr>
            <w:tcW w:w="802"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Peças</w:t>
            </w:r>
          </w:p>
        </w:tc>
        <w:tc>
          <w:tcPr>
            <w:tcW w:w="101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500</w:t>
            </w:r>
          </w:p>
        </w:tc>
        <w:tc>
          <w:tcPr>
            <w:tcW w:w="1595"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383,32</w:t>
            </w:r>
          </w:p>
        </w:tc>
        <w:tc>
          <w:tcPr>
            <w:tcW w:w="1786" w:type="dxa"/>
            <w:tcBorders>
              <w:left w:val="single" w:sz="2" w:space="0" w:color="000000"/>
              <w:bottom w:val="single" w:sz="2" w:space="0" w:color="000000"/>
              <w:right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191.660,00</w:t>
            </w:r>
          </w:p>
        </w:tc>
      </w:tr>
      <w:tr>
        <w:trPr>
          <w:trHeight w:val="388" w:hRule="atLeast"/>
        </w:trPr>
        <w:tc>
          <w:tcPr>
            <w:tcW w:w="647"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4</w:t>
            </w:r>
          </w:p>
        </w:tc>
        <w:tc>
          <w:tcPr>
            <w:tcW w:w="447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 xml:space="preserve">Luminária LED com potência nominal de  ≤   150 W: </w:t>
              <w:br/>
              <w:t>Demais características citadas nas especificações técnicas do Anexo I.</w:t>
            </w:r>
          </w:p>
        </w:tc>
        <w:tc>
          <w:tcPr>
            <w:tcW w:w="802"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Peças</w:t>
            </w:r>
          </w:p>
        </w:tc>
        <w:tc>
          <w:tcPr>
            <w:tcW w:w="1016"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500</w:t>
            </w:r>
          </w:p>
        </w:tc>
        <w:tc>
          <w:tcPr>
            <w:tcW w:w="1595" w:type="dxa"/>
            <w:tcBorders>
              <w:left w:val="single" w:sz="2" w:space="0" w:color="000000"/>
              <w:bottom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319,30</w:t>
            </w:r>
          </w:p>
        </w:tc>
        <w:tc>
          <w:tcPr>
            <w:tcW w:w="1786" w:type="dxa"/>
            <w:tcBorders>
              <w:left w:val="single" w:sz="2" w:space="0" w:color="000000"/>
              <w:bottom w:val="single" w:sz="2" w:space="0" w:color="000000"/>
              <w:right w:val="single" w:sz="2" w:space="0" w:color="000000"/>
            </w:tcBorders>
            <w:vAlign w:val="bottom"/>
          </w:tcPr>
          <w:p>
            <w:pPr>
              <w:pStyle w:val="Normal"/>
              <w:widowControl w:val="false"/>
              <w:tabs>
                <w:tab w:val="clear" w:pos="408"/>
              </w:tabs>
              <w:spacing w:lineRule="auto" w:line="276"/>
              <w:jc w:val="center"/>
              <w:rPr>
                <w:rFonts w:ascii="Arial" w:hAnsi="Arial"/>
                <w:color w:val="000000"/>
                <w:sz w:val="18"/>
                <w:szCs w:val="18"/>
                <w:highlight w:val="none"/>
                <w:shd w:fill="auto" w:val="clear"/>
              </w:rPr>
            </w:pPr>
            <w:r>
              <w:rPr>
                <w:rFonts w:ascii="Arial" w:hAnsi="Arial"/>
                <w:color w:val="000000"/>
                <w:sz w:val="18"/>
                <w:szCs w:val="18"/>
                <w:shd w:fill="auto" w:val="clear"/>
              </w:rPr>
              <w:t>R$</w:t>
              <w:br/>
              <w:t>159.650,00</w:t>
            </w:r>
          </w:p>
        </w:tc>
      </w:tr>
    </w:tbl>
    <w:p>
      <w:pPr>
        <w:pStyle w:val="Normal"/>
        <w:spacing w:lineRule="auto" w:line="276"/>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2. DAS CONDIÇÕES PARA PARTICIPAÇÃO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2.1</w:t>
      </w:r>
      <w:r>
        <w:rPr>
          <w:rFonts w:cs="Arial" w:ascii="Arial" w:hAnsi="Arial"/>
          <w:color w:val="000000"/>
          <w:sz w:val="22"/>
          <w:szCs w:val="22"/>
          <w:shd w:fill="auto" w:val="clear"/>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276"/>
        <w:jc w:val="both"/>
        <w:rPr/>
      </w:pPr>
      <w:r>
        <w:rPr>
          <w:rFonts w:cs="Arial" w:ascii="Arial" w:hAnsi="Arial"/>
          <w:b/>
          <w:color w:val="000000"/>
          <w:sz w:val="22"/>
          <w:szCs w:val="22"/>
          <w:shd w:fill="auto" w:val="clear"/>
        </w:rPr>
        <w:t xml:space="preserve">2.2 </w:t>
      </w:r>
      <w:r>
        <w:rPr>
          <w:rFonts w:cs="Arial" w:ascii="Arial" w:hAnsi="Arial"/>
          <w:color w:val="000000"/>
          <w:sz w:val="22"/>
          <w:szCs w:val="22"/>
          <w:shd w:fill="auto" w:val="clear"/>
        </w:rPr>
        <w:t xml:space="preserve">O licitante deverá promover a sua inscrição e credenciamento para participar do pregão, diretamente no site do </w:t>
      </w:r>
      <w:hyperlink r:id="rId3">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 até o horário fixado no edital para inscrição e cadastramento.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2.3 </w:t>
      </w:r>
      <w:r>
        <w:rPr>
          <w:rFonts w:cs="Arial" w:ascii="Arial" w:hAnsi="Arial"/>
          <w:color w:val="000000"/>
          <w:sz w:val="22"/>
          <w:szCs w:val="22"/>
          <w:shd w:fill="auto" w:val="clear"/>
        </w:rPr>
        <w:t xml:space="preserve">A participação no pregão está condicionada obrigatoriamente a inscrição e credenciamento do licitante, até o limite de horário previsto no edital </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2.4</w:t>
      </w:r>
      <w:r>
        <w:rPr>
          <w:rFonts w:cs="Arial" w:ascii="Arial" w:hAnsi="Arial"/>
          <w:color w:val="000000"/>
          <w:sz w:val="22"/>
          <w:szCs w:val="22"/>
          <w:shd w:fill="auto" w:val="clear"/>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2.5 </w:t>
      </w:r>
      <w:r>
        <w:rPr>
          <w:rFonts w:cs="Arial" w:ascii="Arial" w:hAnsi="Arial"/>
          <w:iCs/>
          <w:color w:val="000000"/>
          <w:sz w:val="22"/>
          <w:szCs w:val="22"/>
          <w:shd w:fill="auto" w:val="clea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2.6. </w:t>
      </w:r>
      <w:r>
        <w:rPr>
          <w:rFonts w:cs="Arial" w:ascii="Arial" w:hAnsi="Arial"/>
          <w:iCs/>
          <w:color w:val="000000"/>
          <w:sz w:val="22"/>
          <w:szCs w:val="22"/>
          <w:shd w:fill="auto" w:val="clear"/>
        </w:rPr>
        <w:t>Não poderão disputar esta licitação:</w:t>
      </w:r>
    </w:p>
    <w:p>
      <w:pPr>
        <w:pStyle w:val="Normal"/>
        <w:keepLines/>
        <w:spacing w:lineRule="auto" w:line="276"/>
        <w:jc w:val="both"/>
        <w:textAlignment w:val="top"/>
        <w:rPr>
          <w:rFonts w:ascii="Arial" w:hAnsi="Arial"/>
          <w:color w:val="000000"/>
          <w:sz w:val="22"/>
          <w:szCs w:val="22"/>
          <w:highlight w:val="none"/>
          <w:shd w:fill="auto" w:val="clear"/>
        </w:rPr>
      </w:pPr>
      <w:r>
        <w:rPr>
          <w:rFonts w:cs="Arial" w:ascii="Arial" w:hAnsi="Arial"/>
          <w:b/>
          <w:bCs/>
          <w:iCs/>
          <w:color w:val="000000"/>
          <w:sz w:val="22"/>
          <w:szCs w:val="22"/>
          <w:shd w:fill="auto" w:val="clear"/>
        </w:rPr>
        <w:t xml:space="preserve">a) </w:t>
      </w:r>
      <w:r>
        <w:rPr>
          <w:rFonts w:cs="Arial" w:ascii="Arial" w:hAnsi="Arial"/>
          <w:iCs/>
          <w:color w:val="000000"/>
          <w:sz w:val="22"/>
          <w:szCs w:val="22"/>
          <w:shd w:fill="auto" w:val="clear"/>
        </w:rPr>
        <w:t>aquele que não atenda às condições deste Edital e seu(s) anexo(s);</w:t>
      </w:r>
    </w:p>
    <w:p>
      <w:pPr>
        <w:pStyle w:val="Normal"/>
        <w:keepLines/>
        <w:spacing w:lineRule="auto" w:line="276"/>
        <w:jc w:val="both"/>
        <w:textAlignment w:val="top"/>
        <w:rPr>
          <w:rFonts w:ascii="Arial" w:hAnsi="Arial"/>
          <w:color w:val="000000"/>
          <w:sz w:val="22"/>
          <w:szCs w:val="22"/>
          <w:highlight w:val="none"/>
          <w:shd w:fill="auto" w:val="clear"/>
        </w:rPr>
      </w:pPr>
      <w:r>
        <w:rPr>
          <w:rFonts w:cs="Arial" w:ascii="Arial" w:hAnsi="Arial"/>
          <w:b/>
          <w:bCs/>
          <w:iCs/>
          <w:color w:val="000000"/>
          <w:sz w:val="22"/>
          <w:szCs w:val="22"/>
          <w:shd w:fill="auto" w:val="clear"/>
        </w:rPr>
        <w:t>b)</w:t>
      </w:r>
      <w:r>
        <w:rPr>
          <w:rFonts w:cs="Arial" w:ascii="Arial" w:hAnsi="Arial"/>
          <w:iCs/>
          <w:color w:val="000000"/>
          <w:sz w:val="22"/>
          <w:szCs w:val="22"/>
          <w:shd w:fill="auto" w:val="clear"/>
        </w:rPr>
        <w:t xml:space="preserve"> autor do anteprojeto, do projeto básico ou do projeto executivo, pessoa física ou jurídica, quando a licitação versar sobre serviços ou fornecimento de bens a ele relacionados;</w:t>
      </w:r>
    </w:p>
    <w:p>
      <w:pPr>
        <w:pStyle w:val="Normal"/>
        <w:keepLine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 </w:t>
      </w:r>
      <w:bookmarkStart w:id="0" w:name="_Ref114659913"/>
      <w:r>
        <w:rPr>
          <w:rFonts w:cs="Arial" w:ascii="Arial" w:hAnsi="Arial"/>
          <w:color w:val="000000"/>
          <w:sz w:val="22"/>
          <w:szCs w:val="22"/>
          <w:shd w:fill="auto" w:val="clea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pessoa física ou jurídica que se encontre, ao tempo da licitação, impossibilitada de participar da licitação em decorrência de sanção que lhe foi imposta;</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f) </w:t>
      </w:r>
      <w:r>
        <w:rPr>
          <w:rFonts w:cs="Arial" w:ascii="Arial" w:hAnsi="Arial"/>
          <w:color w:val="000000"/>
          <w:sz w:val="22"/>
          <w:szCs w:val="22"/>
          <w:shd w:fill="auto" w:val="clear"/>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g)</w:t>
      </w:r>
      <w:r>
        <w:rPr>
          <w:rFonts w:cs="Arial" w:ascii="Arial" w:hAnsi="Arial"/>
          <w:color w:val="000000"/>
          <w:sz w:val="22"/>
          <w:szCs w:val="22"/>
          <w:shd w:fill="auto" w:val="clea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h)</w:t>
      </w:r>
      <w:r>
        <w:rPr>
          <w:rFonts w:cs="Arial" w:ascii="Arial" w:hAnsi="Arial"/>
          <w:color w:val="000000"/>
          <w:sz w:val="22"/>
          <w:szCs w:val="22"/>
          <w:shd w:fill="auto" w:val="clear"/>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i)</w:t>
      </w:r>
      <w:r>
        <w:rPr>
          <w:rFonts w:cs="Arial" w:ascii="Arial" w:hAnsi="Arial"/>
          <w:color w:val="000000"/>
          <w:sz w:val="22"/>
          <w:szCs w:val="22"/>
          <w:shd w:fill="auto" w:val="clear"/>
        </w:rPr>
        <w:t xml:space="preserve"> </w:t>
      </w:r>
      <w:r>
        <w:rPr>
          <w:rFonts w:eastAsia="Arial" w:cs="Arial" w:ascii="Arial" w:hAnsi="Arial"/>
          <w:color w:val="000000"/>
          <w:sz w:val="22"/>
          <w:szCs w:val="22"/>
          <w:shd w:fill="auto" w:val="clear"/>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2.6.1</w:t>
      </w:r>
      <w:r>
        <w:rPr>
          <w:rFonts w:cs="Arial" w:ascii="Arial" w:hAnsi="Arial"/>
          <w:color w:val="000000"/>
          <w:sz w:val="22"/>
          <w:szCs w:val="22"/>
          <w:shd w:fill="auto" w:val="clear"/>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2.6.2</w:t>
      </w:r>
      <w:r>
        <w:rPr>
          <w:rFonts w:cs="Arial" w:ascii="Arial" w:hAnsi="Arial"/>
          <w:color w:val="000000"/>
          <w:sz w:val="22"/>
          <w:szCs w:val="22"/>
          <w:shd w:fill="auto" w:val="clear"/>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2.6.3</w:t>
      </w:r>
      <w:r>
        <w:rPr>
          <w:rFonts w:cs="Arial" w:ascii="Arial" w:hAnsi="Arial"/>
          <w:color w:val="000000"/>
          <w:sz w:val="22"/>
          <w:szCs w:val="22"/>
          <w:shd w:fill="auto" w:val="clear"/>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2.6.4</w:t>
      </w:r>
      <w:r>
        <w:rPr>
          <w:rFonts w:cs="Arial" w:ascii="Arial" w:hAnsi="Arial"/>
          <w:color w:val="000000"/>
          <w:sz w:val="22"/>
          <w:szCs w:val="22"/>
          <w:shd w:fill="auto" w:val="clear"/>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2.6.5 </w:t>
      </w:r>
      <w:r>
        <w:rPr>
          <w:rFonts w:cs="Arial" w:ascii="Arial" w:hAnsi="Arial"/>
          <w:color w:val="000000"/>
          <w:sz w:val="22"/>
          <w:szCs w:val="22"/>
          <w:shd w:fill="auto" w:val="clear"/>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2.6.6</w:t>
      </w:r>
      <w:r>
        <w:rPr>
          <w:rFonts w:cs="Arial" w:ascii="Arial" w:hAnsi="Arial"/>
          <w:color w:val="000000"/>
          <w:sz w:val="22"/>
          <w:szCs w:val="22"/>
          <w:shd w:fill="auto" w:val="clear"/>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2.6.7</w:t>
      </w:r>
      <w:r>
        <w:rPr>
          <w:rFonts w:cs="Arial" w:ascii="Arial" w:hAnsi="Arial"/>
          <w:color w:val="000000"/>
          <w:sz w:val="22"/>
          <w:szCs w:val="22"/>
          <w:shd w:fill="auto" w:val="clear"/>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276"/>
        <w:jc w:val="both"/>
        <w:textAlignment w:val="top"/>
        <w:rPr/>
      </w:pPr>
      <w:r>
        <w:rPr>
          <w:rFonts w:cs="Arial" w:ascii="Arial" w:hAnsi="Arial"/>
          <w:b/>
          <w:bCs/>
          <w:color w:val="000000"/>
          <w:sz w:val="22"/>
          <w:szCs w:val="22"/>
          <w:shd w:fill="auto" w:val="clear"/>
        </w:rPr>
        <w:t xml:space="preserve">2.7 </w:t>
      </w:r>
      <w:r>
        <w:rPr>
          <w:rFonts w:eastAsia="Arial" w:cs="Arial" w:ascii="Arial" w:hAnsi="Arial"/>
          <w:color w:val="000000"/>
          <w:sz w:val="22"/>
          <w:szCs w:val="22"/>
          <w:shd w:fill="auto" w:val="clear"/>
        </w:rPr>
        <w:t xml:space="preserve">Será concedido tratamento favorecido para as microempresas e empresas de pequeno porte, para as sociedades cooperativas mencionadas no </w:t>
      </w:r>
      <w:r>
        <w:fldChar w:fldCharType="begin"/>
      </w:r>
      <w:r>
        <w:rPr>
          <w:sz w:val="22"/>
          <w:u w:val="single"/>
          <w:shd w:fill="auto" w:val="clear"/>
          <w:szCs w:val="22"/>
          <w:rFonts w:eastAsia="Arial" w:cs="Arial" w:ascii="Arial" w:hAnsi="Arial"/>
          <w:color w:val="000000"/>
        </w:rPr>
        <w:instrText xml:space="preserve"> HYPERLINK "http://www.planalto.gov.br/ccivil_03/_ato2019-2022/2021/lei/L14133.htm" \l "art16"</w:instrText>
      </w:r>
      <w:r>
        <w:rPr>
          <w:sz w:val="22"/>
          <w:u w:val="single"/>
          <w:shd w:fill="auto" w:val="clear"/>
          <w:szCs w:val="22"/>
          <w:rFonts w:eastAsia="Arial" w:cs="Arial" w:ascii="Arial" w:hAnsi="Arial"/>
          <w:color w:val="000000"/>
        </w:rPr>
        <w:fldChar w:fldCharType="separate"/>
      </w:r>
      <w:r>
        <w:rPr>
          <w:rFonts w:eastAsia="Arial" w:cs="Arial" w:ascii="Arial" w:hAnsi="Arial"/>
          <w:color w:val="000000"/>
          <w:sz w:val="22"/>
          <w:szCs w:val="22"/>
          <w:u w:val="single"/>
          <w:shd w:fill="auto" w:val="clear"/>
        </w:rPr>
        <w:t>artigo 16 da Lei nº 14.133, de 2021</w:t>
      </w:r>
      <w:r>
        <w:rPr>
          <w:sz w:val="22"/>
          <w:u w:val="single"/>
          <w:shd w:fill="auto" w:val="clear"/>
          <w:szCs w:val="22"/>
          <w:rFonts w:eastAsia="Arial" w:cs="Arial" w:ascii="Arial" w:hAnsi="Arial"/>
          <w:color w:val="000000"/>
        </w:rPr>
        <w:fldChar w:fldCharType="end"/>
      </w:r>
      <w:r>
        <w:rPr>
          <w:rFonts w:eastAsia="Arial" w:cs="Arial" w:ascii="Arial" w:hAnsi="Arial"/>
          <w:color w:val="000000"/>
          <w:sz w:val="22"/>
          <w:szCs w:val="22"/>
          <w:shd w:fill="auto" w:val="clear"/>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shd w:fill="auto" w:val="clear"/>
          </w:rPr>
          <w:t>Lei Complementar nº 123, de 2006</w:t>
        </w:r>
      </w:hyperlink>
      <w:r>
        <w:rPr>
          <w:rFonts w:eastAsia="Arial" w:cs="Arial" w:ascii="Arial" w:hAnsi="Arial"/>
          <w:color w:val="000000"/>
          <w:sz w:val="22"/>
          <w:szCs w:val="22"/>
          <w:shd w:fill="auto" w:val="clear"/>
        </w:rPr>
        <w:t>.</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2.8 </w:t>
      </w:r>
      <w:r>
        <w:rPr>
          <w:rFonts w:cs="Arial" w:ascii="Arial" w:hAnsi="Arial"/>
          <w:color w:val="000000"/>
          <w:sz w:val="22"/>
          <w:szCs w:val="22"/>
          <w:shd w:fill="auto" w:val="clear"/>
        </w:rPr>
        <w:t>A participação de pessoa jurídica em consórcio no presente processo licitatório fica condicionada ao atendimento dos requisitos do art. 15 da Lei 14.133/2021.</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3. DO EDITAL</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3.1</w:t>
      </w:r>
      <w:r>
        <w:rPr>
          <w:rFonts w:cs="Arial" w:ascii="Arial" w:hAnsi="Arial"/>
          <w:color w:val="000000"/>
          <w:sz w:val="22"/>
          <w:szCs w:val="22"/>
          <w:shd w:fill="auto" w:val="clear"/>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4. DO CRITÉRIO DE JULGAMENTO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4.1.</w:t>
      </w:r>
      <w:r>
        <w:rPr>
          <w:rFonts w:cs="Arial" w:ascii="Arial" w:hAnsi="Arial"/>
          <w:color w:val="000000"/>
          <w:sz w:val="22"/>
          <w:szCs w:val="22"/>
          <w:shd w:fill="auto" w:val="clear"/>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observado o prazo para fornecimento, as especificações técnicas, parâmetros mínimos de desempenho e de qualidade e demais condições definidas neste Edital.</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5. DO CREDENCIAMENTO NO SISTEMA DE LICITAÇÕES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5.1</w:t>
      </w:r>
      <w:r>
        <w:rPr>
          <w:rFonts w:cs="Arial" w:ascii="Arial" w:hAnsi="Arial"/>
          <w:color w:val="000000"/>
          <w:sz w:val="22"/>
          <w:szCs w:val="22"/>
          <w:shd w:fill="auto" w:val="clear"/>
        </w:rPr>
        <w:t xml:space="preserve"> O Pregão é o nível básico do registro cadastral no PORTAL DE COMPRAS PÚBLICAS que permite a participação dos interessados na modalidade LICITATÓRIA PREGÃO, em sua FORMA ELETRÔNICA.</w:t>
      </w:r>
    </w:p>
    <w:p>
      <w:pPr>
        <w:pStyle w:val="Normal"/>
        <w:spacing w:lineRule="auto" w:line="276"/>
        <w:jc w:val="both"/>
        <w:textAlignment w:val="top"/>
        <w:rPr/>
      </w:pPr>
      <w:r>
        <w:rPr>
          <w:rFonts w:cs="Arial" w:ascii="Arial" w:hAnsi="Arial"/>
          <w:b/>
          <w:bCs/>
          <w:color w:val="000000"/>
          <w:sz w:val="22"/>
          <w:szCs w:val="22"/>
          <w:shd w:fill="auto" w:val="clear"/>
        </w:rPr>
        <w:t>5.2</w:t>
      </w:r>
      <w:r>
        <w:rPr>
          <w:rFonts w:cs="Arial" w:ascii="Arial" w:hAnsi="Arial"/>
          <w:color w:val="000000"/>
          <w:sz w:val="22"/>
          <w:szCs w:val="22"/>
          <w:shd w:fill="auto" w:val="clear"/>
        </w:rPr>
        <w:t xml:space="preserve"> O cadastro deverá ser feito no Portal de Compras Públicas, no endereço eletrônico </w:t>
      </w:r>
      <w:hyperlink r:id="rId5">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5.3</w:t>
      </w:r>
      <w:r>
        <w:rPr>
          <w:rFonts w:cs="Arial" w:ascii="Arial" w:hAnsi="Arial"/>
          <w:color w:val="000000"/>
          <w:sz w:val="22"/>
          <w:szCs w:val="22"/>
          <w:shd w:fill="auto" w:val="clear"/>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5.4</w:t>
      </w:r>
      <w:r>
        <w:rPr>
          <w:rFonts w:cs="Arial" w:ascii="Arial" w:hAnsi="Arial"/>
          <w:color w:val="000000"/>
          <w:sz w:val="22"/>
          <w:szCs w:val="22"/>
          <w:shd w:fill="auto" w:val="clea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5.5 </w:t>
      </w:r>
      <w:r>
        <w:rPr>
          <w:rFonts w:cs="Arial" w:ascii="Arial" w:hAnsi="Arial"/>
          <w:color w:val="000000"/>
          <w:sz w:val="22"/>
          <w:szCs w:val="22"/>
          <w:shd w:fill="auto" w:val="clear"/>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5.5.1 </w:t>
      </w:r>
      <w:r>
        <w:rPr>
          <w:rFonts w:cs="Arial" w:ascii="Arial" w:hAnsi="Arial"/>
          <w:color w:val="000000"/>
          <w:sz w:val="22"/>
          <w:szCs w:val="22"/>
          <w:shd w:fill="auto" w:val="clear"/>
        </w:rPr>
        <w:t>A não observância do disposto no subitem anterior poderá ensejar desclassificação no momento da habilitação.</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w:t>
      </w:r>
      <w:r>
        <w:rPr>
          <w:rFonts w:cs="Arial" w:ascii="Arial" w:hAnsi="Arial"/>
          <w:color w:val="000000"/>
          <w:sz w:val="22"/>
          <w:szCs w:val="22"/>
          <w:shd w:fill="auto" w:val="clear"/>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6.2</w:t>
      </w:r>
      <w:r>
        <w:rPr>
          <w:rFonts w:cs="Arial" w:ascii="Arial" w:hAnsi="Arial"/>
          <w:b w:val="false"/>
          <w:bCs w:val="false"/>
          <w:color w:val="000000"/>
          <w:sz w:val="22"/>
          <w:szCs w:val="22"/>
          <w:shd w:fill="auto" w:val="clear"/>
        </w:rPr>
        <w:t xml:space="preserve"> Os licitantes encaminharão, </w:t>
      </w:r>
      <w:r>
        <w:rPr>
          <w:rFonts w:cs="Arial" w:ascii="Arial" w:hAnsi="Arial"/>
          <w:b w:val="false"/>
          <w:bCs w:val="false"/>
          <w:color w:val="000000"/>
          <w:sz w:val="22"/>
          <w:szCs w:val="22"/>
          <w:u w:val="single"/>
          <w:shd w:fill="auto" w:val="clear"/>
        </w:rPr>
        <w:t>exclusivamente</w:t>
      </w:r>
      <w:r>
        <w:rPr>
          <w:rFonts w:cs="Arial" w:ascii="Arial" w:hAnsi="Arial"/>
          <w:b w:val="false"/>
          <w:bCs w:val="false"/>
          <w:color w:val="000000"/>
          <w:sz w:val="22"/>
          <w:szCs w:val="22"/>
          <w:shd w:fill="auto" w:val="clear"/>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6.3</w:t>
      </w:r>
      <w:r>
        <w:rPr>
          <w:rFonts w:cs="Arial" w:ascii="Arial" w:hAnsi="Arial"/>
          <w:b w:val="false"/>
          <w:bCs w:val="false"/>
          <w:color w:val="000000"/>
          <w:sz w:val="22"/>
          <w:szCs w:val="22"/>
          <w:shd w:fill="auto" w:val="clear"/>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6.4</w:t>
      </w:r>
      <w:r>
        <w:rPr>
          <w:rFonts w:cs="Arial" w:ascii="Arial" w:hAnsi="Arial"/>
          <w:color w:val="000000"/>
          <w:sz w:val="22"/>
          <w:szCs w:val="22"/>
          <w:shd w:fill="auto" w:val="clear"/>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a)</w:t>
      </w:r>
      <w:r>
        <w:rPr>
          <w:rFonts w:cs="Arial" w:ascii="Arial" w:hAnsi="Arial"/>
          <w:color w:val="000000"/>
          <w:sz w:val="22"/>
          <w:szCs w:val="22"/>
          <w:shd w:fill="auto" w:val="clear"/>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b)</w:t>
      </w:r>
      <w:r>
        <w:rPr>
          <w:rFonts w:cs="Arial" w:ascii="Arial" w:hAnsi="Arial"/>
          <w:color w:val="000000"/>
          <w:sz w:val="22"/>
          <w:szCs w:val="22"/>
          <w:shd w:fill="auto" w:val="clear"/>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c)</w:t>
      </w:r>
      <w:r>
        <w:rPr>
          <w:rFonts w:cs="Arial" w:ascii="Arial" w:hAnsi="Arial"/>
          <w:color w:val="000000"/>
          <w:sz w:val="22"/>
          <w:szCs w:val="22"/>
          <w:shd w:fill="auto" w:val="clear"/>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d) </w:t>
      </w:r>
      <w:r>
        <w:rPr>
          <w:rFonts w:cs="Arial" w:ascii="Arial" w:hAnsi="Arial"/>
          <w:color w:val="000000"/>
          <w:sz w:val="22"/>
          <w:szCs w:val="22"/>
          <w:shd w:fill="auto" w:val="clear"/>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6.5 </w:t>
      </w:r>
      <w:r>
        <w:rPr>
          <w:rFonts w:cs="Arial" w:ascii="Arial" w:hAnsi="Arial"/>
          <w:color w:val="000000"/>
          <w:sz w:val="22"/>
          <w:szCs w:val="22"/>
          <w:shd w:fill="auto" w:val="clear"/>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Fonts w:cs="Arial" w:ascii="Arial" w:hAnsi="Arial"/>
          <w:b/>
          <w:bCs/>
          <w:color w:val="000000"/>
          <w:sz w:val="22"/>
          <w:szCs w:val="22"/>
          <w:shd w:fill="auto" w:val="clear"/>
        </w:rPr>
        <w:t>6.6</w:t>
      </w:r>
      <w:r>
        <w:rPr>
          <w:rFonts w:cs="Arial" w:ascii="Arial" w:hAnsi="Arial"/>
          <w:color w:val="000000"/>
          <w:sz w:val="22"/>
          <w:szCs w:val="22"/>
          <w:shd w:fill="auto" w:val="clear"/>
        </w:rPr>
        <w:t xml:space="preserve"> A</w:t>
      </w:r>
      <w:r>
        <w:rPr>
          <w:rStyle w:val="LinkdaInternet"/>
          <w:rFonts w:cs="Arial" w:ascii="Arial" w:hAnsi="Arial"/>
          <w:color w:val="000000"/>
          <w:sz w:val="22"/>
          <w:szCs w:val="22"/>
          <w:u w:val="none"/>
          <w:shd w:fill="auto" w:val="clear"/>
        </w:rPr>
        <w:t xml:space="preserve"> licitante enquadrada como </w:t>
      </w:r>
      <w:r>
        <w:rPr>
          <w:rFonts w:cs="Arial" w:ascii="Arial" w:hAnsi="Arial"/>
          <w:color w:val="000000"/>
          <w:sz w:val="22"/>
          <w:szCs w:val="22"/>
          <w:shd w:fill="auto" w:val="clear"/>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shd w:fill="auto" w:val="clear"/>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 xml:space="preserve">6.6.1 </w:t>
      </w:r>
      <w:r>
        <w:rPr>
          <w:rFonts w:cs="Arial" w:ascii="Arial" w:hAnsi="Arial"/>
          <w:color w:val="000000"/>
          <w:sz w:val="22"/>
          <w:szCs w:val="22"/>
          <w:shd w:fill="auto" w:val="clear"/>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 xml:space="preserve">6.6.2 </w:t>
      </w:r>
      <w:r>
        <w:rPr>
          <w:rFonts w:cs="Arial" w:ascii="Arial" w:hAnsi="Arial"/>
          <w:color w:val="000000"/>
          <w:sz w:val="22"/>
          <w:szCs w:val="22"/>
          <w:shd w:fill="auto" w:val="clear"/>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6.7</w:t>
      </w:r>
      <w:r>
        <w:rPr>
          <w:rStyle w:val="LinkdaInternet"/>
          <w:rFonts w:cs="Arial" w:ascii="Arial" w:hAnsi="Arial"/>
          <w:color w:val="000000"/>
          <w:sz w:val="22"/>
          <w:szCs w:val="22"/>
          <w:u w:val="none"/>
          <w:shd w:fill="auto" w:val="clear"/>
        </w:rPr>
        <w:t xml:space="preserve"> O licitante declarar</w:t>
      </w:r>
      <w:r>
        <w:rPr>
          <w:rFonts w:cs="Arial" w:ascii="Arial" w:hAnsi="Arial"/>
          <w:color w:val="000000"/>
          <w:sz w:val="22"/>
          <w:szCs w:val="22"/>
          <w:shd w:fill="auto" w:val="clear"/>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shd w:fill="auto" w:val="clear"/>
        </w:rPr>
        <w:t>sujeitará a licitante às sanções previstas na Lei Federal n.º 14.133/2021, e no Termo de Referência – Anexo I.</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6.8 </w:t>
      </w:r>
      <w:r>
        <w:rPr>
          <w:rFonts w:cs="Arial" w:ascii="Arial" w:hAnsi="Arial"/>
          <w:color w:val="000000"/>
          <w:sz w:val="22"/>
          <w:szCs w:val="22"/>
          <w:shd w:fill="auto" w:val="clear"/>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6.9</w:t>
      </w:r>
      <w:r>
        <w:rPr>
          <w:rFonts w:cs="Arial" w:ascii="Arial" w:hAnsi="Arial"/>
          <w:color w:val="000000"/>
          <w:sz w:val="22"/>
          <w:szCs w:val="22"/>
          <w:shd w:fill="auto" w:val="clear"/>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6.10 </w:t>
      </w:r>
      <w:r>
        <w:rPr>
          <w:rFonts w:cs="Arial" w:ascii="Arial" w:hAnsi="Arial"/>
          <w:color w:val="000000"/>
          <w:sz w:val="22"/>
          <w:szCs w:val="22"/>
          <w:shd w:fill="auto" w:val="clear"/>
        </w:rPr>
        <w:t>Não será estabelecida, nesta etapa do certame, ordem de classificação entre as propostas apresentadas, o que somente ocorrerá após a realização dos procedimentos de negociação e julgamento da proposta.</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6.11</w:t>
      </w:r>
      <w:r>
        <w:rPr>
          <w:rFonts w:cs="Arial" w:ascii="Arial" w:hAnsi="Arial"/>
          <w:color w:val="000000"/>
          <w:sz w:val="22"/>
          <w:szCs w:val="22"/>
          <w:shd w:fill="auto" w:val="clear"/>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6.12</w:t>
      </w:r>
      <w:r>
        <w:rPr>
          <w:rFonts w:cs="Arial" w:ascii="Arial" w:hAnsi="Arial"/>
          <w:color w:val="000000"/>
          <w:sz w:val="22"/>
          <w:szCs w:val="22"/>
          <w:shd w:fill="auto" w:val="clear"/>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6.13 </w:t>
      </w:r>
      <w:r>
        <w:rPr>
          <w:rFonts w:cs="Arial" w:ascii="Arial" w:hAnsi="Arial"/>
          <w:color w:val="000000"/>
          <w:sz w:val="22"/>
          <w:szCs w:val="22"/>
          <w:shd w:fill="auto" w:val="clear"/>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6.14 </w:t>
      </w:r>
      <w:r>
        <w:rPr>
          <w:rFonts w:cs="Arial" w:ascii="Arial" w:hAnsi="Arial"/>
          <w:color w:val="000000"/>
          <w:sz w:val="22"/>
          <w:szCs w:val="22"/>
          <w:shd w:fill="auto" w:val="clear"/>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6.15 Habilitação: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color w:val="000000"/>
          <w:sz w:val="22"/>
          <w:szCs w:val="22"/>
          <w:shd w:fill="auto" w:val="clear"/>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color w:val="000000"/>
          <w:sz w:val="22"/>
          <w:szCs w:val="22"/>
          <w:shd w:fill="auto" w:val="clear"/>
        </w:rPr>
        <w:t>b) É facultado ao pregoeiro prorrogar ou até reabrir o prazo estabelecido, por iniciativa própria ou a partir de solicitação fundamentada feita no chat pelo licitante, antes de findo o prazo.</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6.15.1 Habilitação Jurídica:</w:t>
      </w:r>
    </w:p>
    <w:p>
      <w:pPr>
        <w:pStyle w:val="Default"/>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a) </w:t>
      </w:r>
      <w:r>
        <w:rPr>
          <w:rFonts w:cs="Arial" w:ascii="Arial" w:hAnsi="Arial"/>
          <w:color w:val="000000"/>
          <w:sz w:val="22"/>
          <w:szCs w:val="22"/>
          <w:shd w:fill="auto" w:val="clear"/>
        </w:rPr>
        <w:t>Prova de inscrição no Cadastro Nacional de Pessoa Jurídica (CNPJ);</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b)</w:t>
      </w:r>
      <w:r>
        <w:rPr>
          <w:rFonts w:cs="Arial" w:ascii="Arial" w:hAnsi="Arial"/>
          <w:color w:val="000000"/>
          <w:sz w:val="22"/>
          <w:szCs w:val="22"/>
          <w:shd w:fill="auto" w:val="clear"/>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 </w:t>
      </w:r>
      <w:r>
        <w:rPr>
          <w:rFonts w:cs="Arial" w:ascii="Arial" w:hAnsi="Arial"/>
          <w:color w:val="000000"/>
          <w:sz w:val="22"/>
          <w:szCs w:val="22"/>
          <w:shd w:fill="auto" w:val="clear"/>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Independente do documento apresentado para cumprimento do disposto nas alíneas “b”, “c” e “d”, o objeto social da LICITANTE deve ser compatível com o objeto do presente certame.</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6.15.2 Habilitação fiscal, Social e Trabalhista:</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a)</w:t>
      </w:r>
      <w:r>
        <w:rPr>
          <w:rFonts w:cs="Arial" w:ascii="Arial" w:hAnsi="Arial"/>
          <w:color w:val="000000"/>
          <w:sz w:val="22"/>
          <w:szCs w:val="22"/>
          <w:shd w:fill="auto" w:val="clear"/>
        </w:rPr>
        <w:t xml:space="preserve"> Prova de regularidade fiscal perante a </w:t>
      </w:r>
      <w:r>
        <w:rPr>
          <w:rFonts w:cs="Arial" w:ascii="Arial" w:hAnsi="Arial"/>
          <w:b/>
          <w:bCs/>
          <w:color w:val="000000"/>
          <w:sz w:val="22"/>
          <w:szCs w:val="22"/>
          <w:shd w:fill="auto" w:val="clear"/>
        </w:rPr>
        <w:t>Fazenda Nacional</w:t>
      </w:r>
      <w:r>
        <w:rPr>
          <w:rFonts w:cs="Arial" w:ascii="Arial" w:hAnsi="Arial"/>
          <w:color w:val="000000"/>
          <w:sz w:val="22"/>
          <w:szCs w:val="22"/>
          <w:shd w:fill="auto" w:val="clear"/>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b) </w:t>
      </w:r>
      <w:r>
        <w:rPr>
          <w:rFonts w:cs="Arial" w:ascii="Arial" w:hAnsi="Arial"/>
          <w:color w:val="000000"/>
          <w:sz w:val="22"/>
          <w:szCs w:val="22"/>
          <w:shd w:fill="auto" w:val="clear"/>
        </w:rPr>
        <w:t xml:space="preserve">Prova de regularidade com o </w:t>
      </w:r>
      <w:r>
        <w:rPr>
          <w:rFonts w:cs="Arial" w:ascii="Arial" w:hAnsi="Arial"/>
          <w:b/>
          <w:bCs/>
          <w:color w:val="000000"/>
          <w:sz w:val="22"/>
          <w:szCs w:val="22"/>
          <w:shd w:fill="auto" w:val="clear"/>
        </w:rPr>
        <w:t>Fundo de Garantia do Tempo de Serviço (FGTS</w:t>
      </w:r>
      <w:r>
        <w:rPr>
          <w:rFonts w:cs="Arial" w:ascii="Arial" w:hAnsi="Arial"/>
          <w:color w:val="000000"/>
          <w:sz w:val="22"/>
          <w:szCs w:val="22"/>
          <w:shd w:fill="auto" w:val="clear"/>
        </w:rPr>
        <w:t>);</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c)</w:t>
      </w:r>
      <w:r>
        <w:rPr>
          <w:rFonts w:cs="Arial" w:ascii="Arial" w:hAnsi="Arial"/>
          <w:color w:val="000000"/>
          <w:sz w:val="22"/>
          <w:szCs w:val="22"/>
          <w:shd w:fill="auto" w:val="clea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shd w:fill="auto" w:val="clear"/>
        </w:rPr>
        <w:t>CNDT</w:t>
      </w:r>
      <w:r>
        <w:rPr>
          <w:rFonts w:cs="Arial" w:ascii="Arial" w:hAnsi="Arial"/>
          <w:color w:val="000000"/>
          <w:sz w:val="22"/>
          <w:szCs w:val="22"/>
          <w:shd w:fill="auto" w:val="clear"/>
        </w:rPr>
        <w:t>;</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Prova de inscrição no </w:t>
      </w:r>
      <w:r>
        <w:rPr>
          <w:rFonts w:cs="Arial" w:ascii="Arial" w:hAnsi="Arial"/>
          <w:b/>
          <w:bCs/>
          <w:color w:val="000000"/>
          <w:sz w:val="22"/>
          <w:szCs w:val="22"/>
          <w:shd w:fill="auto" w:val="clear"/>
        </w:rPr>
        <w:t>cadastro de contribuintes estadual e/ou municipal</w:t>
      </w:r>
      <w:r>
        <w:rPr>
          <w:rFonts w:cs="Arial" w:ascii="Arial" w:hAnsi="Arial"/>
          <w:color w:val="000000"/>
          <w:sz w:val="22"/>
          <w:szCs w:val="22"/>
          <w:shd w:fill="auto" w:val="clear"/>
        </w:rPr>
        <w:t xml:space="preserve">, relativo ao domicílio ou sede do licitante, pertinente ao seu ramo de atividade e compatível com o objeto contratual, se houver; </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Certidão de regularidade relativa aos tributos estaduais junto a </w:t>
      </w:r>
      <w:r>
        <w:rPr>
          <w:rFonts w:cs="Arial" w:ascii="Arial" w:hAnsi="Arial"/>
          <w:b/>
          <w:bCs/>
          <w:color w:val="000000"/>
          <w:sz w:val="22"/>
          <w:szCs w:val="22"/>
          <w:shd w:fill="auto" w:val="clear"/>
        </w:rPr>
        <w:t>Fazenda Estadual</w:t>
      </w:r>
      <w:r>
        <w:rPr>
          <w:rFonts w:cs="Arial" w:ascii="Arial" w:hAnsi="Arial"/>
          <w:color w:val="000000"/>
          <w:sz w:val="22"/>
          <w:szCs w:val="22"/>
          <w:shd w:fill="auto" w:val="clear"/>
        </w:rPr>
        <w:t>, da sede da Licitante.;</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f)</w:t>
      </w:r>
      <w:r>
        <w:rPr>
          <w:rFonts w:cs="Arial" w:ascii="Arial" w:hAnsi="Arial"/>
          <w:color w:val="000000"/>
          <w:sz w:val="22"/>
          <w:szCs w:val="22"/>
          <w:shd w:fill="auto" w:val="clear"/>
        </w:rPr>
        <w:t xml:space="preserve"> Certidão de regularidade relativa aos tributos municipais (tributos mobiliários e imobiliários) junto a </w:t>
      </w:r>
      <w:r>
        <w:rPr>
          <w:rFonts w:cs="Arial" w:ascii="Arial" w:hAnsi="Arial"/>
          <w:b/>
          <w:bCs/>
          <w:color w:val="000000"/>
          <w:sz w:val="22"/>
          <w:szCs w:val="22"/>
          <w:shd w:fill="auto" w:val="clear"/>
        </w:rPr>
        <w:t>Fazenda Municipal</w:t>
      </w:r>
      <w:r>
        <w:rPr>
          <w:rFonts w:cs="Arial" w:ascii="Arial" w:hAnsi="Arial"/>
          <w:color w:val="000000"/>
          <w:sz w:val="22"/>
          <w:szCs w:val="22"/>
          <w:shd w:fill="auto" w:val="clear"/>
        </w:rPr>
        <w:t>, da sede da Licitante;</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6.15.3 Habilitação Econômico-Financeiro: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6.15.4 Declaração: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Declaração que atende aos requisitos de habilitação, e responderá pela veracidade das informações prestadas, na forma da lei;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 xml:space="preserve">Declaração que tomou conhecimento de todas as informações e das condições locais para o cumprimento das obrigações objeto da licitação.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f) </w:t>
      </w:r>
      <w:r>
        <w:rPr>
          <w:rFonts w:cs="Arial" w:ascii="Arial" w:hAnsi="Arial"/>
          <w:color w:val="000000"/>
          <w:sz w:val="22"/>
          <w:szCs w:val="22"/>
          <w:shd w:fill="auto" w:val="clear"/>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g) </w:t>
      </w:r>
      <w:r>
        <w:rPr>
          <w:rFonts w:cs="Arial" w:ascii="Arial" w:hAnsi="Arial"/>
          <w:b w:val="false"/>
          <w:bCs w:val="false"/>
          <w:color w:val="000000"/>
          <w:sz w:val="22"/>
          <w:szCs w:val="22"/>
          <w:shd w:fill="auto" w:val="clear"/>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shd w:fill="auto" w:val="clear"/>
        </w:rPr>
        <w:t>(Anexo II)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h) </w:t>
      </w:r>
      <w:r>
        <w:rPr>
          <w:rFonts w:cs="Arial" w:ascii="Arial" w:hAnsi="Arial"/>
          <w:color w:val="000000"/>
          <w:sz w:val="22"/>
          <w:szCs w:val="22"/>
          <w:shd w:fill="auto" w:val="clear"/>
        </w:rPr>
        <w:t xml:space="preserve">Declaração que não se enquadra em nenhuma das hipóteses de impedimento previstas no artigo 14º, da Lei Federal nº 14.133/21. </w:t>
      </w:r>
      <w:r>
        <w:rPr>
          <w:rFonts w:cs="Arial" w:ascii="Arial" w:hAnsi="Arial"/>
          <w:b/>
          <w:color w:val="000000"/>
          <w:sz w:val="22"/>
          <w:szCs w:val="22"/>
          <w:shd w:fill="auto" w:val="clear"/>
        </w:rPr>
        <w:t>(Anexo II)</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i) </w:t>
      </w:r>
      <w:r>
        <w:rPr>
          <w:rFonts w:cs="Arial" w:ascii="Arial" w:hAnsi="Arial"/>
          <w:color w:val="000000"/>
          <w:sz w:val="22"/>
          <w:szCs w:val="22"/>
          <w:shd w:fill="auto" w:val="clear"/>
        </w:rPr>
        <w:t xml:space="preserve">Declaração do porte da empresa. </w:t>
      </w:r>
      <w:r>
        <w:rPr>
          <w:rFonts w:cs="Arial" w:ascii="Arial" w:hAnsi="Arial"/>
          <w:b/>
          <w:color w:val="000000"/>
          <w:sz w:val="22"/>
          <w:szCs w:val="22"/>
          <w:shd w:fill="auto" w:val="clear"/>
        </w:rPr>
        <w:t>(Anexo III)</w:t>
      </w:r>
    </w:p>
    <w:p>
      <w:pPr>
        <w:pStyle w:val="Normal"/>
        <w:spacing w:lineRule="auto" w:line="276"/>
        <w:jc w:val="both"/>
        <w:textAlignment w:val="top"/>
        <w:rPr/>
      </w:pPr>
      <w:r>
        <w:rPr>
          <w:rFonts w:cs="Arial" w:ascii="Arial" w:hAnsi="Arial"/>
          <w:b/>
          <w:color w:val="000000"/>
          <w:sz w:val="22"/>
          <w:szCs w:val="22"/>
          <w:shd w:fill="auto" w:val="clear"/>
        </w:rPr>
        <w:t xml:space="preserve">j) </w:t>
      </w:r>
      <w:r>
        <w:rPr>
          <w:rFonts w:cs="Arial" w:ascii="Arial" w:hAnsi="Arial"/>
          <w:b/>
          <w:bCs/>
          <w:color w:val="000000"/>
          <w:sz w:val="22"/>
          <w:szCs w:val="22"/>
          <w:shd w:fill="auto" w:val="clear"/>
        </w:rPr>
        <w:t xml:space="preserve">Apresentação de </w:t>
      </w:r>
      <w:r>
        <w:rPr>
          <w:rStyle w:val="Strong"/>
          <w:rFonts w:cs="Arial" w:ascii="Arial" w:hAnsi="Arial"/>
          <w:color w:val="000000"/>
          <w:sz w:val="22"/>
          <w:szCs w:val="22"/>
          <w:shd w:fill="auto" w:val="clear"/>
        </w:rPr>
        <w:t>declaração formal, em caráter de simples declaração</w:t>
      </w:r>
      <w:r>
        <w:rPr>
          <w:rFonts w:cs="Arial" w:ascii="Arial" w:hAnsi="Arial"/>
          <w:b/>
          <w:bCs/>
          <w:color w:val="000000"/>
          <w:sz w:val="22"/>
          <w:szCs w:val="22"/>
          <w:shd w:fill="auto" w:val="clear"/>
        </w:rPr>
        <w:t>, de que dispõe de estrutura física, logística e de pessoal qualificado para a execução integral do fornecimento, dentro dos prazos e condições estabelecidos neste Termo de Referência. Tal exigência visa garantir a capacidade mínima necessária para o cumprimento das obrigações contratuais, não sendo exigidos documentos comprobatórios adicionais além da própria declaração apresentada pela empresa, sob as penas da lei em caso de falsidade.</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6.15.5 Qualificação Técnica</w:t>
      </w:r>
    </w:p>
    <w:p>
      <w:pPr>
        <w:pStyle w:val="Normal"/>
        <w:spacing w:lineRule="auto" w:line="276"/>
        <w:jc w:val="both"/>
        <w:textAlignment w:val="top"/>
        <w:rPr/>
      </w:pPr>
      <w:r>
        <w:rPr>
          <w:rFonts w:cs="Arial" w:ascii="Arial" w:hAnsi="Arial"/>
          <w:b w:val="false"/>
          <w:bCs w:val="false"/>
          <w:color w:val="000000"/>
          <w:sz w:val="22"/>
          <w:szCs w:val="22"/>
          <w:shd w:fill="auto" w:val="clear"/>
        </w:rPr>
        <w:t xml:space="preserve">a) </w:t>
      </w:r>
      <w:r>
        <w:rPr>
          <w:rFonts w:cs="Arial" w:ascii="Arial" w:hAnsi="Arial"/>
          <w:b/>
          <w:bCs/>
          <w:color w:val="000000"/>
          <w:sz w:val="22"/>
          <w:szCs w:val="22"/>
          <w:shd w:fill="auto" w:val="clear"/>
        </w:rPr>
        <w:t>Documento comprovando o a</w:t>
      </w:r>
      <w:r>
        <w:rPr>
          <w:rStyle w:val="Strong"/>
          <w:rFonts w:cs="Arial" w:ascii="Arial" w:hAnsi="Arial"/>
          <w:b/>
          <w:bCs/>
          <w:color w:val="000000"/>
          <w:sz w:val="22"/>
          <w:szCs w:val="22"/>
          <w:shd w:fill="auto" w:val="clear"/>
        </w:rPr>
        <w:t>tendimento integral à legislação ambiental vigente</w:t>
      </w:r>
      <w:r>
        <w:rPr>
          <w:rFonts w:cs="Arial" w:ascii="Arial" w:hAnsi="Arial"/>
          <w:b w:val="false"/>
          <w:bCs w:val="false"/>
          <w:color w:val="000000"/>
          <w:sz w:val="22"/>
          <w:szCs w:val="22"/>
          <w:shd w:fill="auto" w:val="clear"/>
        </w:rPr>
        <w:t xml:space="preserve">, com comprovação documental do cumprimento da </w:t>
      </w:r>
      <w:r>
        <w:rPr>
          <w:rStyle w:val="Strong"/>
          <w:rFonts w:cs="Arial" w:ascii="Arial" w:hAnsi="Arial"/>
          <w:b w:val="false"/>
          <w:bCs w:val="false"/>
          <w:color w:val="000000"/>
          <w:sz w:val="22"/>
          <w:szCs w:val="22"/>
          <w:shd w:fill="auto" w:val="clear"/>
        </w:rPr>
        <w:t>logística reversa</w:t>
      </w:r>
      <w:r>
        <w:rPr>
          <w:rFonts w:cs="Arial" w:ascii="Arial" w:hAnsi="Arial"/>
          <w:b w:val="false"/>
          <w:bCs w:val="false"/>
          <w:color w:val="000000"/>
          <w:sz w:val="22"/>
          <w:szCs w:val="22"/>
          <w:shd w:fill="auto" w:val="clear"/>
        </w:rPr>
        <w:t>, nos termos da Lei nº 12.305/2010 (Política Nacional de Resíduos Sólidos);</w:t>
      </w:r>
    </w:p>
    <w:p>
      <w:pPr>
        <w:pStyle w:val="Normal"/>
        <w:spacing w:lineRule="auto" w:line="276"/>
        <w:jc w:val="both"/>
        <w:textAlignment w:val="top"/>
        <w:rPr/>
      </w:pPr>
      <w:r>
        <w:rPr>
          <w:rFonts w:cs="Arial" w:ascii="Arial" w:hAnsi="Arial"/>
          <w:b w:val="false"/>
          <w:bCs w:val="false"/>
          <w:color w:val="000000"/>
          <w:sz w:val="22"/>
          <w:szCs w:val="22"/>
          <w:shd w:fill="auto" w:val="clear"/>
        </w:rPr>
        <w:t xml:space="preserve">b) </w:t>
      </w:r>
      <w:r>
        <w:rPr>
          <w:rStyle w:val="Strong"/>
          <w:rFonts w:cs="Arial" w:ascii="Arial" w:hAnsi="Arial"/>
          <w:b/>
          <w:bCs/>
          <w:color w:val="000000"/>
          <w:sz w:val="22"/>
          <w:szCs w:val="22"/>
          <w:shd w:fill="auto" w:val="clear"/>
        </w:rPr>
        <w:t>Comprovação de atuação no ramo de atividade compatível:</w:t>
      </w:r>
      <w:r>
        <w:rPr>
          <w:rStyle w:val="Strong"/>
          <w:rFonts w:cs="Arial" w:ascii="Arial" w:hAnsi="Arial"/>
          <w:b w:val="false"/>
          <w:bCs w:val="false"/>
          <w:color w:val="000000"/>
          <w:sz w:val="22"/>
          <w:szCs w:val="22"/>
          <w:shd w:fill="auto" w:val="clear"/>
        </w:rPr>
        <w:t xml:space="preserve"> </w:t>
      </w:r>
      <w:r>
        <w:rPr>
          <w:rFonts w:cs="Arial" w:ascii="Arial" w:hAnsi="Arial"/>
          <w:b w:val="false"/>
          <w:bCs w:val="false"/>
          <w:color w:val="000000"/>
          <w:sz w:val="22"/>
          <w:szCs w:val="22"/>
          <w:shd w:fill="auto" w:val="clear"/>
        </w:rPr>
        <w:t>Atestado(s) de capacidade técnica emitido(s) por pessoa jurídica de direito público ou privado, que comprove(m) o fornecimento anterior de bens ou serviços de características, quantidades e prazos compatíveis com o objeto desta licitação.</w:t>
      </w:r>
    </w:p>
    <w:p>
      <w:pPr>
        <w:pStyle w:val="Normal"/>
        <w:spacing w:lineRule="auto" w:line="276"/>
        <w:jc w:val="both"/>
        <w:textAlignment w:val="top"/>
        <w:rPr/>
      </w:pPr>
      <w:r>
        <w:rPr>
          <w:rFonts w:cs="Arial" w:ascii="Arial" w:hAnsi="Arial"/>
          <w:b w:val="false"/>
          <w:bCs w:val="false"/>
          <w:color w:val="000000"/>
          <w:sz w:val="22"/>
          <w:szCs w:val="22"/>
          <w:shd w:fill="auto" w:val="clear"/>
        </w:rPr>
        <w:t xml:space="preserve">c) </w:t>
      </w:r>
      <w:r>
        <w:rPr>
          <w:rStyle w:val="Strong"/>
          <w:rFonts w:eastAsia="Arial" w:cs="Arial" w:ascii="Arial" w:hAnsi="Arial"/>
          <w:b/>
          <w:bCs/>
          <w:color w:val="000000"/>
          <w:sz w:val="22"/>
          <w:szCs w:val="22"/>
          <w:shd w:fill="auto" w:val="clear"/>
        </w:rPr>
        <w:t>Documentação técnica:</w:t>
      </w:r>
      <w:r>
        <w:rPr>
          <w:rStyle w:val="Strong"/>
          <w:rFonts w:eastAsia="Arial" w:cs="Arial" w:ascii="Arial" w:hAnsi="Arial"/>
          <w:b w:val="false"/>
          <w:bCs w:val="false"/>
          <w:color w:val="000000"/>
          <w:sz w:val="22"/>
          <w:szCs w:val="22"/>
          <w:shd w:fill="auto" w:val="clear"/>
        </w:rPr>
        <w:t xml:space="preserve"> </w:t>
      </w:r>
      <w:r>
        <w:rPr>
          <w:rFonts w:eastAsia="Arial" w:cs="Arial" w:ascii="Arial" w:hAnsi="Arial"/>
          <w:b w:val="false"/>
          <w:bCs w:val="false"/>
          <w:color w:val="000000"/>
          <w:sz w:val="22"/>
          <w:szCs w:val="22"/>
          <w:shd w:fill="auto" w:val="clear"/>
        </w:rPr>
        <w:t xml:space="preserve">O licitante vencedor deverá apresentar, de forma obrigatória, </w:t>
      </w:r>
      <w:r>
        <w:rPr>
          <w:rStyle w:val="Strong"/>
          <w:rFonts w:eastAsia="Arial" w:cs="Arial" w:ascii="Arial" w:hAnsi="Arial"/>
          <w:b w:val="false"/>
          <w:bCs w:val="false"/>
          <w:color w:val="000000"/>
          <w:sz w:val="22"/>
          <w:szCs w:val="22"/>
          <w:shd w:fill="auto" w:val="clear"/>
        </w:rPr>
        <w:t>toda a documentação técnica e os arquivos especificados no Anexo I</w:t>
      </w:r>
      <w:r>
        <w:rPr>
          <w:rFonts w:eastAsia="Arial" w:cs="Arial" w:ascii="Arial" w:hAnsi="Arial"/>
          <w:b w:val="false"/>
          <w:bCs w:val="false"/>
          <w:color w:val="000000"/>
          <w:sz w:val="22"/>
          <w:szCs w:val="22"/>
          <w:shd w:fill="auto" w:val="clear"/>
        </w:rPr>
        <w:t xml:space="preserve"> deste Termo de Referência, devidamente atualizados e em conformidade com as normas aplicáveis. Além disso, deverá manter-se à disposição da Administração para o </w:t>
      </w:r>
      <w:r>
        <w:rPr>
          <w:rStyle w:val="Strong"/>
          <w:rFonts w:eastAsia="Arial" w:cs="Arial" w:ascii="Arial" w:hAnsi="Arial"/>
          <w:b w:val="false"/>
          <w:bCs w:val="false"/>
          <w:color w:val="000000"/>
          <w:sz w:val="22"/>
          <w:szCs w:val="22"/>
          <w:shd w:fill="auto" w:val="clear"/>
        </w:rPr>
        <w:t>envio imediato de quaisquer documentos complementares</w:t>
      </w:r>
      <w:r>
        <w:rPr>
          <w:rFonts w:eastAsia="Arial" w:cs="Arial" w:ascii="Arial" w:hAnsi="Arial"/>
          <w:b w:val="false"/>
          <w:bCs w:val="false"/>
          <w:color w:val="000000"/>
          <w:sz w:val="22"/>
          <w:szCs w:val="22"/>
          <w:shd w:fill="auto" w:val="clear"/>
        </w:rPr>
        <w:t xml:space="preserve"> que o corpo técnico responsável pela análise e fiscalização entender necessários, assegurando a plena verificação da conformidade dos materiais e a rastreabilidade das informações apresentadas. </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6.16 </w:t>
      </w:r>
      <w:r>
        <w:rPr>
          <w:rFonts w:cs="Arial" w:ascii="Arial" w:hAnsi="Arial"/>
          <w:color w:val="000000"/>
          <w:sz w:val="22"/>
          <w:szCs w:val="22"/>
          <w:shd w:fill="auto" w:val="clear"/>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6.16.1 </w:t>
      </w:r>
      <w:r>
        <w:rPr>
          <w:rFonts w:cs="Arial" w:ascii="Arial" w:hAnsi="Arial"/>
          <w:color w:val="000000"/>
          <w:sz w:val="22"/>
          <w:szCs w:val="22"/>
          <w:shd w:fill="auto" w:val="clear"/>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6.17</w:t>
      </w:r>
      <w:r>
        <w:rPr>
          <w:rFonts w:cs="Arial" w:ascii="Arial" w:hAnsi="Arial"/>
          <w:bCs/>
          <w:color w:val="000000"/>
          <w:sz w:val="22"/>
          <w:szCs w:val="22"/>
          <w:shd w:fill="auto" w:val="clear"/>
        </w:rPr>
        <w:t xml:space="preserve"> </w:t>
      </w:r>
      <w:r>
        <w:rPr>
          <w:rFonts w:cs="Arial" w:ascii="Arial" w:hAnsi="Arial"/>
          <w:color w:val="000000"/>
          <w:sz w:val="22"/>
          <w:szCs w:val="22"/>
          <w:shd w:fill="auto" w:val="clear"/>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7. DO PREENCHIMENTO DA PROPOSTA NO SISTEMA</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7.1</w:t>
      </w:r>
      <w:r>
        <w:rPr>
          <w:rFonts w:cs="Arial" w:ascii="Arial" w:hAnsi="Arial"/>
          <w:color w:val="000000"/>
          <w:sz w:val="22"/>
          <w:szCs w:val="22"/>
          <w:shd w:fill="auto" w:val="clear"/>
        </w:rPr>
        <w:t xml:space="preserve"> A proposta, cujo prazo de validade é fixado pela Administração em </w:t>
      </w:r>
      <w:r>
        <w:rPr>
          <w:rFonts w:cs="Arial" w:ascii="Arial" w:hAnsi="Arial"/>
          <w:b/>
          <w:color w:val="000000"/>
          <w:sz w:val="22"/>
          <w:szCs w:val="22"/>
          <w:shd w:fill="auto" w:val="clear"/>
        </w:rPr>
        <w:t xml:space="preserve">sessenta </w:t>
      </w:r>
      <w:r>
        <w:rPr>
          <w:rFonts w:cs="Arial" w:ascii="Arial" w:hAnsi="Arial"/>
          <w:color w:val="000000"/>
          <w:sz w:val="22"/>
          <w:szCs w:val="22"/>
          <w:shd w:fill="auto" w:val="clear"/>
        </w:rPr>
        <w:t xml:space="preserve">(60) dias, deverá ser registrada no sistema eletrônico, observando as diretrizes do </w:t>
      </w:r>
      <w:r>
        <w:rPr>
          <w:rFonts w:cs="Arial" w:ascii="Arial" w:hAnsi="Arial"/>
          <w:b/>
          <w:color w:val="000000"/>
          <w:sz w:val="22"/>
          <w:szCs w:val="22"/>
          <w:shd w:fill="auto" w:val="clear"/>
        </w:rPr>
        <w:t>Anexo IV</w:t>
      </w:r>
      <w:r>
        <w:rPr>
          <w:rFonts w:cs="Arial" w:ascii="Arial" w:hAnsi="Arial"/>
          <w:color w:val="000000"/>
          <w:sz w:val="22"/>
          <w:szCs w:val="22"/>
          <w:shd w:fill="auto" w:val="clear"/>
        </w:rPr>
        <w:t>. Também deverá conter:</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razão social da empresa;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Informação de marca/modelo ofertada.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Informação do fabricante do produto.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Descrição do objeto, contendo as informações similares à especificação do Termo de Referência – Anexo I;</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7.2 </w:t>
      </w:r>
      <w:r>
        <w:rPr>
          <w:rFonts w:cs="Arial" w:ascii="Arial" w:hAnsi="Arial"/>
          <w:color w:val="000000"/>
          <w:sz w:val="22"/>
          <w:szCs w:val="22"/>
          <w:shd w:fill="auto" w:val="clear"/>
        </w:rPr>
        <w:t>Serão desclassificadas as propostas que se apresentarem em desconformidade com este edital, bem como, com preços superestimados ou inexequíveis.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7.3 </w:t>
      </w:r>
      <w:r>
        <w:rPr>
          <w:rFonts w:cs="Arial" w:ascii="Arial" w:hAnsi="Arial"/>
          <w:color w:val="000000"/>
          <w:sz w:val="22"/>
          <w:szCs w:val="22"/>
          <w:shd w:fill="auto" w:val="clear"/>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7.4 </w:t>
      </w:r>
      <w:r>
        <w:rPr>
          <w:rFonts w:cs="Arial" w:ascii="Arial" w:hAnsi="Arial"/>
          <w:color w:val="000000"/>
          <w:sz w:val="22"/>
          <w:szCs w:val="22"/>
          <w:shd w:fill="auto" w:val="clear"/>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8. ABERTURA DA SESSÃO PÚBLICA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No dia e hora indicados no preâmbulo, o pregoeiro abrirá a sessão pública, mediante a utilização de sua chave e senha.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8.3 </w:t>
      </w:r>
      <w:r>
        <w:rPr>
          <w:rFonts w:cs="Arial" w:ascii="Arial" w:hAnsi="Arial"/>
          <w:color w:val="000000"/>
          <w:sz w:val="22"/>
          <w:szCs w:val="22"/>
          <w:shd w:fill="auto" w:val="clear"/>
        </w:rPr>
        <w:t>A comunicação entre o pregoeiro e os licitantes ocorrerá mediante troca de mensagens em campo próprio do sistema eletrônico.</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8.4 </w:t>
      </w:r>
      <w:r>
        <w:rPr>
          <w:rFonts w:cs="Arial" w:ascii="Arial" w:hAnsi="Arial"/>
          <w:color w:val="000000"/>
          <w:sz w:val="22"/>
          <w:szCs w:val="22"/>
          <w:shd w:fill="auto" w:val="clear"/>
        </w:rPr>
        <w:t>Iniciada a sessão, as propostas de preços contendo a descrição do objeto e do valor estarão disponíveis na internet.</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8.5 </w:t>
      </w:r>
      <w:r>
        <w:rPr>
          <w:rFonts w:eastAsia="Arial" w:cs="Arial" w:ascii="Arial" w:hAnsi="Arial"/>
          <w:color w:val="000000"/>
          <w:sz w:val="22"/>
          <w:szCs w:val="22"/>
          <w:shd w:fill="auto" w:val="clear"/>
        </w:rPr>
        <w:t>Os licitantes poderão retirar ou substituir a proposta ou os documentos de habilitação, quando for o caso, anteriormente inseridos no sistema, até a abertura da sessão pública.</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9. CLASSIFICAÇÃO INICIAL DAS PROPOSTAS E FORMULAÇÃO DE LANCES</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bCs/>
          <w:color w:val="000000"/>
          <w:sz w:val="22"/>
          <w:szCs w:val="22"/>
          <w:shd w:fill="auto" w:val="clear"/>
        </w:rPr>
        <w:t>9.1</w:t>
      </w:r>
      <w:r>
        <w:rPr>
          <w:rFonts w:cs="Arial" w:ascii="Arial" w:hAnsi="Arial"/>
          <w:color w:val="000000"/>
          <w:sz w:val="22"/>
          <w:szCs w:val="22"/>
          <w:shd w:fill="auto" w:val="clear"/>
        </w:rPr>
        <w:t xml:space="preserve"> O pregoeiro verificará as propostas apresentadas e desclassificará fundamentadamente aquelas que não estejam em conformidade com os requisitos estabelecidos no edital.</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Será desclassificada a proposta que:</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contiver vícios insanáveis;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não obedecer às especificações técnicas contidas no Termo de Referência – Anexo 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apresentar preços inexequíveis ou permanecerem acima do preço máximo definido para a contratação;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não tiverem sua exequibilidade demonstrada, quando exigido pela Administração;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apresentar desconformidade com quaisquer outras exigências deste Edital ou seus anexos, desde que insanável.</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9.2.1 </w:t>
      </w:r>
      <w:r>
        <w:rPr>
          <w:rFonts w:cs="Arial" w:ascii="Arial" w:hAnsi="Arial"/>
          <w:color w:val="000000"/>
          <w:sz w:val="22"/>
          <w:szCs w:val="22"/>
          <w:shd w:fill="auto" w:val="clear"/>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9.2.2 </w:t>
      </w:r>
      <w:r>
        <w:rPr>
          <w:rFonts w:cs="Arial" w:ascii="Arial" w:hAnsi="Arial"/>
          <w:color w:val="000000"/>
          <w:sz w:val="22"/>
          <w:szCs w:val="22"/>
          <w:shd w:fill="auto" w:val="clear"/>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9.2.3 </w:t>
      </w:r>
      <w:r>
        <w:rPr>
          <w:rFonts w:cs="Arial" w:ascii="Arial" w:hAnsi="Arial"/>
          <w:color w:val="000000"/>
          <w:sz w:val="22"/>
          <w:szCs w:val="22"/>
          <w:shd w:fill="auto" w:val="clear"/>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9.4.1 </w:t>
      </w:r>
      <w:r>
        <w:rPr>
          <w:rFonts w:cs="Arial" w:ascii="Arial" w:hAnsi="Arial"/>
          <w:color w:val="000000"/>
          <w:sz w:val="22"/>
          <w:szCs w:val="22"/>
          <w:shd w:fill="auto" w:val="clear"/>
        </w:rPr>
        <w:t>O ajuste de que trata este dispositivo se limita a sanar erros ou falhas que não alterem a substância das propostas;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9.4.2 </w:t>
      </w:r>
      <w:r>
        <w:rPr>
          <w:rFonts w:cs="Arial" w:ascii="Arial" w:hAnsi="Arial"/>
          <w:color w:val="000000"/>
          <w:sz w:val="22"/>
          <w:szCs w:val="22"/>
          <w:shd w:fill="auto" w:val="clear"/>
        </w:rPr>
        <w:t>Considera-se erro no preenchimento da planilha passível de correção a indicação de recolhimento de impostos e contribuições na forma do Simples Nacional, quando não cabível esse regime.</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9.5 </w:t>
      </w:r>
      <w:r>
        <w:rPr>
          <w:rFonts w:cs="Arial" w:ascii="Arial" w:hAnsi="Arial"/>
          <w:color w:val="000000"/>
          <w:sz w:val="22"/>
          <w:szCs w:val="22"/>
          <w:shd w:fill="auto" w:val="clear"/>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9.5.1 </w:t>
      </w:r>
      <w:r>
        <w:rPr>
          <w:rFonts w:cs="Arial" w:ascii="Arial" w:hAnsi="Arial"/>
          <w:color w:val="000000"/>
          <w:sz w:val="22"/>
          <w:szCs w:val="22"/>
          <w:shd w:fill="auto" w:val="clear"/>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9.6 </w:t>
      </w:r>
      <w:r>
        <w:rPr>
          <w:rFonts w:cs="Arial" w:ascii="Arial" w:hAnsi="Arial"/>
          <w:color w:val="000000"/>
          <w:sz w:val="22"/>
          <w:szCs w:val="22"/>
          <w:shd w:fill="auto" w:val="clear"/>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9.7 </w:t>
      </w:r>
      <w:r>
        <w:rPr>
          <w:rFonts w:cs="Arial" w:ascii="Arial" w:hAnsi="Arial"/>
          <w:color w:val="000000"/>
          <w:sz w:val="22"/>
          <w:szCs w:val="22"/>
          <w:shd w:fill="auto" w:val="clear"/>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9.8 </w:t>
      </w:r>
      <w:r>
        <w:rPr>
          <w:rFonts w:cs="Arial" w:ascii="Arial" w:hAnsi="Arial"/>
          <w:color w:val="000000"/>
          <w:sz w:val="22"/>
          <w:szCs w:val="22"/>
          <w:shd w:fill="auto" w:val="clear"/>
        </w:rPr>
        <w:t>Somente poderão participar da fase competitiva os autores das propostas classificadas.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 </w:t>
      </w:r>
      <w:r>
        <w:rPr>
          <w:rFonts w:cs="Arial" w:ascii="Arial" w:hAnsi="Arial"/>
          <w:color w:val="000000"/>
          <w:sz w:val="22"/>
          <w:szCs w:val="22"/>
          <w:shd w:fill="auto" w:val="clear"/>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9.9.1 </w:t>
      </w:r>
      <w:r>
        <w:rPr>
          <w:rFonts w:cs="Arial" w:ascii="Arial" w:hAnsi="Arial"/>
          <w:color w:val="000000"/>
          <w:sz w:val="22"/>
          <w:szCs w:val="22"/>
          <w:shd w:fill="auto" w:val="clear"/>
        </w:rPr>
        <w:t>O licitante será imediatamente informado do recebimento do lance e do valor consignado no registro.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9.9.2. </w:t>
      </w:r>
      <w:r>
        <w:rPr>
          <w:rFonts w:cs="Arial" w:ascii="Arial" w:hAnsi="Arial"/>
          <w:color w:val="000000"/>
          <w:sz w:val="22"/>
          <w:szCs w:val="22"/>
          <w:shd w:fill="auto" w:val="clear"/>
        </w:rPr>
        <w:t>O licitante somente poderá oferecer valor inferior ao último lance por ele ofertado e registrado pelo sistema.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9.9.3. </w:t>
      </w:r>
      <w:r>
        <w:rPr>
          <w:rFonts w:cs="Arial" w:ascii="Arial" w:hAnsi="Arial"/>
          <w:color w:val="000000"/>
          <w:sz w:val="22"/>
          <w:szCs w:val="22"/>
          <w:shd w:fill="auto" w:val="clear"/>
        </w:rPr>
        <w:t>Não serão aceitos dois ou mais lances iguais e prevalecerá aquele que for recebido e registrado primeiro.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9.9.4. </w:t>
      </w:r>
      <w:r>
        <w:rPr>
          <w:rFonts w:cs="Arial" w:ascii="Arial" w:hAnsi="Arial"/>
          <w:b w:val="false"/>
          <w:bCs w:val="false"/>
          <w:color w:val="000000"/>
          <w:sz w:val="22"/>
          <w:szCs w:val="22"/>
          <w:shd w:fill="auto" w:val="clear"/>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9.9.5 </w:t>
      </w:r>
      <w:r>
        <w:rPr>
          <w:rFonts w:cs="Arial" w:ascii="Arial" w:hAnsi="Arial"/>
          <w:color w:val="000000"/>
          <w:sz w:val="22"/>
          <w:szCs w:val="22"/>
          <w:shd w:fill="auto" w:val="clear"/>
        </w:rPr>
        <w:t>Serão considerados intermediários os lances iguais ou superiores ao menor já ofertado.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9.9.6 </w:t>
      </w:r>
      <w:r>
        <w:rPr>
          <w:rFonts w:cs="Arial" w:ascii="Arial" w:hAnsi="Arial"/>
          <w:color w:val="000000"/>
          <w:sz w:val="22"/>
          <w:szCs w:val="22"/>
          <w:shd w:fill="auto" w:val="clear"/>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9.10 </w:t>
      </w:r>
      <w:r>
        <w:rPr>
          <w:rFonts w:cs="Arial" w:ascii="Arial" w:hAnsi="Arial"/>
          <w:color w:val="000000"/>
          <w:sz w:val="22"/>
          <w:szCs w:val="22"/>
          <w:shd w:fill="auto" w:val="clear"/>
        </w:rPr>
        <w:t>O sistema disponibilizará campo próprio para troca de mensagens entre o(a) Pregoeiro(a) e os licitantes.</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10. MODO DE DISPUTA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Será adotado o modo de disputa </w:t>
      </w:r>
      <w:r>
        <w:rPr>
          <w:rFonts w:cs="Arial" w:ascii="Arial" w:hAnsi="Arial"/>
          <w:b/>
          <w:bCs/>
          <w:color w:val="000000"/>
          <w:sz w:val="22"/>
          <w:szCs w:val="22"/>
          <w:shd w:fill="auto" w:val="clear"/>
        </w:rPr>
        <w:t>ABERTO</w:t>
      </w:r>
      <w:r>
        <w:rPr>
          <w:rFonts w:cs="Arial" w:ascii="Arial" w:hAnsi="Arial"/>
          <w:color w:val="000000"/>
          <w:sz w:val="22"/>
          <w:szCs w:val="22"/>
          <w:shd w:fill="auto" w:val="clear"/>
        </w:rPr>
        <w:t>, em que os licitantes apresentarão lances públicos e sucessivos, observando as regras constantes no item 9.</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10.2. </w:t>
      </w:r>
      <w:r>
        <w:rPr>
          <w:rFonts w:cs="Arial" w:ascii="Arial" w:hAnsi="Arial"/>
          <w:color w:val="000000"/>
          <w:sz w:val="22"/>
          <w:szCs w:val="22"/>
          <w:shd w:fill="auto" w:val="clear"/>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10.3. </w:t>
      </w:r>
      <w:r>
        <w:rPr>
          <w:rFonts w:cs="Arial" w:ascii="Arial" w:hAnsi="Arial"/>
          <w:color w:val="000000"/>
          <w:sz w:val="22"/>
          <w:szCs w:val="22"/>
          <w:shd w:fill="auto" w:val="clear"/>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10.4. </w:t>
      </w:r>
      <w:r>
        <w:rPr>
          <w:rFonts w:cs="Arial" w:ascii="Arial" w:hAnsi="Arial"/>
          <w:color w:val="000000"/>
          <w:sz w:val="22"/>
          <w:szCs w:val="22"/>
          <w:shd w:fill="auto" w:val="clear"/>
        </w:rPr>
        <w:t xml:space="preserve">Na hipótese de não haver novos lances, a sessão pública será encerrada automaticamente.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10.5. </w:t>
      </w:r>
      <w:r>
        <w:rPr>
          <w:rFonts w:cs="Arial" w:ascii="Arial" w:hAnsi="Arial"/>
          <w:color w:val="000000"/>
          <w:sz w:val="22"/>
          <w:szCs w:val="22"/>
          <w:shd w:fill="auto" w:val="clear"/>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10.6. </w:t>
      </w:r>
      <w:r>
        <w:rPr>
          <w:rFonts w:cs="Arial" w:ascii="Arial" w:hAnsi="Arial"/>
          <w:color w:val="000000"/>
          <w:sz w:val="22"/>
          <w:szCs w:val="22"/>
          <w:shd w:fill="auto" w:val="clear"/>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276"/>
        <w:jc w:val="both"/>
        <w:rPr/>
      </w:pPr>
      <w:r>
        <w:rPr>
          <w:rFonts w:cs="Arial" w:ascii="Arial" w:hAnsi="Arial"/>
          <w:b/>
          <w:color w:val="000000"/>
          <w:sz w:val="22"/>
          <w:szCs w:val="22"/>
          <w:shd w:fill="auto" w:val="clear"/>
        </w:rPr>
        <w:t xml:space="preserve">10.7. </w:t>
      </w:r>
      <w:r>
        <w:rPr>
          <w:rFonts w:cs="Arial" w:ascii="Arial" w:hAnsi="Arial"/>
          <w:color w:val="000000"/>
          <w:sz w:val="22"/>
          <w:szCs w:val="22"/>
          <w:shd w:fill="auto" w:val="clear"/>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11. CRITÉRIOS DE DESEMPATE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11.1.1. </w:t>
      </w:r>
      <w:r>
        <w:rPr>
          <w:rFonts w:cs="Arial" w:ascii="Arial" w:hAnsi="Arial"/>
          <w:color w:val="000000"/>
          <w:sz w:val="22"/>
          <w:szCs w:val="22"/>
          <w:shd w:fill="auto" w:val="clear"/>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11.1.2. </w:t>
      </w:r>
      <w:r>
        <w:rPr>
          <w:rFonts w:cs="Arial" w:ascii="Arial" w:hAnsi="Arial"/>
          <w:color w:val="000000"/>
          <w:sz w:val="22"/>
          <w:szCs w:val="22"/>
          <w:shd w:fill="auto" w:val="clear"/>
        </w:rPr>
        <w:t>Ocorrendo o empate, na forma do subitem anterior, proceder-se-á da seguinte forma:</w:t>
      </w:r>
    </w:p>
    <w:p>
      <w:pPr>
        <w:pStyle w:val="Default"/>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 </w:t>
      </w:r>
      <w:r>
        <w:rPr>
          <w:rFonts w:cs="Arial" w:ascii="Arial" w:hAnsi="Arial"/>
          <w:b/>
          <w:color w:val="000000"/>
          <w:sz w:val="22"/>
          <w:szCs w:val="22"/>
          <w:shd w:fill="auto" w:val="clear"/>
        </w:rPr>
        <w:t xml:space="preserve">a) </w:t>
      </w:r>
      <w:r>
        <w:rPr>
          <w:rFonts w:cs="Arial" w:ascii="Arial" w:hAnsi="Arial"/>
          <w:color w:val="000000"/>
          <w:sz w:val="22"/>
          <w:szCs w:val="22"/>
          <w:shd w:fill="auto" w:val="clear"/>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color w:val="000000"/>
          <w:sz w:val="22"/>
          <w:szCs w:val="22"/>
          <w:shd w:fill="auto" w:val="clear"/>
        </w:rPr>
        <w:t xml:space="preserve">a </w:t>
      </w:r>
      <w:r>
        <w:rPr>
          <w:rFonts w:cs="Arial" w:ascii="Arial" w:hAnsi="Arial"/>
          <w:color w:val="000000"/>
          <w:sz w:val="22"/>
          <w:szCs w:val="22"/>
          <w:shd w:fill="auto" w:val="clear"/>
        </w:rPr>
        <w:t xml:space="preserve">deste item.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11.1.3. </w:t>
      </w:r>
      <w:r>
        <w:rPr>
          <w:rFonts w:cs="Arial" w:ascii="Arial" w:hAnsi="Arial"/>
          <w:color w:val="000000"/>
          <w:sz w:val="22"/>
          <w:szCs w:val="22"/>
          <w:shd w:fill="auto" w:val="clear"/>
        </w:rPr>
        <w:t>O disposto no item 11.1 não se aplica às hipóteses em que a proposta de menor valor inicial tiver sido apresentada por beneficiária da Lei Complementar nº 123/2006.</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 xml:space="preserve">Se não houver licitante que atenda ao item 11.1 e seus subitens, serão utilizados os seguintes critérios de desempate, nesta ordem: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disputa final, hipótese em que os licitantes empatados poderão apresentar nova proposta em ato contínuo à classificação;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desenvolvimento pelo licitante de ações de equidade entre homens e mulheres no ambiente de trabalho;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desenvolvimento pelo licitante de programa de integridade, conforme orientações dos órgãos de controle.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11.3. </w:t>
      </w:r>
      <w:r>
        <w:rPr>
          <w:rFonts w:cs="Arial" w:ascii="Arial" w:hAnsi="Arial"/>
          <w:color w:val="000000"/>
          <w:sz w:val="22"/>
          <w:szCs w:val="22"/>
          <w:shd w:fill="auto" w:val="clear"/>
        </w:rPr>
        <w:t>Em igualdade de condições, se não houver desempate, será assegurada preferência, sucessivamente, aos bens e serviços produzidos ou prestados por:</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empresas estabelecidas no território do Estado do Rio Grande do Sul;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empresas brasileiras;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empresas que invistam em pesquisa e no desenvolvimento de tecnologia no País;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empresas que comprovem a prática de mitigação, nos termos da Lei nº 12.187, de 29 de dezembro de 2009.</w:t>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12. NEGOCIAÇÃO E JULGAMENTO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12.1.1 </w:t>
      </w:r>
      <w:r>
        <w:rPr>
          <w:rFonts w:cs="Arial" w:ascii="Arial" w:hAnsi="Arial"/>
          <w:color w:val="000000"/>
          <w:sz w:val="22"/>
          <w:szCs w:val="22"/>
          <w:shd w:fill="auto" w:val="clear"/>
        </w:rPr>
        <w:t>A negociação será realizada por meio do sistema, podendo ser acompanhada pelos demais licitantes.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Encerrada a etapa de negociação, será examinada a proposta classificada em primeiro lugar quanto à adequação ao objeto e à compatibilidade do preço em relação valor de referência da Administração.</w:t>
      </w:r>
    </w:p>
    <w:p>
      <w:pPr>
        <w:pStyle w:val="Normal"/>
        <w:spacing w:lineRule="auto" w:line="276"/>
        <w:jc w:val="both"/>
        <w:rPr/>
      </w:pPr>
      <w:r>
        <w:rPr>
          <w:rFonts w:cs="Arial" w:ascii="Arial" w:hAnsi="Arial"/>
          <w:b/>
          <w:color w:val="000000"/>
          <w:sz w:val="22"/>
          <w:szCs w:val="22"/>
          <w:shd w:fill="auto" w:val="clear"/>
        </w:rPr>
        <w:t xml:space="preserve">12.4. </w:t>
      </w:r>
      <w:r>
        <w:rPr>
          <w:rFonts w:cs="Arial" w:ascii="Arial" w:hAnsi="Arial"/>
          <w:b w:val="false"/>
          <w:bCs w:val="false"/>
          <w:color w:val="000000"/>
          <w:sz w:val="22"/>
          <w:szCs w:val="22"/>
          <w:shd w:fill="auto" w:val="clear"/>
        </w:rPr>
        <w:t xml:space="preserve">Será solicitado para que no prazo de 7 (sete) dias uteis, após a decretação de vencedor, seja enviada amostra física </w:t>
      </w:r>
      <w:r>
        <w:rPr>
          <w:rStyle w:val="Strong"/>
          <w:rFonts w:cs="Arial" w:ascii="Arial" w:hAnsi="Arial"/>
          <w:b w:val="false"/>
          <w:bCs w:val="false"/>
          <w:color w:val="000000"/>
          <w:sz w:val="22"/>
          <w:szCs w:val="22"/>
          <w:shd w:fill="auto" w:val="clear"/>
        </w:rPr>
        <w:t>de no mínimo 50 (cinquenta) cm</w:t>
      </w:r>
      <w:r>
        <w:rPr>
          <w:rFonts w:cs="Arial" w:ascii="Arial" w:hAnsi="Arial"/>
          <w:b w:val="false"/>
          <w:bCs w:val="false"/>
          <w:color w:val="000000"/>
          <w:sz w:val="22"/>
          <w:szCs w:val="22"/>
          <w:shd w:fill="auto" w:val="clear"/>
        </w:rPr>
        <w:t xml:space="preserve"> de cada item do lote correspondente, para avaliação da conformidade com as especificações técnicas constantes no Anexo I para posterior adjudicação.</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12.5. </w:t>
      </w:r>
      <w:r>
        <w:rPr>
          <w:rFonts w:cs="Arial" w:ascii="Arial" w:hAnsi="Arial"/>
          <w:color w:val="000000"/>
          <w:sz w:val="22"/>
          <w:szCs w:val="22"/>
          <w:shd w:fill="auto" w:val="clear"/>
        </w:rPr>
        <w:t xml:space="preserve">Não serão consideradas, para julgamento das propostas, vantagens não previstas no edital. </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13. VERIFICAÇÃO DE HABILITAÇÃO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 </w:t>
      </w:r>
      <w:r>
        <w:rPr>
          <w:rFonts w:cs="Arial" w:ascii="Arial" w:hAnsi="Arial"/>
          <w:color w:val="000000"/>
          <w:sz w:val="22"/>
          <w:szCs w:val="22"/>
          <w:shd w:fill="auto" w:val="clear"/>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Cadastro Nacional de Empresas Punidas (CNEP), mantido pela Controladoria-Geral da União (www.portaldatransparencia.gov.br/sancoes/cnep);</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Cadastro Nacional de Empresas Inidôneas e Suspensas - CEIS, mantido pela Controladoria-Geral da União (www.portaldatransparencia.gov.br/ceis );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13.2 </w:t>
      </w:r>
      <w:r>
        <w:rPr>
          <w:rFonts w:cs="Arial" w:ascii="Arial" w:hAnsi="Arial"/>
          <w:color w:val="000000"/>
          <w:sz w:val="22"/>
          <w:szCs w:val="22"/>
          <w:shd w:fill="auto" w:val="clear"/>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13.2.1 </w:t>
      </w:r>
      <w:r>
        <w:rPr>
          <w:rFonts w:cs="Arial" w:ascii="Arial" w:hAnsi="Arial"/>
          <w:color w:val="000000"/>
          <w:sz w:val="22"/>
          <w:szCs w:val="22"/>
          <w:shd w:fill="auto" w:val="clear"/>
        </w:rPr>
        <w:t xml:space="preserve">Constatada a existência de sanção, o(a) Pregoeiro(a) reputará o licitante inabilitado, por falta de condição de participação.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13.3. </w:t>
      </w:r>
      <w:r>
        <w:rPr>
          <w:rFonts w:cs="Arial" w:ascii="Arial" w:hAnsi="Arial"/>
          <w:color w:val="000000"/>
          <w:sz w:val="22"/>
          <w:szCs w:val="22"/>
          <w:shd w:fill="auto" w:val="clear"/>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13.3.1 </w:t>
      </w:r>
      <w:r>
        <w:rPr>
          <w:rFonts w:cs="Arial" w:ascii="Arial" w:hAnsi="Arial"/>
          <w:color w:val="000000"/>
          <w:sz w:val="22"/>
          <w:szCs w:val="22"/>
          <w:shd w:fill="auto" w:val="clear"/>
        </w:rPr>
        <w:t xml:space="preserve">A tentativa de burla será verificada por meio dos vínculos societários, linhas de fornecimento similares, dentre outros.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13.3.2 </w:t>
      </w:r>
      <w:r>
        <w:rPr>
          <w:rFonts w:cs="Arial" w:ascii="Arial" w:hAnsi="Arial"/>
          <w:color w:val="000000"/>
          <w:sz w:val="22"/>
          <w:szCs w:val="22"/>
          <w:shd w:fill="auto" w:val="clear"/>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13.4 </w:t>
      </w:r>
      <w:r>
        <w:rPr>
          <w:rFonts w:cs="Arial" w:ascii="Arial" w:hAnsi="Arial"/>
          <w:color w:val="000000"/>
          <w:sz w:val="22"/>
          <w:szCs w:val="22"/>
          <w:shd w:fill="auto" w:val="clear"/>
        </w:rPr>
        <w:t>Caso atendidas as condições de participação, será iniciado o procedimento de habilitação.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13.4.1 </w:t>
      </w:r>
      <w:r>
        <w:rPr>
          <w:rFonts w:cs="Arial" w:ascii="Arial" w:hAnsi="Arial"/>
          <w:color w:val="000000"/>
          <w:sz w:val="22"/>
          <w:szCs w:val="22"/>
          <w:shd w:fill="auto" w:val="clear"/>
        </w:rPr>
        <w:t>É dever do licitante atualizar previamente as comprovações constantes do PORTAL DE COMPRAS PÚBLICAS, para que estejam vigentes na data da abertura da sessão pública.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13.5 </w:t>
      </w:r>
      <w:r>
        <w:rPr>
          <w:rFonts w:cs="Arial" w:ascii="Arial" w:hAnsi="Arial"/>
          <w:color w:val="000000"/>
          <w:sz w:val="22"/>
          <w:szCs w:val="22"/>
          <w:shd w:fill="auto" w:val="clear"/>
        </w:rPr>
        <w:t>Os documentos de habilitação, de que trata o item 6.8, serão examinados pelo pregoeiro, que verificará a autenticidade das certidões junto aos sítios eletrônicos oficiais de órgãos e entidades emissores.</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13.6 </w:t>
      </w:r>
      <w:r>
        <w:rPr>
          <w:rFonts w:cs="Arial" w:ascii="Arial" w:hAnsi="Arial"/>
          <w:color w:val="000000"/>
          <w:sz w:val="22"/>
          <w:szCs w:val="22"/>
          <w:shd w:fill="auto" w:val="clea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13.7 </w:t>
      </w:r>
      <w:r>
        <w:rPr>
          <w:rFonts w:cs="Arial" w:ascii="Arial" w:hAnsi="Arial"/>
          <w:color w:val="000000"/>
          <w:sz w:val="22"/>
          <w:szCs w:val="22"/>
          <w:shd w:fill="auto" w:val="clear"/>
        </w:rPr>
        <w:t>A verificação pelo pregoeiro, em sítios eletrônicos oficiais de órgãos e entidades emissores de certidões constitui meio legal de prova, para fins de habilitação.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13.8 </w:t>
      </w:r>
      <w:r>
        <w:rPr>
          <w:rFonts w:cs="Arial" w:ascii="Arial" w:hAnsi="Arial"/>
          <w:color w:val="000000"/>
          <w:sz w:val="22"/>
          <w:szCs w:val="22"/>
          <w:shd w:fill="auto" w:val="clear"/>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13.9 </w:t>
      </w:r>
      <w:r>
        <w:rPr>
          <w:rFonts w:cs="Arial" w:ascii="Arial" w:hAnsi="Arial"/>
          <w:color w:val="000000"/>
          <w:sz w:val="22"/>
          <w:szCs w:val="22"/>
          <w:shd w:fill="auto" w:val="clear"/>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13.9.1 </w:t>
      </w:r>
      <w:r>
        <w:rPr>
          <w:rFonts w:cs="Arial" w:ascii="Arial" w:hAnsi="Arial"/>
          <w:color w:val="000000"/>
          <w:sz w:val="22"/>
          <w:szCs w:val="22"/>
          <w:shd w:fill="auto" w:val="clear"/>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13.10 </w:t>
      </w:r>
      <w:r>
        <w:rPr>
          <w:rFonts w:cs="Arial" w:ascii="Arial" w:hAnsi="Arial"/>
          <w:color w:val="000000"/>
          <w:sz w:val="22"/>
          <w:szCs w:val="22"/>
          <w:shd w:fill="auto" w:val="clear"/>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13.11 </w:t>
      </w:r>
      <w:r>
        <w:rPr>
          <w:rFonts w:cs="Arial" w:ascii="Arial" w:hAnsi="Arial"/>
          <w:color w:val="000000"/>
          <w:sz w:val="22"/>
          <w:szCs w:val="22"/>
          <w:shd w:fill="auto" w:val="clear"/>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textAlignment w:val="top"/>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13.12 </w:t>
      </w:r>
      <w:r>
        <w:rPr>
          <w:rFonts w:cs="Arial" w:ascii="Arial" w:hAnsi="Arial"/>
          <w:color w:val="000000"/>
          <w:sz w:val="22"/>
          <w:szCs w:val="22"/>
          <w:shd w:fill="auto" w:val="clear"/>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13.13 </w:t>
      </w:r>
      <w:r>
        <w:rPr>
          <w:rFonts w:cs="Arial" w:ascii="Arial" w:hAnsi="Arial"/>
          <w:color w:val="000000"/>
          <w:sz w:val="22"/>
          <w:szCs w:val="22"/>
          <w:shd w:fill="auto" w:val="clear"/>
        </w:rPr>
        <w:t>Caso a licitação dependa da verificação da Planilha de Custos, a sessão será suspensa para análise pela secretaria competente para, após, ser adjudicada.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13.13.1 </w:t>
      </w:r>
      <w:r>
        <w:rPr>
          <w:rFonts w:cs="Arial" w:ascii="Arial" w:hAnsi="Arial"/>
          <w:color w:val="000000"/>
          <w:sz w:val="22"/>
          <w:szCs w:val="22"/>
          <w:shd w:fill="auto" w:val="clear"/>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13.14</w:t>
      </w:r>
      <w:r>
        <w:rPr>
          <w:rFonts w:cs="Arial" w:ascii="Arial" w:hAnsi="Arial"/>
          <w:color w:val="000000"/>
          <w:sz w:val="22"/>
          <w:szCs w:val="22"/>
          <w:shd w:fill="auto" w:val="clear"/>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color w:val="000000"/>
          <w:sz w:val="22"/>
          <w:szCs w:val="22"/>
          <w:shd w:fill="auto" w:val="clear"/>
        </w:rPr>
        <w:t>2 horas úteis</w:t>
      </w:r>
      <w:r>
        <w:rPr>
          <w:rFonts w:cs="Arial" w:ascii="Arial" w:hAnsi="Arial"/>
          <w:color w:val="000000"/>
          <w:sz w:val="22"/>
          <w:szCs w:val="22"/>
          <w:shd w:fill="auto" w:val="clear"/>
        </w:rPr>
        <w:t>, sob pena de inabilitação.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13.15 </w:t>
      </w:r>
      <w:r>
        <w:rPr>
          <w:rFonts w:cs="Arial" w:ascii="Arial" w:hAnsi="Arial"/>
          <w:color w:val="000000"/>
          <w:sz w:val="22"/>
          <w:szCs w:val="22"/>
          <w:shd w:fill="auto" w:val="clear"/>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13.16</w:t>
      </w:r>
      <w:r>
        <w:rPr>
          <w:rFonts w:cs="Arial" w:ascii="Arial" w:hAnsi="Arial"/>
          <w:color w:val="000000"/>
          <w:sz w:val="22"/>
          <w:szCs w:val="22"/>
          <w:shd w:fill="auto" w:val="clear"/>
        </w:rPr>
        <w:t xml:space="preserve"> Deverá constar, na proposta resultante de lances ou nos documentos de habilitação, o telefone da licitante vencedora, inclusive com contato para WhatsApp institucional, bem como e-mail.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jc w:val="both"/>
        <w:rPr>
          <w:rFonts w:ascii="Arial" w:hAnsi="Arial"/>
          <w:color w:val="000000"/>
          <w:sz w:val="22"/>
          <w:szCs w:val="22"/>
          <w:highlight w:val="none"/>
          <w:shd w:fill="auto" w:val="clear"/>
        </w:rPr>
      </w:pPr>
      <w:r>
        <w:rPr>
          <w:rFonts w:ascii="Arial" w:hAnsi="Arial"/>
          <w:color w:val="000000"/>
          <w:sz w:val="22"/>
          <w:szCs w:val="22"/>
          <w:shd w:fill="auto" w:val="clear"/>
        </w:rPr>
        <w:t xml:space="preserve">14. RECURSO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14.1 </w:t>
      </w:r>
      <w:r>
        <w:rPr>
          <w:rFonts w:cs="Arial" w:ascii="Arial" w:hAnsi="Arial"/>
          <w:color w:val="000000"/>
          <w:sz w:val="22"/>
          <w:szCs w:val="22"/>
          <w:shd w:fill="auto" w:val="clear"/>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shd w:fill="auto" w:val="clear"/>
        </w:rPr>
        <w:t>10 (DEZ) MINUTOS.</w:t>
      </w:r>
    </w:p>
    <w:p>
      <w:pPr>
        <w:pStyle w:val="Default"/>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14.1.1</w:t>
      </w:r>
      <w:r>
        <w:rPr>
          <w:rFonts w:cs="Arial" w:ascii="Arial" w:hAnsi="Arial"/>
          <w:color w:val="000000"/>
          <w:sz w:val="22"/>
          <w:szCs w:val="22"/>
          <w:shd w:fill="auto" w:val="clear"/>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14.2 </w:t>
      </w:r>
      <w:r>
        <w:rPr>
          <w:rFonts w:cs="Arial" w:ascii="Arial" w:hAnsi="Arial"/>
          <w:color w:val="000000"/>
          <w:sz w:val="22"/>
          <w:szCs w:val="22"/>
          <w:shd w:fill="auto" w:val="clear"/>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14.2.1 </w:t>
      </w:r>
      <w:r>
        <w:rPr>
          <w:rFonts w:cs="Arial" w:ascii="Arial" w:hAnsi="Arial"/>
          <w:color w:val="000000"/>
          <w:sz w:val="22"/>
          <w:szCs w:val="22"/>
          <w:shd w:fill="auto" w:val="clear"/>
        </w:rPr>
        <w:t>O recurso deverá versar sobre: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ato que defira ou indefira pedido de pré-qualificação de interessado ou de inscrição em registro cadastral, sua alteração ou cancelamento;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julgamento das propostas;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ato de habilitação ou inabilitação de licitante;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anulação ou revogação da licitação.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14.2.2 </w:t>
      </w:r>
      <w:r>
        <w:rPr>
          <w:rFonts w:cs="Arial" w:ascii="Arial" w:hAnsi="Arial"/>
          <w:color w:val="000000"/>
          <w:sz w:val="22"/>
          <w:szCs w:val="22"/>
          <w:shd w:fill="auto" w:val="clear"/>
        </w:rPr>
        <w:t>Quanto ao recurso apresentado em virtude do disposto nas alíneas “b” e “c” do item 14.2.1 do presente Edital, serão observadas as seguintes disposições: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a apreciação dar-se-á em fase única.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14.3 </w:t>
      </w:r>
      <w:r>
        <w:rPr>
          <w:rFonts w:cs="Arial" w:ascii="Arial" w:hAnsi="Arial"/>
          <w:color w:val="000000"/>
          <w:sz w:val="22"/>
          <w:szCs w:val="22"/>
          <w:shd w:fill="auto" w:val="clear"/>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14.4 </w:t>
      </w:r>
      <w:r>
        <w:rPr>
          <w:rFonts w:cs="Arial" w:ascii="Arial" w:hAnsi="Arial"/>
          <w:color w:val="000000"/>
          <w:sz w:val="22"/>
          <w:szCs w:val="22"/>
          <w:shd w:fill="auto" w:val="clear"/>
        </w:rPr>
        <w:t>O acolhimento do recurso implicará invalidação apenas de ato insuscetível de aproveitamento.</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14.5 </w:t>
      </w:r>
      <w:r>
        <w:rPr>
          <w:rFonts w:cs="Arial" w:ascii="Arial" w:hAnsi="Arial"/>
          <w:color w:val="000000"/>
          <w:sz w:val="22"/>
          <w:szCs w:val="22"/>
          <w:shd w:fill="auto" w:val="clear"/>
        </w:rPr>
        <w:t>O recurso interposto dará efeito suspensivo ao ato ou à decisão recorrida, até que sobrevenha decisão final da autoridade competente.</w:t>
      </w:r>
    </w:p>
    <w:p>
      <w:pPr>
        <w:pStyle w:val="Default"/>
        <w:numPr>
          <w:ilvl w:val="0"/>
          <w:numId w:val="2"/>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ascii="Arial" w:hAnsi="Arial"/>
          <w:b/>
          <w:bCs/>
          <w:color w:val="000000"/>
          <w:sz w:val="22"/>
          <w:szCs w:val="22"/>
          <w:shd w:fill="auto" w:val="clear"/>
        </w:rPr>
        <w:t>15. ENCERRAMENTO DA LICITAÇÃO</w:t>
      </w:r>
      <w:r>
        <w:rPr>
          <w:rFonts w:ascii="Arial" w:hAnsi="Arial"/>
          <w:color w:val="000000"/>
          <w:sz w:val="22"/>
          <w:szCs w:val="22"/>
          <w:shd w:fill="auto" w:val="clear"/>
        </w:rPr>
        <w:t xml:space="preserve"> </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15.1 </w:t>
      </w:r>
      <w:r>
        <w:rPr>
          <w:rFonts w:cs="Arial" w:ascii="Arial" w:hAnsi="Arial"/>
          <w:color w:val="000000"/>
          <w:sz w:val="22"/>
          <w:szCs w:val="22"/>
          <w:shd w:fill="auto" w:val="clear"/>
        </w:rPr>
        <w:t>Encerradas as fases de julgamento e habilitação, e exauridos os recursos administrativos, o processo licitatório será encaminhado à autoridade superior, que poderá:</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15.1.1 </w:t>
      </w:r>
      <w:r>
        <w:rPr>
          <w:rFonts w:cs="Arial" w:ascii="Arial" w:hAnsi="Arial"/>
          <w:color w:val="000000"/>
          <w:sz w:val="22"/>
          <w:szCs w:val="22"/>
          <w:shd w:fill="auto" w:val="clear"/>
        </w:rPr>
        <w:t>determinar o retorno dos autos para saneamento de irregularidades;</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15.1.2 </w:t>
      </w:r>
      <w:r>
        <w:rPr>
          <w:rFonts w:cs="Arial" w:ascii="Arial" w:hAnsi="Arial"/>
          <w:color w:val="000000"/>
          <w:sz w:val="22"/>
          <w:szCs w:val="22"/>
          <w:shd w:fill="auto" w:val="clear"/>
        </w:rPr>
        <w:t>revogar a licitação por motivo de conveniência e oportunidade;</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15.1.3 </w:t>
      </w:r>
      <w:r>
        <w:rPr>
          <w:rFonts w:cs="Arial" w:ascii="Arial" w:hAnsi="Arial"/>
          <w:color w:val="000000"/>
          <w:sz w:val="22"/>
          <w:szCs w:val="22"/>
          <w:shd w:fill="auto" w:val="clear"/>
        </w:rPr>
        <w:t>proceder à anulação da licitação, de ofício ou mediante provocação de terceiros, sempre que presente ilegalidade insanável;</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15.1.4 </w:t>
      </w:r>
      <w:r>
        <w:rPr>
          <w:rFonts w:cs="Arial" w:ascii="Arial" w:hAnsi="Arial"/>
          <w:color w:val="000000"/>
          <w:sz w:val="22"/>
          <w:szCs w:val="22"/>
          <w:shd w:fill="auto" w:val="clear"/>
        </w:rPr>
        <w:t xml:space="preserve">adjudicar o objeto e homologar a licitação. </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 DO SISTEMA DE REGISTRO DE PREÇOS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 CONDIÇÕES PARA ASSINATURA DA ATA DE REGISTRO DE PREÇOS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rFonts w:ascii="Arial" w:hAnsi="Arial"/>
          <w:color w:val="000000"/>
          <w:sz w:val="22"/>
          <w:szCs w:val="22"/>
          <w:highlight w:val="none"/>
          <w:shd w:fill="auto" w:val="clear"/>
        </w:rPr>
      </w:pPr>
      <w:r>
        <w:rPr>
          <w:rFonts w:ascii="Arial" w:hAnsi="Arial"/>
          <w:b/>
          <w:bCs/>
          <w:color w:val="000000"/>
          <w:sz w:val="22"/>
          <w:szCs w:val="22"/>
          <w:shd w:fill="auto" w:val="clear"/>
        </w:rPr>
        <w:t xml:space="preserve">18. </w:t>
      </w:r>
      <w:r>
        <w:rPr>
          <w:rFonts w:cs="Arial" w:ascii="Arial" w:hAnsi="Arial"/>
          <w:b/>
          <w:bCs/>
          <w:color w:val="000000"/>
          <w:sz w:val="22"/>
          <w:szCs w:val="22"/>
          <w:shd w:fill="auto" w:val="clear"/>
        </w:rPr>
        <w:t>DA VIGÊNCIA DA ATA DE REGISTRO DE PREÇOS</w:t>
      </w:r>
    </w:p>
    <w:p>
      <w:pPr>
        <w:pStyle w:val="Default"/>
        <w:spacing w:lineRule="auto" w:line="276"/>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ascii="Arial" w:hAnsi="Arial"/>
          <w:b/>
          <w:bCs/>
          <w:color w:val="000000"/>
          <w:sz w:val="22"/>
          <w:szCs w:val="22"/>
          <w:shd w:fill="auto" w:val="clear"/>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2"/>
        </w:numPr>
        <w:spacing w:lineRule="auto" w:line="276"/>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2"/>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20. </w:t>
      </w:r>
      <w:r>
        <w:rPr>
          <w:rFonts w:cs="Arial" w:ascii="Arial" w:hAnsi="Arial"/>
          <w:b/>
          <w:color w:val="000000"/>
          <w:sz w:val="22"/>
          <w:szCs w:val="22"/>
          <w:shd w:fill="auto" w:val="clear"/>
        </w:rPr>
        <w:t>DO CANCELAMENTO DO REGISTRO DO FORNECEDOR E DOS PREÇOS REGISTRADOS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cs="Arial" w:ascii="Arial" w:hAnsi="Arial"/>
          <w:b/>
          <w:color w:val="000000"/>
          <w:sz w:val="22"/>
          <w:szCs w:val="22"/>
          <w:shd w:fill="auto" w:val="clear"/>
        </w:rPr>
        <w:t xml:space="preserve">20.6. </w:t>
      </w:r>
      <w:r>
        <w:rPr>
          <w:rFonts w:cs="Arial" w:ascii="Arial" w:hAnsi="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46r0co2"/>
      <w:bookmarkStart w:id="2" w:name="_3tbugp1"/>
      <w:bookmarkStart w:id="3" w:name="_19c6y18"/>
    </w:p>
    <w:p>
      <w:pPr>
        <w:pStyle w:val="Normal"/>
        <w:spacing w:lineRule="auto" w:line="276"/>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21. </w:t>
      </w:r>
      <w:r>
        <w:rPr>
          <w:rFonts w:cs="Arial" w:ascii="Arial" w:hAnsi="Arial"/>
          <w:b/>
          <w:color w:val="000000"/>
          <w:sz w:val="22"/>
          <w:szCs w:val="22"/>
          <w:shd w:fill="auto" w:val="clear"/>
        </w:rPr>
        <w:t xml:space="preserve">DA CONTRATAÇÃO DECORRENTE DA ATA DE REGISTRO DE PREÇOS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cs="Arial" w:ascii="Arial" w:hAnsi="Arial"/>
          <w:b/>
          <w:color w:val="000000"/>
          <w:sz w:val="22"/>
          <w:szCs w:val="22"/>
          <w:shd w:fill="auto" w:val="clear"/>
        </w:rPr>
        <w:t xml:space="preserve">21.3 </w:t>
      </w:r>
      <w:r>
        <w:rPr>
          <w:rFonts w:cs="Arial" w:ascii="Arial" w:hAnsi="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rPr>
          <w:rFonts w:ascii="Arial" w:hAnsi="Arial"/>
          <w:color w:val="000000"/>
          <w:sz w:val="22"/>
          <w:szCs w:val="22"/>
          <w:highlight w:val="none"/>
          <w:shd w:fill="auto" w:val="clear"/>
        </w:rPr>
      </w:pPr>
      <w:r>
        <w:rPr>
          <w:rFonts w:ascii="Arial" w:hAnsi="Arial"/>
          <w:color w:val="000000"/>
          <w:sz w:val="22"/>
          <w:szCs w:val="22"/>
          <w:shd w:fill="auto" w:val="clear"/>
        </w:rPr>
        <w:t xml:space="preserve">22. </w:t>
      </w:r>
      <w:r>
        <w:rPr>
          <w:rFonts w:cs="Arial" w:ascii="Arial" w:hAnsi="Arial"/>
          <w:b/>
          <w:color w:val="000000"/>
          <w:sz w:val="22"/>
          <w:szCs w:val="22"/>
          <w:shd w:fill="auto" w:val="clear"/>
        </w:rPr>
        <w:t xml:space="preserve">DOS PRAZOS DE EXECUÇÃO E CONDIÇÕES DE PAGAMENTO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15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Normal"/>
        <w:numPr>
          <w:ilvl w:val="0"/>
          <w:numId w:val="2"/>
        </w:numPr>
        <w:spacing w:lineRule="auto" w:line="276"/>
        <w:jc w:val="left"/>
        <w:rPr>
          <w:rFonts w:ascii="Arial" w:hAnsi="Arial"/>
          <w:color w:val="000000"/>
          <w:sz w:val="22"/>
          <w:szCs w:val="22"/>
          <w:highlight w:val="none"/>
          <w:shd w:fill="auto" w:val="clear"/>
        </w:rPr>
      </w:pPr>
      <w:r>
        <w:rPr>
          <w:rFonts w:eastAsia="Times New Roman" w:cs="Times New Roman" w:ascii="Arial" w:hAnsi="Arial"/>
          <w:b w:val="false"/>
          <w:bCs w:val="false"/>
          <w:color w:val="000000"/>
          <w:sz w:val="22"/>
          <w:szCs w:val="22"/>
          <w:shd w:fill="auto" w:val="clear"/>
        </w:rPr>
        <w:t>C</w:t>
      </w:r>
      <w:r>
        <w:rPr>
          <w:rFonts w:ascii="Arial" w:hAnsi="Arial"/>
          <w:b w:val="false"/>
          <w:bCs w:val="false"/>
          <w:color w:val="000000"/>
          <w:sz w:val="22"/>
          <w:szCs w:val="22"/>
          <w:shd w:fill="auto" w:val="clear"/>
        </w:rPr>
        <w:t>ódigo Reduzido: 74</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4 - Secretaria Municipal de Administração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1 - Gabinete do Secret.e Órgãos Subordinados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2013 - Manutenção Serviços Administrativos e de Bens - Administração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15001000 - Recursos não Vinculados de Impostos - LIVRES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251</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6 - Secret. Munic. Obras,saneam. e Transito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1 - Gabinete do Secret.e Órgãos Subordinados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2027 - Manutenção dos Serviços de Iluminação Pública</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15001000 - Recursos não Vinculados de Impostos - LIVRES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293</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6 - Secret. Munic. Obras,saneam. e Transito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2 - Fundo Municipal de Iluminação Pública</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2027 - Manutenção dos Serviços de Iluminação Pública</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17510000 - Recursos da Contribuição para o Custeio do Serviço de Iluminação Pública - COSIP</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473</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7 - Secretaria Municipal de Educação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3 - Manutenção e Desenvolvimento do Ensino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2052 - Manutenção das Escolas Municipais de Ensino Fundamental</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15001001 - Recursos não Vinculados de Impostos - MDE</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493</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7 - Secretaria Municipal de Educação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3 - Manutenção e Desenvolvimento do Ensino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2051 - Manutenção das Escolas Municipais de Educação Infantil</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15001001 - Recursos não Vinculados de Impostos - MDE</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558</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8 - Secret.mun. de Desenv. Rural e Meio Amb.</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1 - Gabinete do Secret e Órgãos Subordinados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2065 - Manutenção de Feiras Rurais e Ecológicas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15001000 - Recursos não Vinculados de Impostos - LIVRES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638</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9 - Secretaria Municipal de Saúde</w:t>
      </w:r>
    </w:p>
    <w:p>
      <w:pPr>
        <w:pStyle w:val="Normal"/>
        <w:numPr>
          <w:ilvl w:val="0"/>
          <w:numId w:val="2"/>
        </w:numPr>
        <w:spacing w:lineRule="auto" w:line="276"/>
        <w:ind w:left="0" w:right="0" w:hanging="2"/>
        <w:jc w:val="both"/>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1 - Fundo Municipal da Saúde</w:t>
      </w:r>
    </w:p>
    <w:p>
      <w:pPr>
        <w:pStyle w:val="Normal"/>
        <w:numPr>
          <w:ilvl w:val="0"/>
          <w:numId w:val="2"/>
        </w:numPr>
        <w:spacing w:lineRule="auto" w:line="276"/>
        <w:jc w:val="left"/>
        <w:rPr>
          <w:rFonts w:ascii="Arial" w:hAnsi="Arial"/>
          <w:color w:val="000000"/>
          <w:sz w:val="22"/>
          <w:szCs w:val="22"/>
          <w:highlight w:val="none"/>
          <w:shd w:fill="auto" w:val="clear"/>
        </w:rPr>
      </w:pPr>
      <w:r>
        <w:rPr>
          <w:rFonts w:eastAsia="Times New Roman" w:cs="Times New Roman" w:ascii="Arial" w:hAnsi="Arial"/>
          <w:b w:val="false"/>
          <w:bCs w:val="false"/>
          <w:color w:val="000000"/>
          <w:sz w:val="22"/>
          <w:szCs w:val="22"/>
          <w:shd w:fill="auto" w:val="clear"/>
        </w:rPr>
        <w:t>A</w:t>
      </w:r>
      <w:r>
        <w:rPr>
          <w:rFonts w:ascii="Arial" w:hAnsi="Arial"/>
          <w:b w:val="false"/>
          <w:bCs w:val="false"/>
          <w:color w:val="000000"/>
          <w:sz w:val="22"/>
          <w:szCs w:val="22"/>
          <w:shd w:fill="auto" w:val="clear"/>
        </w:rPr>
        <w:t>ção: 2087 - Manutenção dos Serviços de Assistência Médica, Odontológica e Psicológica em Unidades de Saúde</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15001002 - Recursos não Vinculados de Impostos - ASPS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859</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10 - Secret.munic. de Desenv. Social</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2 - Fundo Municipal de Assistência Social</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2098 - Manutenção dos Serviços Administrativos e de Bens - Desenv. Social</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16691184 - Outros Recursos Vinculados à Assistência Social - FMAS/REC.PRÓPRIOS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Código Reduzido: 980</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Órgão: 12 - Secret. Municipal de Esporte e Lazer</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Unidade: 1 - Gabinete do Secret. e Orgaos Subordinado</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Ação: 2129 - Manutenção Ginásios, Quadras e Campos Esportivos</w:t>
      </w:r>
    </w:p>
    <w:p>
      <w:pPr>
        <w:pStyle w:val="Normal"/>
        <w:numPr>
          <w:ilvl w:val="0"/>
          <w:numId w:val="2"/>
        </w:numPr>
        <w:spacing w:lineRule="auto" w:line="276"/>
        <w:jc w:val="left"/>
        <w:rPr>
          <w:rFonts w:ascii="Arial" w:hAnsi="Arial"/>
          <w:color w:val="000000"/>
          <w:sz w:val="22"/>
          <w:szCs w:val="22"/>
          <w:highlight w:val="none"/>
          <w:shd w:fill="auto" w:val="clear"/>
        </w:rPr>
      </w:pPr>
      <w:r>
        <w:rPr>
          <w:rFonts w:ascii="Arial" w:hAnsi="Arial"/>
          <w:b w:val="false"/>
          <w:bCs w:val="false"/>
          <w:color w:val="000000"/>
          <w:sz w:val="22"/>
          <w:szCs w:val="22"/>
          <w:shd w:fill="auto" w:val="clear"/>
        </w:rPr>
        <w:t>Vínculo: 15001000 - Recursos não Vinculados de Impostos - LIVRES</w:t>
      </w:r>
    </w:p>
    <w:p>
      <w:pPr>
        <w:pStyle w:val="Normal"/>
        <w:numPr>
          <w:ilvl w:val="0"/>
          <w:numId w:val="2"/>
        </w:numPr>
        <w:spacing w:lineRule="auto" w:line="276"/>
        <w:ind w:left="0" w:right="0" w:hanging="2"/>
        <w:jc w:val="both"/>
        <w:rPr>
          <w:rFonts w:ascii="Arial" w:hAnsi="Arial"/>
          <w:color w:val="000000"/>
          <w:sz w:val="22"/>
          <w:szCs w:val="22"/>
          <w:highlight w:val="none"/>
          <w:shd w:fill="auto" w:val="clear"/>
        </w:rPr>
      </w:pPr>
      <w:r>
        <w:rPr>
          <w:rFonts w:ascii="Arial" w:hAnsi="Arial"/>
          <w:b w:val="false"/>
          <w:bCs w:val="false"/>
          <w:color w:val="000000"/>
          <w:sz w:val="22"/>
          <w:szCs w:val="22"/>
          <w:shd w:fill="auto" w:val="clear"/>
        </w:rPr>
        <w:t>Subelemento: 33390302600000000000 - Material eletrico e eletronico</w:t>
      </w:r>
    </w:p>
    <w:p>
      <w:pPr>
        <w:pStyle w:val="Normal"/>
        <w:numPr>
          <w:ilvl w:val="0"/>
          <w:numId w:val="2"/>
        </w:numPr>
        <w:spacing w:lineRule="auto" w:line="276"/>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23. DAS </w:t>
      </w:r>
      <w:r>
        <w:rPr>
          <w:rFonts w:cs="Arial" w:ascii="Arial" w:hAnsi="Arial"/>
          <w:b/>
          <w:bCs/>
          <w:color w:val="000000"/>
          <w:sz w:val="22"/>
          <w:szCs w:val="22"/>
          <w:shd w:fill="auto" w:val="clear"/>
        </w:rPr>
        <w:t>SANÇÕES ADMINISTRATIVAS</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276"/>
        <w:jc w:val="both"/>
        <w:rPr>
          <w:rFonts w:ascii="Arial" w:hAnsi="Arial"/>
          <w:color w:val="000000"/>
          <w:sz w:val="22"/>
          <w:szCs w:val="22"/>
          <w:highlight w:val="none"/>
          <w:shd w:fill="auto" w:val="clear"/>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276"/>
        <w:jc w:val="both"/>
        <w:rPr>
          <w:rFonts w:ascii="Arial" w:hAnsi="Arial"/>
          <w:color w:val="000000"/>
          <w:sz w:val="22"/>
          <w:szCs w:val="22"/>
          <w:highlight w:val="none"/>
          <w:shd w:fill="auto" w:val="clear"/>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276"/>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276"/>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276"/>
        <w:jc w:val="both"/>
        <w:rPr>
          <w:rFonts w:ascii="Arial" w:hAnsi="Arial"/>
          <w:color w:val="000000"/>
          <w:sz w:val="22"/>
          <w:szCs w:val="22"/>
          <w:highlight w:val="none"/>
          <w:shd w:fill="auto" w:val="clear"/>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276"/>
        <w:jc w:val="both"/>
        <w:rPr>
          <w:rFonts w:ascii="Arial" w:hAnsi="Arial" w:eastAsia="Arial" w:cs="Arial"/>
          <w:b w:val="false"/>
          <w:bCs w:val="false"/>
          <w:color w:val="000000"/>
          <w:sz w:val="22"/>
          <w:szCs w:val="22"/>
          <w:highlight w:val="none"/>
          <w:shd w:fill="auto" w:val="clear"/>
        </w:rPr>
      </w:pPr>
      <w:r>
        <w:rPr>
          <w:rFonts w:eastAsia="Arial" w:cs="Arial" w:ascii="Arial" w:hAnsi="Arial"/>
          <w:b w:val="false"/>
          <w:bCs w:val="false"/>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 DOS PEDIDOS DE ESCLARECIMENTOS E IMPUGNAÇÕES </w:t>
      </w:r>
    </w:p>
    <w:p>
      <w:pPr>
        <w:pStyle w:val="Normal"/>
        <w:spacing w:lineRule="auto" w:line="276"/>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276" w:before="0" w:after="0"/>
        <w:ind w:left="567" w:right="0" w:hanging="567"/>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276" w:before="0" w:after="0"/>
        <w:ind w:left="0" w:right="0" w:hanging="0"/>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25.11.</w:t>
      </w:r>
      <w:r>
        <w:rPr>
          <w:rFonts w:eastAsia="Arial" w:cs="Arial" w:ascii="Arial" w:hAnsi="Arial"/>
          <w:color w:val="000000"/>
          <w:sz w:val="22"/>
          <w:szCs w:val="22"/>
          <w:shd w:fill="auto" w:val="clear"/>
        </w:rPr>
        <w:t xml:space="preserve"> </w:t>
      </w:r>
      <w:r>
        <w:rPr>
          <w:rFonts w:eastAsia="Arial" w:cs="Arial" w:ascii="Arial" w:hAnsi="Arial"/>
          <w:b w:val="false"/>
          <w:bCs w:val="false"/>
          <w:color w:val="000000"/>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center"/>
        <w:rPr>
          <w:rFonts w:ascii="Arial" w:hAnsi="Arial"/>
          <w:color w:val="000000"/>
          <w:sz w:val="22"/>
          <w:szCs w:val="22"/>
          <w:highlight w:val="none"/>
          <w:shd w:fill="auto" w:val="clear"/>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t>16</w:t>
      </w:r>
      <w:r>
        <w:rPr>
          <w:rFonts w:cs="Arial" w:ascii="Arial" w:hAnsi="Arial"/>
          <w:color w:val="000000"/>
          <w:sz w:val="22"/>
          <w:szCs w:val="22"/>
          <w:shd w:fill="auto" w:val="clear"/>
        </w:rPr>
        <w:t>/09/2025.</w:t>
      </w:r>
    </w:p>
    <w:p>
      <w:pPr>
        <w:pStyle w:val="Normal"/>
        <w:tabs>
          <w:tab w:val="clear" w:pos="408"/>
          <w:tab w:val="left" w:pos="1134" w:leader="none"/>
        </w:tabs>
        <w:spacing w:lineRule="auto" w:line="276"/>
        <w:jc w:val="center"/>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center"/>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center"/>
        <w:rPr>
          <w:rFonts w:ascii="Arial" w:hAnsi="Arial"/>
          <w:color w:val="000000"/>
          <w:sz w:val="22"/>
          <w:szCs w:val="22"/>
          <w:highlight w:val="none"/>
          <w:shd w:fill="auto" w:val="clear"/>
        </w:rPr>
      </w:pPr>
      <w:r>
        <w:rPr>
          <w:rFonts w:cs="Arial" w:ascii="Arial" w:hAnsi="Arial"/>
          <w:color w:val="000000"/>
          <w:sz w:val="22"/>
          <w:szCs w:val="22"/>
          <w:shd w:fill="auto" w:val="clear"/>
        </w:rPr>
        <w:t>GILSON ADRIANO BECKER</w:t>
      </w:r>
    </w:p>
    <w:p>
      <w:pPr>
        <w:pStyle w:val="Normal"/>
        <w:tabs>
          <w:tab w:val="clear" w:pos="408"/>
          <w:tab w:val="left" w:pos="1134" w:leader="none"/>
        </w:tabs>
        <w:spacing w:lineRule="auto" w:line="276"/>
        <w:jc w:val="center"/>
        <w:rPr>
          <w:rFonts w:ascii="Arial" w:hAnsi="Arial"/>
          <w:color w:val="000000"/>
          <w:sz w:val="22"/>
          <w:szCs w:val="22"/>
          <w:highlight w:val="none"/>
          <w:shd w:fill="auto" w:val="clear"/>
        </w:rPr>
      </w:pPr>
      <w:r>
        <w:rPr>
          <w:rFonts w:cs="Arial" w:ascii="Arial" w:hAnsi="Arial"/>
          <w:color w:val="000000"/>
          <w:sz w:val="22"/>
          <w:szCs w:val="22"/>
          <w:shd w:fill="auto" w:val="clear"/>
        </w:rPr>
        <w:t>Prefeito Municipal</w:t>
      </w:r>
    </w:p>
    <w:p>
      <w:pPr>
        <w:pStyle w:val="Itemdoedital"/>
        <w:widowControl/>
        <w:numPr>
          <w:ilvl w:val="0"/>
          <w:numId w:val="0"/>
        </w:numPr>
        <w:suppressAutoHyphens w:val="true"/>
        <w:overflowPunct w:val="false"/>
        <w:spacing w:lineRule="auto" w:line="276" w:before="0" w:after="0"/>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r>
      <w:r>
        <w:br w:type="page"/>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t>ANEXO I – TERMO DE REFERÊNCIA</w:t>
      </w:r>
    </w:p>
    <w:p>
      <w:pPr>
        <w:pStyle w:val="LO-normal1"/>
        <w:numPr>
          <w:ilvl w:val="0"/>
          <w:numId w:val="2"/>
        </w:numPr>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olor w:val="000000"/>
          <w:sz w:val="22"/>
          <w:szCs w:val="22"/>
          <w:highlight w:val="none"/>
          <w:shd w:fill="auto" w:val="clear"/>
        </w:rPr>
      </w:pPr>
      <w:r>
        <w:rPr>
          <w:rFonts w:cs="Arial" w:ascii="Arial" w:hAnsi="Arial"/>
          <w:b/>
          <w:color w:val="000000"/>
          <w:sz w:val="22"/>
          <w:szCs w:val="22"/>
          <w:shd w:fill="auto" w:val="clear"/>
        </w:rPr>
        <w:t>TERMO DE REFERÊNCIA</w:t>
      </w:r>
    </w:p>
    <w:p>
      <w:pPr>
        <w:pStyle w:val="Corpodotexto"/>
        <w:numPr>
          <w:ilvl w:val="0"/>
          <w:numId w:val="2"/>
        </w:numPr>
        <w:spacing w:lineRule="auto" w:line="276" w:before="0" w:after="0"/>
        <w:ind w:right="-454" w:hanging="0"/>
        <w:jc w:val="center"/>
        <w:rPr/>
      </w:pPr>
      <w:r>
        <w:rPr>
          <w:rStyle w:val="Strong"/>
          <w:rFonts w:cs="Arial" w:ascii="Arial" w:hAnsi="Arial"/>
          <w:b/>
          <w:bCs/>
          <w:caps/>
          <w:color w:val="000000"/>
          <w:sz w:val="22"/>
          <w:szCs w:val="22"/>
          <w:shd w:fill="auto" w:val="clear"/>
        </w:rPr>
        <w:t>PROCESSO DE LICITAÇÃO PARA AQUISIÇÃO DE Luminárias Públicas LED</w:t>
      </w:r>
    </w:p>
    <w:p>
      <w:pPr>
        <w:pStyle w:val="Normal"/>
        <w:numPr>
          <w:ilvl w:val="0"/>
          <w:numId w:val="2"/>
        </w:numPr>
        <w:spacing w:lineRule="auto" w:line="276"/>
        <w:jc w:val="center"/>
        <w:rPr>
          <w:rFonts w:ascii="Arial" w:hAnsi="Arial"/>
          <w:color w:val="000000"/>
          <w:sz w:val="22"/>
          <w:szCs w:val="22"/>
          <w:highlight w:val="none"/>
          <w:shd w:fill="auto" w:val="clear"/>
        </w:rPr>
      </w:pPr>
      <w:r>
        <w:rPr>
          <w:rFonts w:cs="Arial" w:ascii="Arial" w:hAnsi="Arial"/>
          <w:b/>
          <w:bCs/>
          <w:color w:val="000000"/>
          <w:sz w:val="22"/>
          <w:szCs w:val="22"/>
          <w:shd w:fill="auto" w:val="clear"/>
        </w:rPr>
        <w:t>DFD digital n° 221 / 2025</w:t>
      </w:r>
    </w:p>
    <w:p>
      <w:pPr>
        <w:pStyle w:val="Normal"/>
        <w:numPr>
          <w:ilvl w:val="0"/>
          <w:numId w:val="2"/>
        </w:numPr>
        <w:spacing w:lineRule="auto" w:line="276"/>
        <w:jc w:val="center"/>
        <w:rPr>
          <w:rFonts w:ascii="Arial" w:hAnsi="Arial"/>
          <w:color w:val="000000"/>
          <w:sz w:val="22"/>
          <w:szCs w:val="22"/>
          <w:highlight w:val="none"/>
          <w:shd w:fill="auto" w:val="clear"/>
        </w:rPr>
      </w:pPr>
      <w:r>
        <w:rPr>
          <w:rFonts w:cs="Arial" w:ascii="Arial" w:hAnsi="Arial"/>
          <w:b/>
          <w:bCs/>
          <w:color w:val="000000"/>
          <w:sz w:val="22"/>
          <w:szCs w:val="22"/>
          <w:shd w:fill="auto" w:val="clear"/>
        </w:rPr>
        <w:t>REQUISIÇÃO n° 1390 / 2025</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numPr>
          <w:ilvl w:val="0"/>
          <w:numId w:val="2"/>
        </w:numPr>
        <w:tabs>
          <w:tab w:val="clear" w:pos="408"/>
          <w:tab w:val="left" w:pos="336" w:leader="none"/>
          <w:tab w:val="left" w:pos="684"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uto" w:line="276"/>
        <w:ind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 DEFINIÇÃO DO OBJETO</w:t>
      </w:r>
      <w:r>
        <w:rPr>
          <w:rFonts w:cs="Arial" w:ascii="Arial" w:hAnsi="Arial"/>
          <w:b w:val="false"/>
          <w:bCs w:val="false"/>
          <w:color w:val="000000"/>
          <w:sz w:val="22"/>
          <w:szCs w:val="22"/>
          <w:shd w:fill="auto" w:val="clear"/>
        </w:rPr>
        <w:tab/>
      </w:r>
    </w:p>
    <w:p>
      <w:pPr>
        <w:pStyle w:val="Normal"/>
        <w:widowControl/>
        <w:numPr>
          <w:ilvl w:val="0"/>
          <w:numId w:val="2"/>
        </w:numPr>
        <w:tabs>
          <w:tab w:val="clear" w:pos="408"/>
          <w:tab w:val="left" w:pos="732"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uppressAutoHyphens w:val="true"/>
        <w:bidi w:val="0"/>
        <w:spacing w:lineRule="auto" w:line="276"/>
        <w:ind w:right="0" w:hanging="0"/>
        <w:jc w:val="both"/>
        <w:rPr/>
      </w:pPr>
      <w:r>
        <w:rPr>
          <w:rFonts w:cs="Arial" w:ascii="Arial" w:hAnsi="Arial"/>
          <w:b w:val="false"/>
          <w:bCs w:val="false"/>
          <w:color w:val="000000"/>
          <w:sz w:val="22"/>
          <w:szCs w:val="22"/>
          <w:shd w:fill="auto" w:val="clear"/>
        </w:rPr>
        <w:t xml:space="preserve">Contratação, por meio de Processo Licitatório na modalidade </w:t>
      </w:r>
      <w:r>
        <w:rPr>
          <w:rStyle w:val="Strong"/>
          <w:rFonts w:cs="Arial" w:ascii="Arial" w:hAnsi="Arial"/>
          <w:b w:val="false"/>
          <w:bCs w:val="false"/>
          <w:color w:val="000000"/>
          <w:sz w:val="22"/>
          <w:szCs w:val="22"/>
          <w:shd w:fill="auto" w:val="clear"/>
        </w:rPr>
        <w:t>Registro de Preços</w:t>
      </w:r>
      <w:r>
        <w:rPr>
          <w:rFonts w:cs="Arial" w:ascii="Arial" w:hAnsi="Arial"/>
          <w:b w:val="false"/>
          <w:bCs w:val="false"/>
          <w:color w:val="000000"/>
          <w:sz w:val="22"/>
          <w:szCs w:val="22"/>
          <w:shd w:fill="auto" w:val="clear"/>
        </w:rPr>
        <w:t>, do tipo M</w:t>
      </w:r>
      <w:r>
        <w:rPr>
          <w:rStyle w:val="Strong"/>
          <w:rFonts w:cs="Arial" w:ascii="Arial" w:hAnsi="Arial"/>
          <w:b w:val="false"/>
          <w:bCs w:val="false"/>
          <w:color w:val="000000"/>
          <w:sz w:val="22"/>
          <w:szCs w:val="22"/>
          <w:shd w:fill="auto" w:val="clear"/>
        </w:rPr>
        <w:t>enor Preço por Item</w:t>
      </w:r>
      <w:r>
        <w:rPr>
          <w:rFonts w:cs="Arial" w:ascii="Arial" w:hAnsi="Arial"/>
          <w:b w:val="false"/>
          <w:bCs w:val="false"/>
          <w:color w:val="000000"/>
          <w:sz w:val="22"/>
          <w:szCs w:val="22"/>
          <w:shd w:fill="auto" w:val="clear"/>
        </w:rPr>
        <w:t xml:space="preserve">, </w:t>
      </w:r>
      <w:r>
        <w:rPr>
          <w:rStyle w:val="Strong"/>
          <w:rFonts w:cs="Arial" w:ascii="Arial" w:hAnsi="Arial"/>
          <w:b w:val="false"/>
          <w:bCs w:val="false"/>
          <w:color w:val="000000"/>
          <w:sz w:val="22"/>
          <w:szCs w:val="22"/>
          <w:shd w:fill="auto" w:val="clear"/>
        </w:rPr>
        <w:t>composto por 4 (quatro) itens, visando a</w:t>
      </w:r>
      <w:r>
        <w:rPr>
          <w:rFonts w:cs="Arial" w:ascii="Arial" w:hAnsi="Arial"/>
          <w:b w:val="false"/>
          <w:bCs w:val="false"/>
          <w:color w:val="000000"/>
          <w:sz w:val="22"/>
          <w:szCs w:val="22"/>
          <w:shd w:fill="auto" w:val="clear"/>
        </w:rPr>
        <w:t xml:space="preserve"> aquisição de Luminárias Públicas LED,</w:t>
      </w:r>
      <w:r>
        <w:rPr>
          <w:rFonts w:eastAsia="Arial" w:cs="Arial" w:ascii="Arial" w:hAnsi="Arial"/>
          <w:b w:val="false"/>
          <w:bCs w:val="false"/>
          <w:color w:val="000000"/>
          <w:sz w:val="22"/>
          <w:szCs w:val="22"/>
          <w:shd w:fill="auto" w:val="clear"/>
        </w:rPr>
        <w:t xml:space="preserve"> compreendidos neste no fornecimento de</w:t>
      </w:r>
      <w:r>
        <w:rPr>
          <w:rStyle w:val="Strong"/>
          <w:rFonts w:eastAsia="Arial" w:cs="Arial" w:ascii="Arial" w:hAnsi="Arial"/>
          <w:b w:val="false"/>
          <w:bCs w:val="false"/>
          <w:color w:val="000000"/>
          <w:sz w:val="22"/>
          <w:szCs w:val="22"/>
          <w:shd w:fill="auto" w:val="clear"/>
        </w:rPr>
        <w:t xml:space="preserve"> Luminárias novas, sem uso e de tecnologia LED</w:t>
      </w:r>
      <w:r>
        <w:rPr>
          <w:rFonts w:eastAsia="Arial" w:cs="Arial" w:ascii="Arial" w:hAnsi="Arial"/>
          <w:b w:val="false"/>
          <w:bCs w:val="false"/>
          <w:color w:val="000000"/>
          <w:sz w:val="22"/>
          <w:szCs w:val="22"/>
          <w:shd w:fill="auto" w:val="clear"/>
        </w:rPr>
        <w:t>, sendo,</w:t>
      </w:r>
      <w:r>
        <w:rPr>
          <w:rStyle w:val="Strong"/>
          <w:rFonts w:eastAsia="Arial" w:cs="Arial" w:ascii="Arial" w:hAnsi="Arial"/>
          <w:color w:val="000000"/>
          <w:sz w:val="22"/>
          <w:szCs w:val="22"/>
          <w:shd w:fill="auto" w:val="clear"/>
        </w:rPr>
        <w:t xml:space="preserve"> </w:t>
      </w:r>
      <w:r>
        <w:rPr>
          <w:rStyle w:val="Strong"/>
          <w:rFonts w:eastAsia="Arial" w:cs="Arial Black" w:ascii="Arial" w:hAnsi="Arial"/>
          <w:b w:val="false"/>
          <w:bCs w:val="false"/>
          <w:color w:val="000000"/>
          <w:sz w:val="22"/>
          <w:szCs w:val="22"/>
          <w:shd w:fill="auto" w:val="clear"/>
        </w:rPr>
        <w:t xml:space="preserve">Item 1 – Luminária LED pública viária, potência </w:t>
      </w:r>
      <w:r>
        <w:rPr>
          <w:rStyle w:val="Strong"/>
          <w:rFonts w:eastAsia="Liberation Serif;Times New Roman" w:cs="Arial Black" w:ascii="Arial" w:hAnsi="Arial"/>
          <w:b w:val="false"/>
          <w:bCs w:val="false"/>
          <w:color w:val="000000"/>
          <w:sz w:val="22"/>
          <w:szCs w:val="22"/>
          <w:shd w:fill="auto" w:val="clear"/>
        </w:rPr>
        <w:t>≤</w:t>
      </w:r>
      <w:r>
        <w:rPr>
          <w:rStyle w:val="Strong"/>
          <w:rFonts w:eastAsia="Arial" w:cs="Arial Black" w:ascii="Arial" w:hAnsi="Arial"/>
          <w:b w:val="false"/>
          <w:bCs w:val="false"/>
          <w:color w:val="000000"/>
          <w:sz w:val="22"/>
          <w:szCs w:val="22"/>
          <w:shd w:fill="auto" w:val="clear"/>
        </w:rPr>
        <w:t xml:space="preserve"> 50 W – 150 unidades, Item 2 – Luminária LED pública viária, potência </w:t>
      </w:r>
      <w:r>
        <w:rPr>
          <w:rStyle w:val="Strong"/>
          <w:rFonts w:eastAsia="Liberation Serif;Times New Roman" w:cs="Arial Black" w:ascii="Arial" w:hAnsi="Arial"/>
          <w:b w:val="false"/>
          <w:bCs w:val="false"/>
          <w:color w:val="000000"/>
          <w:sz w:val="22"/>
          <w:szCs w:val="22"/>
          <w:shd w:fill="auto" w:val="clear"/>
        </w:rPr>
        <w:t>≤</w:t>
      </w:r>
      <w:r>
        <w:rPr>
          <w:rStyle w:val="Strong"/>
          <w:rFonts w:eastAsia="Arial" w:cs="Arial Black" w:ascii="Arial" w:hAnsi="Arial"/>
          <w:b w:val="false"/>
          <w:bCs w:val="false"/>
          <w:color w:val="000000"/>
          <w:sz w:val="22"/>
          <w:szCs w:val="22"/>
          <w:shd w:fill="auto" w:val="clear"/>
        </w:rPr>
        <w:t xml:space="preserve">  70 W – 150 unidades, Item 3 – Luminária LED pública viária, potência </w:t>
      </w:r>
      <w:r>
        <w:rPr>
          <w:rStyle w:val="Strong"/>
          <w:rFonts w:eastAsia="Liberation Serif;Times New Roman" w:cs="Arial Black" w:ascii="Arial" w:hAnsi="Arial"/>
          <w:b w:val="false"/>
          <w:bCs w:val="false"/>
          <w:color w:val="000000"/>
          <w:sz w:val="22"/>
          <w:szCs w:val="22"/>
          <w:shd w:fill="auto" w:val="clear"/>
        </w:rPr>
        <w:t xml:space="preserve">≤ </w:t>
      </w:r>
      <w:r>
        <w:rPr>
          <w:rStyle w:val="Strong"/>
          <w:rFonts w:eastAsia="Arial" w:cs="Arial Black" w:ascii="Arial" w:hAnsi="Arial"/>
          <w:b w:val="false"/>
          <w:bCs w:val="false"/>
          <w:color w:val="000000"/>
          <w:sz w:val="22"/>
          <w:szCs w:val="22"/>
          <w:shd w:fill="auto" w:val="clear"/>
        </w:rPr>
        <w:t xml:space="preserve">120 W – 500 unidades, Item 4 – Luminária LED pública viária, potência  </w:t>
      </w:r>
      <w:r>
        <w:rPr>
          <w:rStyle w:val="Strong"/>
          <w:rFonts w:eastAsia="Liberation Serif;Times New Roman" w:cs="Arial Black" w:ascii="Arial" w:hAnsi="Arial"/>
          <w:b w:val="false"/>
          <w:bCs w:val="false"/>
          <w:color w:val="000000"/>
          <w:sz w:val="22"/>
          <w:szCs w:val="22"/>
          <w:shd w:fill="auto" w:val="clear"/>
        </w:rPr>
        <w:t xml:space="preserve">≤ </w:t>
      </w:r>
      <w:r>
        <w:rPr>
          <w:rStyle w:val="Strong"/>
          <w:rFonts w:eastAsia="Arial" w:cs="Arial Black" w:ascii="Arial" w:hAnsi="Arial"/>
          <w:b w:val="false"/>
          <w:bCs w:val="false"/>
          <w:color w:val="000000"/>
          <w:sz w:val="22"/>
          <w:szCs w:val="22"/>
          <w:shd w:fill="auto" w:val="clear"/>
        </w:rPr>
        <w:t>150 W – 500 unidades</w:t>
      </w:r>
      <w:r>
        <w:rPr>
          <w:rStyle w:val="Strong"/>
          <w:rFonts w:eastAsia="Arial" w:cs="Arial" w:ascii="Arial" w:hAnsi="Arial"/>
          <w:b/>
          <w:bCs/>
          <w:color w:val="000000"/>
          <w:sz w:val="22"/>
          <w:szCs w:val="22"/>
          <w:shd w:fill="auto" w:val="clear"/>
        </w:rPr>
        <w:t xml:space="preserve">, </w:t>
      </w:r>
      <w:r>
        <w:rPr>
          <w:rFonts w:eastAsia="Arial" w:cs="Arial" w:ascii="Arial" w:hAnsi="Arial"/>
          <w:b w:val="false"/>
          <w:bCs w:val="false"/>
          <w:color w:val="000000"/>
          <w:sz w:val="22"/>
          <w:szCs w:val="22"/>
          <w:shd w:fill="auto" w:val="clear"/>
        </w:rPr>
        <w:t xml:space="preserve">conforme descrito no Anexo I, </w:t>
      </w:r>
      <w:r>
        <w:rPr>
          <w:rFonts w:cs="Arial" w:ascii="Arial" w:hAnsi="Arial"/>
          <w:b w:val="false"/>
          <w:bCs w:val="false"/>
          <w:color w:val="000000"/>
          <w:sz w:val="22"/>
          <w:szCs w:val="22"/>
          <w:shd w:fill="auto" w:val="clear"/>
        </w:rPr>
        <w:t>de acordo com as especificações e quantidades constantes neste e demais documentos que compõem o processo digital,</w:t>
      </w:r>
      <w:r>
        <w:rPr>
          <w:rFonts w:eastAsia="Arial" w:cs="Arial" w:ascii="Arial" w:hAnsi="Arial"/>
          <w:b w:val="false"/>
          <w:bCs w:val="false"/>
          <w:color w:val="000000"/>
          <w:sz w:val="22"/>
          <w:szCs w:val="22"/>
          <w:shd w:fill="auto" w:val="clear"/>
        </w:rPr>
        <w:t xml:space="preserve"> os quais, serão destinados à manutenção, substituição, ampliação da rede de </w:t>
      </w:r>
      <w:r>
        <w:rPr>
          <w:rStyle w:val="Strong"/>
          <w:rFonts w:eastAsia="Arial" w:cs="Arial" w:ascii="Arial" w:hAnsi="Arial"/>
          <w:b w:val="false"/>
          <w:bCs w:val="false"/>
          <w:color w:val="000000"/>
          <w:sz w:val="22"/>
          <w:szCs w:val="22"/>
          <w:shd w:fill="auto" w:val="clear"/>
        </w:rPr>
        <w:t>iluminação pública</w:t>
      </w:r>
      <w:r>
        <w:rPr>
          <w:rFonts w:eastAsia="Arial" w:cs="Arial" w:ascii="Arial" w:hAnsi="Arial"/>
          <w:b w:val="false"/>
          <w:bCs w:val="false"/>
          <w:color w:val="000000"/>
          <w:sz w:val="22"/>
          <w:szCs w:val="22"/>
          <w:shd w:fill="auto" w:val="clear"/>
        </w:rPr>
        <w:t xml:space="preserve"> do Município.</w:t>
      </w:r>
    </w:p>
    <w:p>
      <w:pPr>
        <w:pStyle w:val="Corpodotexto"/>
        <w:numPr>
          <w:ilvl w:val="0"/>
          <w:numId w:val="2"/>
        </w:numPr>
        <w:spacing w:lineRule="auto" w:line="276" w:before="0" w:after="0"/>
        <w:jc w:val="both"/>
        <w:rPr/>
      </w:pPr>
      <w:r>
        <w:rPr>
          <w:rFonts w:cs="Arial" w:ascii="Arial" w:hAnsi="Arial"/>
          <w:b w:val="false"/>
          <w:bCs w:val="false"/>
          <w:i w:val="false"/>
          <w:color w:val="000000"/>
          <w:sz w:val="22"/>
          <w:szCs w:val="22"/>
          <w:shd w:fill="auto" w:val="clear"/>
        </w:rPr>
        <w:t xml:space="preserve">Os itens enquadram-se como </w:t>
      </w:r>
      <w:r>
        <w:rPr>
          <w:rStyle w:val="Strong"/>
          <w:rFonts w:cs="Arial" w:ascii="Arial" w:hAnsi="Arial"/>
          <w:i w:val="false"/>
          <w:color w:val="000000"/>
          <w:sz w:val="22"/>
          <w:szCs w:val="22"/>
          <w:shd w:fill="auto" w:val="clear"/>
        </w:rPr>
        <w:t>bens e serviços comuns</w:t>
      </w:r>
      <w:r>
        <w:rPr>
          <w:rFonts w:cs="Arial" w:ascii="Arial" w:hAnsi="Arial"/>
          <w:b w:val="false"/>
          <w:bCs w:val="false"/>
          <w:i w:val="false"/>
          <w:color w:val="000000"/>
          <w:sz w:val="22"/>
          <w:szCs w:val="22"/>
          <w:shd w:fill="auto" w:val="clear"/>
        </w:rPr>
        <w:t xml:space="preserve">, nos termos do art. 6º, inciso XIII, da Lei nº 14.133/2021, por possuírem padrões de desempenho e qualidade que podem ser definidos de forma obetiva no edital, mediante especificações usuais no mercado. </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i w:val="false"/>
          <w:color w:val="000000"/>
          <w:sz w:val="22"/>
          <w:szCs w:val="22"/>
          <w:shd w:fill="auto" w:val="clear"/>
        </w:rPr>
        <w:t>Por sua natureza, não demandam soluções técnicas especiais ou metodologias de execução complexas, sendo passíveis de comparação objetiva entre as propostas apresentadas, o que possibilita a utilização de critérios padronizados de julgamento e a ampla competitividade entre os licitantes.</w:t>
      </w:r>
    </w:p>
    <w:p>
      <w:pPr>
        <w:pStyle w:val="Corpodotexto"/>
        <w:numPr>
          <w:ilvl w:val="0"/>
          <w:numId w:val="2"/>
        </w:numPr>
        <w:spacing w:lineRule="auto" w:line="276" w:before="0" w:after="0"/>
        <w:jc w:val="both"/>
        <w:rPr/>
      </w:pPr>
      <w:r>
        <w:rPr>
          <w:rFonts w:cs="Arial" w:ascii="Arial" w:hAnsi="Arial"/>
          <w:b w:val="false"/>
          <w:bCs w:val="false"/>
          <w:i w:val="false"/>
          <w:color w:val="000000"/>
          <w:sz w:val="22"/>
          <w:szCs w:val="22"/>
          <w:shd w:fill="auto" w:val="clear"/>
        </w:rPr>
        <w:t xml:space="preserve">Em caso de eventuais </w:t>
      </w:r>
      <w:r>
        <w:rPr>
          <w:rStyle w:val="Strong"/>
          <w:rFonts w:cs="Arial" w:ascii="Arial" w:hAnsi="Arial"/>
          <w:b w:val="false"/>
          <w:bCs w:val="false"/>
          <w:i w:val="false"/>
          <w:color w:val="000000"/>
          <w:sz w:val="22"/>
          <w:szCs w:val="22"/>
          <w:shd w:fill="auto" w:val="clear"/>
        </w:rPr>
        <w:t>disparidades ou divergências</w:t>
      </w:r>
      <w:r>
        <w:rPr>
          <w:rFonts w:cs="Arial" w:ascii="Arial" w:hAnsi="Arial"/>
          <w:b w:val="false"/>
          <w:bCs w:val="false"/>
          <w:i w:val="false"/>
          <w:color w:val="000000"/>
          <w:sz w:val="22"/>
          <w:szCs w:val="22"/>
          <w:shd w:fill="auto" w:val="clear"/>
        </w:rPr>
        <w:t xml:space="preserve"> entre as especificações descritas neste </w:t>
      </w:r>
      <w:r>
        <w:rPr>
          <w:rStyle w:val="Strong"/>
          <w:rFonts w:cs="Arial" w:ascii="Arial" w:hAnsi="Arial"/>
          <w:b w:val="false"/>
          <w:bCs w:val="false"/>
          <w:i w:val="false"/>
          <w:color w:val="000000"/>
          <w:sz w:val="22"/>
          <w:szCs w:val="22"/>
          <w:shd w:fill="auto" w:val="clear"/>
        </w:rPr>
        <w:t>Termo de Referência</w:t>
      </w:r>
      <w:r>
        <w:rPr>
          <w:rFonts w:cs="Arial" w:ascii="Arial" w:hAnsi="Arial"/>
          <w:b w:val="false"/>
          <w:bCs w:val="false"/>
          <w:i w:val="false"/>
          <w:color w:val="000000"/>
          <w:sz w:val="22"/>
          <w:szCs w:val="22"/>
          <w:shd w:fill="auto" w:val="clear"/>
        </w:rPr>
        <w:t xml:space="preserve"> e aquelas constantes no </w:t>
      </w:r>
      <w:r>
        <w:rPr>
          <w:rStyle w:val="Strong"/>
          <w:rFonts w:cs="Arial" w:ascii="Arial" w:hAnsi="Arial"/>
          <w:b w:val="false"/>
          <w:bCs w:val="false"/>
          <w:i w:val="false"/>
          <w:color w:val="000000"/>
          <w:sz w:val="22"/>
          <w:szCs w:val="22"/>
          <w:shd w:fill="auto" w:val="clear"/>
        </w:rPr>
        <w:t>CATMAT – Catálogo de Materiais do Governo Federal</w:t>
      </w:r>
      <w:r>
        <w:rPr>
          <w:rFonts w:cs="Arial" w:ascii="Arial" w:hAnsi="Arial"/>
          <w:b w:val="false"/>
          <w:bCs w:val="false"/>
          <w:i w:val="false"/>
          <w:color w:val="000000"/>
          <w:sz w:val="22"/>
          <w:szCs w:val="22"/>
          <w:shd w:fill="auto" w:val="clear"/>
        </w:rPr>
        <w:t xml:space="preserve">, quando houverem, ou nos demais documentos que compõem o Processo Digital, deverá </w:t>
      </w:r>
      <w:r>
        <w:rPr>
          <w:rStyle w:val="Strong"/>
          <w:rFonts w:cs="Arial" w:ascii="Arial" w:hAnsi="Arial"/>
          <w:b w:val="false"/>
          <w:bCs w:val="false"/>
          <w:i w:val="false"/>
          <w:color w:val="000000"/>
          <w:sz w:val="22"/>
          <w:szCs w:val="22"/>
          <w:shd w:fill="auto" w:val="clear"/>
        </w:rPr>
        <w:t>prevalecer o disposto no presente documento municipal e no Anexo I</w:t>
      </w:r>
      <w:r>
        <w:rPr>
          <w:rFonts w:cs="Arial" w:ascii="Arial" w:hAnsi="Arial"/>
          <w:b w:val="false"/>
          <w:bCs w:val="false"/>
          <w:i w:val="false"/>
          <w:color w:val="000000"/>
          <w:sz w:val="22"/>
          <w:szCs w:val="22"/>
          <w:shd w:fill="auto" w:val="clear"/>
        </w:rPr>
        <w:t xml:space="preserve">, uma vez que, refletem de forma fidedigna os objetivos, necessidades e peculiaridades da Administração Municipal na presente contratação </w:t>
        <w:tab/>
      </w:r>
    </w:p>
    <w:p>
      <w:pPr>
        <w:pStyle w:val="Corpodotexto"/>
        <w:numPr>
          <w:ilvl w:val="0"/>
          <w:numId w:val="2"/>
        </w:numPr>
        <w:spacing w:lineRule="auto" w:line="276" w:before="0" w:after="0"/>
        <w:jc w:val="both"/>
        <w:rPr/>
      </w:pPr>
      <w:r>
        <w:rPr>
          <w:rFonts w:cs="Arial" w:ascii="Arial" w:hAnsi="Arial"/>
          <w:b w:val="false"/>
          <w:bCs w:val="false"/>
          <w:i w:val="false"/>
          <w:color w:val="000000"/>
          <w:sz w:val="22"/>
          <w:szCs w:val="22"/>
          <w:shd w:fill="auto" w:val="clear"/>
        </w:rPr>
        <w:t xml:space="preserve">O contrato decorrente da presente licitação deverá ter </w:t>
      </w:r>
      <w:r>
        <w:rPr>
          <w:rStyle w:val="Strong"/>
          <w:rFonts w:cs="Arial" w:ascii="Arial" w:hAnsi="Arial"/>
          <w:b w:val="false"/>
          <w:bCs w:val="false"/>
          <w:i w:val="false"/>
          <w:color w:val="000000"/>
          <w:sz w:val="22"/>
          <w:szCs w:val="22"/>
          <w:shd w:fill="auto" w:val="clear"/>
        </w:rPr>
        <w:t>vigência de 12 (doze) meses</w:t>
      </w:r>
      <w:r>
        <w:rPr>
          <w:rFonts w:cs="Arial" w:ascii="Arial" w:hAnsi="Arial"/>
          <w:b w:val="false"/>
          <w:bCs w:val="false"/>
          <w:i w:val="false"/>
          <w:color w:val="000000"/>
          <w:sz w:val="22"/>
          <w:szCs w:val="22"/>
          <w:shd w:fill="auto" w:val="clear"/>
        </w:rPr>
        <w:t xml:space="preserve">, nos termos do art.105 da Lei nº 14.133/2021, </w:t>
      </w:r>
      <w:r>
        <w:rPr>
          <w:rStyle w:val="Strong"/>
          <w:rFonts w:cs="Arial" w:ascii="Arial" w:hAnsi="Arial"/>
          <w:b w:val="false"/>
          <w:bCs w:val="false"/>
          <w:i w:val="false"/>
          <w:color w:val="000000"/>
          <w:sz w:val="22"/>
          <w:szCs w:val="22"/>
          <w:shd w:fill="auto" w:val="clear"/>
        </w:rPr>
        <w:t>podendo ser prorrogado por iguais e sucessivos períodos, nos mesmos termos, condições e exclusivamente por interesse da Administração</w:t>
      </w:r>
      <w:r>
        <w:rPr>
          <w:rFonts w:cs="Arial" w:ascii="Arial" w:hAnsi="Arial"/>
          <w:b w:val="false"/>
          <w:bCs w:val="false"/>
          <w:i w:val="false"/>
          <w:color w:val="000000"/>
          <w:sz w:val="22"/>
          <w:szCs w:val="22"/>
          <w:shd w:fill="auto" w:val="clear"/>
        </w:rPr>
        <w:t>.</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i w:val="false"/>
          <w:color w:val="000000"/>
          <w:sz w:val="22"/>
          <w:szCs w:val="22"/>
          <w:shd w:fill="auto" w:val="clear"/>
        </w:rPr>
        <w:t xml:space="preserve">As quantidades registradas poderão ser renovadas, observados os limites legais e orçamentários, a fim de garantir a regularidade do fornecimento e a continuidade dos serviços públicos essenciais </w:t>
        <w:tab/>
      </w:r>
    </w:p>
    <w:p>
      <w:pPr>
        <w:pStyle w:val="Corpodotexto"/>
        <w:numPr>
          <w:ilvl w:val="0"/>
          <w:numId w:val="2"/>
        </w:numPr>
        <w:spacing w:lineRule="auto" w:line="276" w:before="0" w:after="0"/>
        <w:jc w:val="both"/>
        <w:rPr>
          <w:rFonts w:ascii="Arial" w:hAnsi="Arial" w:cs="Arial"/>
          <w:b w:val="false"/>
          <w:bCs w:val="false"/>
          <w:i w:val="false"/>
          <w:i w:val="false"/>
          <w:color w:val="000000"/>
          <w:sz w:val="22"/>
          <w:szCs w:val="22"/>
          <w:highlight w:val="none"/>
          <w:shd w:fill="auto" w:val="clear"/>
        </w:rPr>
      </w:pPr>
      <w:r>
        <w:rPr>
          <w:rFonts w:cs="Arial" w:ascii="Arial" w:hAnsi="Arial"/>
          <w:b w:val="false"/>
          <w:bCs w:val="false"/>
          <w:i w:val="false"/>
          <w:color w:val="000000"/>
          <w:sz w:val="22"/>
          <w:szCs w:val="22"/>
          <w:shd w:fill="auto" w:val="clear"/>
        </w:rPr>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 FUNDAMENTAÇÃO da CONTRATAÇÃO e NECESSIDADE da ADMINISTRAÇÃO</w:t>
      </w:r>
    </w:p>
    <w:p>
      <w:pPr>
        <w:pStyle w:val="Corpodotexto"/>
        <w:numPr>
          <w:ilvl w:val="0"/>
          <w:numId w:val="0"/>
        </w:numPr>
        <w:spacing w:lineRule="auto" w:line="276" w:before="0" w:after="0"/>
        <w:ind w:left="0" w:hanging="0"/>
        <w:jc w:val="both"/>
        <w:rPr/>
      </w:pPr>
      <w:r>
        <w:rPr>
          <w:rStyle w:val="Strong"/>
          <w:rFonts w:cs="Arial" w:ascii="Arial" w:hAnsi="Arial"/>
          <w:b w:val="false"/>
          <w:bCs w:val="false"/>
          <w:color w:val="000000"/>
          <w:sz w:val="22"/>
          <w:szCs w:val="22"/>
          <w:shd w:fill="auto" w:val="clear"/>
        </w:rPr>
        <w:t>Contratação, por meio de Processo Licitatório na modalidade Registro de Preços, do tipo menor preço Item, tendo como parâmetro o valor referencial definido por Item</w:t>
      </w:r>
      <w:r>
        <w:rPr>
          <w:rFonts w:cs="Arial" w:ascii="Arial" w:hAnsi="Arial"/>
          <w:b w:val="false"/>
          <w:bCs w:val="false"/>
          <w:color w:val="000000"/>
          <w:sz w:val="22"/>
          <w:szCs w:val="22"/>
          <w:shd w:fill="auto" w:val="clear"/>
        </w:rPr>
        <w:t xml:space="preserve">, conforme especificações e quantidades constantes no Anexo I deste e demais documentos que compõem o processo digital e fundamentando-se no </w:t>
      </w:r>
      <w:r>
        <w:rPr>
          <w:rStyle w:val="Strong"/>
          <w:rFonts w:cs="Arial" w:ascii="Arial" w:hAnsi="Arial"/>
          <w:b w:val="false"/>
          <w:bCs w:val="false"/>
          <w:color w:val="000000"/>
          <w:sz w:val="22"/>
          <w:szCs w:val="22"/>
          <w:shd w:fill="auto" w:val="clear"/>
        </w:rPr>
        <w:t>Estudo Técnico Preliminar – ETP</w:t>
      </w:r>
      <w:r>
        <w:rPr>
          <w:rFonts w:cs="Arial" w:ascii="Arial" w:hAnsi="Arial"/>
          <w:b w:val="false"/>
          <w:bCs w:val="false"/>
          <w:color w:val="000000"/>
          <w:sz w:val="22"/>
          <w:szCs w:val="22"/>
          <w:shd w:fill="auto" w:val="clear"/>
        </w:rPr>
        <w:t>, elaborado em conformidade com os arts. 18 e 20 da Lei nº 14.133/2021, que identificou:</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A necessidade de modernização da rede de iluminação pública, alinhada ao </w:t>
      </w:r>
      <w:r>
        <w:rPr>
          <w:rStyle w:val="Strong"/>
          <w:rFonts w:cs="Arial" w:ascii="Arial" w:hAnsi="Arial"/>
          <w:b w:val="false"/>
          <w:bCs w:val="false"/>
          <w:color w:val="000000"/>
          <w:sz w:val="22"/>
          <w:szCs w:val="22"/>
          <w:shd w:fill="auto" w:val="clear"/>
        </w:rPr>
        <w:t>Projeto Municipal de Iluminação Pública</w:t>
      </w:r>
      <w:r>
        <w:rPr>
          <w:rFonts w:cs="Arial" w:ascii="Arial" w:hAnsi="Arial"/>
          <w:b w:val="false"/>
          <w:bCs w:val="false"/>
          <w:color w:val="000000"/>
          <w:sz w:val="22"/>
          <w:szCs w:val="22"/>
          <w:shd w:fill="auto" w:val="clear"/>
        </w:rPr>
        <w:t>;</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As vantagens técnicas e econômicas da substituição das luminárias de vapor de sódio e mercúrio por luminárias LED, mais eficientes e sustentáveis;</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A inviabilidade de dimensionamento exato da demanda por planilhas de consumo histórico, em razão de aquisições anteriores terem sido realizadas por</w:t>
      </w:r>
      <w:r>
        <w:rPr>
          <w:rFonts w:cs="Arial" w:ascii="Arial" w:hAnsi="Arial"/>
          <w:b/>
          <w:bCs/>
          <w:color w:val="000000"/>
          <w:sz w:val="22"/>
          <w:szCs w:val="22"/>
          <w:shd w:fill="auto" w:val="clear"/>
        </w:rPr>
        <w:t xml:space="preserve"> </w:t>
      </w:r>
      <w:r>
        <w:rPr>
          <w:rStyle w:val="Strong"/>
          <w:rFonts w:cs="Arial" w:ascii="Arial" w:hAnsi="Arial"/>
          <w:b w:val="false"/>
          <w:bCs w:val="false"/>
          <w:color w:val="000000"/>
          <w:sz w:val="22"/>
          <w:szCs w:val="22"/>
          <w:shd w:fill="auto" w:val="clear"/>
        </w:rPr>
        <w:t>dispensas</w:t>
      </w:r>
      <w:r>
        <w:rPr>
          <w:rStyle w:val="Strong"/>
          <w:rFonts w:cs="Arial" w:ascii="Arial" w:hAnsi="Arial"/>
          <w:color w:val="000000"/>
          <w:sz w:val="22"/>
          <w:szCs w:val="22"/>
          <w:shd w:fill="auto" w:val="clear"/>
        </w:rPr>
        <w:t xml:space="preserve"> </w:t>
      </w:r>
      <w:r>
        <w:rPr>
          <w:rStyle w:val="Strong"/>
          <w:rFonts w:cs="Arial" w:ascii="Arial" w:hAnsi="Arial"/>
          <w:b w:val="false"/>
          <w:bCs w:val="false"/>
          <w:color w:val="000000"/>
          <w:sz w:val="22"/>
          <w:szCs w:val="22"/>
          <w:shd w:fill="auto" w:val="clear"/>
        </w:rPr>
        <w:t>repetidas</w:t>
      </w:r>
      <w:r>
        <w:rPr>
          <w:rFonts w:cs="Arial" w:ascii="Arial" w:hAnsi="Arial"/>
          <w:b w:val="false"/>
          <w:bCs w:val="false"/>
          <w:color w:val="000000"/>
          <w:sz w:val="22"/>
          <w:szCs w:val="22"/>
          <w:shd w:fill="auto" w:val="clear"/>
        </w:rPr>
        <w:t xml:space="preserve">, sendo o </w:t>
      </w:r>
      <w:r>
        <w:rPr>
          <w:rStyle w:val="Strong"/>
          <w:rFonts w:cs="Arial" w:ascii="Arial" w:hAnsi="Arial"/>
          <w:b w:val="false"/>
          <w:bCs w:val="false"/>
          <w:color w:val="000000"/>
          <w:sz w:val="22"/>
          <w:szCs w:val="22"/>
          <w:shd w:fill="auto" w:val="clear"/>
        </w:rPr>
        <w:t>Registro de Preços</w:t>
      </w:r>
      <w:r>
        <w:rPr>
          <w:rFonts w:cs="Arial" w:ascii="Arial" w:hAnsi="Arial"/>
          <w:b w:val="false"/>
          <w:bCs w:val="false"/>
          <w:color w:val="000000"/>
          <w:sz w:val="22"/>
          <w:szCs w:val="22"/>
          <w:shd w:fill="auto" w:val="clear"/>
        </w:rPr>
        <w:t xml:space="preserve"> a solução mais adequada para garantir previsibilidade e regularidade.</w:t>
      </w:r>
    </w:p>
    <w:p>
      <w:pPr>
        <w:pStyle w:val="Corpodotexto"/>
        <w:numPr>
          <w:ilvl w:val="0"/>
          <w:numId w:val="0"/>
        </w:numPr>
        <w:spacing w:lineRule="auto" w:line="276" w:before="0" w:after="0"/>
        <w:ind w:left="0" w:hanging="0"/>
        <w:jc w:val="both"/>
        <w:rPr/>
      </w:pPr>
      <w:r>
        <w:rPr>
          <w:rFonts w:cs="Arial" w:ascii="Arial" w:hAnsi="Arial"/>
          <w:b w:val="false"/>
          <w:bCs w:val="false"/>
          <w:color w:val="000000"/>
          <w:sz w:val="22"/>
          <w:szCs w:val="22"/>
          <w:shd w:fill="auto" w:val="clear"/>
        </w:rPr>
        <w:t xml:space="preserve">A solicitação, destina-se a atender de forma contínua e de acordo com as necessidades da administração Municipal, mediante o fornecimento de </w:t>
      </w:r>
      <w:r>
        <w:rPr>
          <w:rStyle w:val="Strong"/>
          <w:rFonts w:cs="Arial" w:ascii="Arial" w:hAnsi="Arial"/>
          <w:b w:val="false"/>
          <w:bCs w:val="false"/>
          <w:color w:val="000000"/>
          <w:sz w:val="22"/>
          <w:szCs w:val="22"/>
          <w:shd w:fill="auto" w:val="clear"/>
        </w:rPr>
        <w:t>luminárias públicas de LED</w:t>
      </w:r>
      <w:r>
        <w:rPr>
          <w:rFonts w:cs="Arial" w:ascii="Arial" w:hAnsi="Arial"/>
          <w:b w:val="false"/>
          <w:bCs w:val="false"/>
          <w:color w:val="000000"/>
          <w:sz w:val="22"/>
          <w:szCs w:val="22"/>
          <w:shd w:fill="auto" w:val="clear"/>
        </w:rPr>
        <w:t xml:space="preserve">, consideradas insumos indispensáveis para a </w:t>
      </w:r>
      <w:r>
        <w:rPr>
          <w:rStyle w:val="Strong"/>
          <w:rFonts w:cs="Arial" w:ascii="Arial" w:hAnsi="Arial"/>
          <w:b w:val="false"/>
          <w:bCs w:val="false"/>
          <w:color w:val="000000"/>
          <w:sz w:val="22"/>
          <w:szCs w:val="22"/>
          <w:shd w:fill="auto" w:val="clear"/>
        </w:rPr>
        <w:t>manutenção, modernização e expansão da rede de iluminação pública municipal</w:t>
      </w:r>
      <w:r>
        <w:rPr>
          <w:rFonts w:cs="Arial" w:ascii="Arial" w:hAnsi="Arial"/>
          <w:b w:val="false"/>
          <w:bCs w:val="false"/>
          <w:color w:val="000000"/>
          <w:sz w:val="22"/>
          <w:szCs w:val="22"/>
          <w:shd w:fill="auto" w:val="clear"/>
        </w:rPr>
        <w:t xml:space="preserve">. </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 objeto contempla a substituição de equipamentos obsoletos, ineficientes ou inoperantes, bem como a instalação em novos pontos de iluminação, em conformidade com o </w:t>
      </w:r>
      <w:r>
        <w:rPr>
          <w:rStyle w:val="Strong"/>
          <w:rFonts w:cs="Arial" w:ascii="Arial" w:hAnsi="Arial"/>
          <w:b w:val="false"/>
          <w:bCs w:val="false"/>
          <w:color w:val="000000"/>
          <w:sz w:val="22"/>
          <w:szCs w:val="22"/>
          <w:shd w:fill="auto" w:val="clear"/>
        </w:rPr>
        <w:t>Projeto de Iluminação Pública Municipal, Termo de Referencial e o Anexo I</w:t>
      </w:r>
      <w:r>
        <w:rPr>
          <w:rFonts w:cs="Arial" w:ascii="Arial" w:hAnsi="Arial"/>
          <w:b w:val="false"/>
          <w:bCs w:val="false"/>
          <w:color w:val="000000"/>
          <w:sz w:val="22"/>
          <w:szCs w:val="22"/>
          <w:shd w:fill="auto" w:val="clear"/>
        </w:rPr>
        <w:t>.</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utilização de luminárias LED apresenta vantagens técnicas e econômicas, uma vez que proporciona </w:t>
      </w:r>
      <w:r>
        <w:rPr>
          <w:rStyle w:val="Strong"/>
          <w:rFonts w:cs="Arial" w:ascii="Arial" w:hAnsi="Arial"/>
          <w:b w:val="false"/>
          <w:bCs w:val="false"/>
          <w:color w:val="000000"/>
          <w:sz w:val="22"/>
          <w:szCs w:val="22"/>
          <w:shd w:fill="auto" w:val="clear"/>
        </w:rPr>
        <w:t>maior eficiência energética, durabilidade superior, redução de custos de manutenção e menor impacto ambiental</w:t>
      </w:r>
      <w:r>
        <w:rPr>
          <w:rFonts w:cs="Arial" w:ascii="Arial" w:hAnsi="Arial"/>
          <w:b w:val="false"/>
          <w:bCs w:val="false"/>
          <w:color w:val="000000"/>
          <w:sz w:val="22"/>
          <w:szCs w:val="22"/>
          <w:shd w:fill="auto" w:val="clear"/>
        </w:rPr>
        <w:t>, em razão da eliminação do uso de lâmpadas de vapor de sódio e mercúrio, que possuem substâncias nocivas.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Adicionalmente, a </w:t>
      </w:r>
      <w:r>
        <w:rPr>
          <w:rStyle w:val="Strong"/>
          <w:rFonts w:cs="Arial" w:ascii="Arial" w:hAnsi="Arial"/>
          <w:b w:val="false"/>
          <w:bCs w:val="false"/>
          <w:color w:val="000000"/>
          <w:sz w:val="22"/>
          <w:szCs w:val="22"/>
          <w:shd w:fill="auto" w:val="clear"/>
        </w:rPr>
        <w:t>manutenção preventiva e corretiva da rede de iluminação pública</w:t>
      </w:r>
      <w:r>
        <w:rPr>
          <w:rFonts w:cs="Arial" w:ascii="Arial" w:hAnsi="Arial"/>
          <w:b w:val="false"/>
          <w:bCs w:val="false"/>
          <w:color w:val="000000"/>
          <w:sz w:val="22"/>
          <w:szCs w:val="22"/>
          <w:shd w:fill="auto" w:val="clear"/>
        </w:rPr>
        <w:t xml:space="preserve"> é fundamental para assegurar a continuidade das atividades administrativas e operacionais da Administração Municipal, com reflexos diretos em serviços públicos essenciais, especialmente nas áreas de </w:t>
      </w:r>
      <w:r>
        <w:rPr>
          <w:rStyle w:val="Strong"/>
          <w:rFonts w:cs="Arial" w:ascii="Arial" w:hAnsi="Arial"/>
          <w:b w:val="false"/>
          <w:bCs w:val="false"/>
          <w:color w:val="000000"/>
          <w:sz w:val="22"/>
          <w:szCs w:val="22"/>
          <w:shd w:fill="auto" w:val="clear"/>
        </w:rPr>
        <w:t>segurança, mobilidade urbana, saúde, educação e obras públicas</w:t>
      </w:r>
      <w:r>
        <w:rPr>
          <w:rFonts w:cs="Arial" w:ascii="Arial" w:hAnsi="Arial"/>
          <w:b w:val="false"/>
          <w:bCs w:val="false"/>
          <w:color w:val="000000"/>
          <w:sz w:val="22"/>
          <w:szCs w:val="22"/>
          <w:shd w:fill="auto" w:val="clear"/>
        </w:rPr>
        <w:t>, garantindo condições adequadas de circulação, segurança viária e bem-estar à população.</w:t>
      </w:r>
    </w:p>
    <w:p>
      <w:pPr>
        <w:pStyle w:val="Corpodotexto"/>
        <w:numPr>
          <w:ilvl w:val="0"/>
          <w:numId w:val="2"/>
        </w:numPr>
        <w:spacing w:lineRule="auto" w:line="276" w:before="0" w:after="0"/>
        <w:jc w:val="both"/>
        <w:rPr/>
      </w:pPr>
      <w:r>
        <w:rPr>
          <w:rFonts w:eastAsia="Arial" w:cs="Arial" w:ascii="Arial" w:hAnsi="Arial"/>
          <w:b w:val="false"/>
          <w:bCs w:val="false"/>
          <w:color w:val="000000"/>
          <w:sz w:val="22"/>
          <w:szCs w:val="22"/>
          <w:shd w:fill="auto" w:val="clear"/>
        </w:rPr>
        <w:t xml:space="preserve">Ressalta-se que </w:t>
      </w:r>
      <w:r>
        <w:rPr>
          <w:rStyle w:val="Strong"/>
          <w:rFonts w:eastAsia="Arial" w:cs="Arial" w:ascii="Arial" w:hAnsi="Arial"/>
          <w:b w:val="false"/>
          <w:bCs w:val="false"/>
          <w:color w:val="000000"/>
          <w:sz w:val="22"/>
          <w:szCs w:val="22"/>
          <w:shd w:fill="auto" w:val="clear"/>
        </w:rPr>
        <w:t>compras intempestivas e sem controle adequado geram despesas adicionais e comprometem a padronização das aquisições</w:t>
      </w:r>
      <w:r>
        <w:rPr>
          <w:rFonts w:eastAsia="Arial" w:cs="Arial" w:ascii="Arial" w:hAnsi="Arial"/>
          <w:b w:val="false"/>
          <w:bCs w:val="false"/>
          <w:color w:val="000000"/>
          <w:sz w:val="22"/>
          <w:szCs w:val="22"/>
          <w:shd w:fill="auto" w:val="clear"/>
        </w:rPr>
        <w:t>, ocasionando dificuldades de gestão de estoque e elevação de custos operacionais.</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eastAsia="Arial" w:cs="Arial" w:ascii="Arial" w:hAnsi="Arial"/>
          <w:b w:val="false"/>
          <w:bCs w:val="false"/>
          <w:color w:val="000000"/>
          <w:sz w:val="22"/>
          <w:szCs w:val="22"/>
          <w:shd w:fill="auto" w:val="clear"/>
        </w:rPr>
        <w:t>A ausência de fornecimento regular e adequado desses insumos compromete não apenas a funcionalidade e a eficiência energética dos sistemas, mas também a observância das normas técnicas e regulamentações vigentes (ABNT, INMETRO, CONAMA e legislações correlatas), acarretando riscos à segurança de servidores e usuários, bem como prejuízos à durabilidade e ao desempenho das instalações.</w:t>
      </w:r>
    </w:p>
    <w:p>
      <w:pPr>
        <w:pStyle w:val="Corpodotexto"/>
        <w:numPr>
          <w:ilvl w:val="0"/>
          <w:numId w:val="2"/>
        </w:numPr>
        <w:spacing w:lineRule="auto" w:line="276" w:before="0" w:after="83"/>
        <w:jc w:val="both"/>
        <w:rPr>
          <w:rFonts w:ascii="Arial" w:hAnsi="Arial"/>
          <w:color w:val="000000"/>
          <w:sz w:val="22"/>
          <w:szCs w:val="22"/>
          <w:highlight w:val="none"/>
          <w:shd w:fill="auto" w:val="clear"/>
        </w:rPr>
      </w:pPr>
      <w:r>
        <w:rPr>
          <w:rFonts w:eastAsia="Arial" w:cs="Arial" w:ascii="Arial" w:hAnsi="Arial"/>
          <w:b w:val="false"/>
          <w:bCs w:val="false"/>
          <w:i w:val="false"/>
          <w:color w:val="000000"/>
          <w:sz w:val="22"/>
          <w:szCs w:val="22"/>
          <w:shd w:fill="auto" w:val="clear"/>
        </w:rPr>
        <w:t>O fornecimento tempestivo e padronizado dos materiais, com especificações técnicas compatíveis às demandas municipais, representa medida estratégica para otimizar recursos públicos, reduzir custos de manutenção, prolongar a vida útil das instalações e contribuir para políticas públicas de eficiência energética e sustentabilidade ambiental, em consonância com as diretrizes do planejamento municipal.</w:t>
        <w:tab/>
      </w:r>
    </w:p>
    <w:p>
      <w:pPr>
        <w:pStyle w:val="NormalWeb"/>
        <w:numPr>
          <w:ilvl w:val="0"/>
          <w:numId w:val="2"/>
        </w:numPr>
        <w:spacing w:lineRule="auto" w:line="276" w:before="0" w:after="0"/>
        <w:jc w:val="both"/>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3. DESCRIÇÃO DA SOLUÇÃO COMO UM TODO</w:t>
      </w:r>
    </w:p>
    <w:p>
      <w:pPr>
        <w:pStyle w:val="Corpodotexto"/>
        <w:numPr>
          <w:ilvl w:val="0"/>
          <w:numId w:val="2"/>
        </w:numPr>
        <w:spacing w:lineRule="auto" w:line="276" w:before="0" w:after="0"/>
        <w:jc w:val="both"/>
        <w:rPr/>
      </w:pPr>
      <w:r>
        <w:rPr>
          <w:rStyle w:val="Strong"/>
          <w:rFonts w:eastAsia="Calibri" w:cs="Arial" w:ascii="Arial" w:hAnsi="Arial"/>
          <w:b w:val="false"/>
          <w:bCs w:val="false"/>
          <w:strike w:val="false"/>
          <w:dstrike w:val="false"/>
          <w:color w:val="000000"/>
          <w:sz w:val="22"/>
          <w:szCs w:val="22"/>
          <w:u w:val="none"/>
          <w:shd w:fill="auto" w:val="clear"/>
          <w:lang w:val="pt-BR" w:eastAsia="pt-BR"/>
        </w:rPr>
        <w:t>A solução proposta contempla a contratação destinada ao atendimento integral da demanda apresentada pela Administração, compreendendo o fornecimento dos ITENS especificados no Anexo I deste documento e no Termo de Referência, com observância dos padrões de desempenho e qualidade estabelecidos, das normas técnicas aplicáveis e da legislação vigente.</w:t>
      </w:r>
    </w:p>
    <w:p>
      <w:pPr>
        <w:pStyle w:val="Corpodotexto"/>
        <w:numPr>
          <w:ilvl w:val="0"/>
          <w:numId w:val="0"/>
        </w:numPr>
        <w:spacing w:lineRule="auto" w:line="276" w:before="0" w:after="0"/>
        <w:ind w:lef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Sua execução abrangerá:</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Fornecimento</w:t>
      </w:r>
      <w:r>
        <w:rPr>
          <w:rFonts w:cs="Arial" w:ascii="Arial" w:hAnsi="Arial"/>
          <w:b w:val="false"/>
          <w:bCs w:val="false"/>
          <w:color w:val="000000"/>
          <w:sz w:val="22"/>
          <w:szCs w:val="22"/>
          <w:shd w:fill="auto" w:val="clear"/>
        </w:rPr>
        <w:t xml:space="preserve"> conforme especificações técnicas, quantidades e prazos definidos;</w:t>
      </w:r>
    </w:p>
    <w:p>
      <w:pPr>
        <w:pStyle w:val="Corpodotexto"/>
        <w:numPr>
          <w:ilvl w:val="0"/>
          <w:numId w:val="2"/>
        </w:numPr>
        <w:spacing w:lineRule="auto" w:line="276" w:before="0" w:after="0"/>
        <w:jc w:val="both"/>
        <w:rPr/>
      </w:pPr>
      <w:r>
        <w:rPr>
          <w:rStyle w:val="Strong"/>
          <w:rFonts w:eastAsia="Times New Roman" w:cs="Arial" w:ascii="Arial" w:hAnsi="Arial"/>
          <w:b w:val="false"/>
          <w:bCs w:val="false"/>
          <w:color w:val="000000"/>
          <w:sz w:val="22"/>
          <w:szCs w:val="22"/>
          <w:shd w:fill="auto" w:val="clear"/>
        </w:rPr>
        <w:t>Transporte,</w:t>
      </w:r>
      <w:r>
        <w:rPr>
          <w:rFonts w:cs="Arial" w:ascii="Arial" w:hAnsi="Arial"/>
          <w:b w:val="false"/>
          <w:bCs w:val="false"/>
          <w:color w:val="000000"/>
          <w:sz w:val="22"/>
          <w:szCs w:val="22"/>
          <w:shd w:fill="auto" w:val="clear"/>
        </w:rPr>
        <w:t xml:space="preserve"> carga, descarga e a entrega das luminárias deverão ocorrer no </w:t>
      </w:r>
      <w:r>
        <w:rPr>
          <w:rStyle w:val="Strong"/>
          <w:rFonts w:cs="Arial" w:ascii="Arial" w:hAnsi="Arial"/>
          <w:b w:val="false"/>
          <w:bCs w:val="false"/>
          <w:color w:val="000000"/>
          <w:sz w:val="22"/>
          <w:szCs w:val="22"/>
          <w:shd w:fill="auto" w:val="clear"/>
        </w:rPr>
        <w:t>local indicado pela Administração</w:t>
      </w:r>
      <w:r>
        <w:rPr>
          <w:rFonts w:cs="Arial" w:ascii="Arial" w:hAnsi="Arial"/>
          <w:b w:val="false"/>
          <w:bCs w:val="false"/>
          <w:color w:val="000000"/>
          <w:sz w:val="22"/>
          <w:szCs w:val="22"/>
          <w:shd w:fill="auto" w:val="clear"/>
        </w:rPr>
        <w:t xml:space="preserve">, devidamente embaladas e protegidas contra danos, </w:t>
      </w:r>
      <w:r>
        <w:rPr>
          <w:rStyle w:val="Strong"/>
          <w:rFonts w:cs="Arial" w:ascii="Arial" w:hAnsi="Arial"/>
          <w:b w:val="false"/>
          <w:bCs w:val="false"/>
          <w:color w:val="000000"/>
          <w:sz w:val="22"/>
          <w:szCs w:val="22"/>
          <w:shd w:fill="auto" w:val="clear"/>
        </w:rPr>
        <w:t>livres de quaisquer ônus adicionais ao Município</w:t>
      </w:r>
      <w:r>
        <w:rPr>
          <w:rFonts w:cs="Arial" w:ascii="Arial" w:hAnsi="Arial"/>
          <w:b w:val="false"/>
          <w:bCs w:val="false"/>
          <w:color w:val="000000"/>
          <w:sz w:val="22"/>
          <w:szCs w:val="22"/>
          <w:shd w:fill="auto" w:val="clear"/>
        </w:rPr>
        <w:t>.</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contratada será responsável por </w:t>
      </w:r>
      <w:r>
        <w:rPr>
          <w:rStyle w:val="Strong"/>
          <w:rFonts w:cs="Arial" w:ascii="Arial" w:hAnsi="Arial"/>
          <w:b w:val="false"/>
          <w:bCs w:val="false"/>
          <w:color w:val="000000"/>
          <w:sz w:val="22"/>
          <w:szCs w:val="22"/>
          <w:shd w:fill="auto" w:val="clear"/>
        </w:rPr>
        <w:t>todas as etapas necessárias ao fornecimento</w:t>
      </w:r>
      <w:r>
        <w:rPr>
          <w:rFonts w:cs="Arial" w:ascii="Arial" w:hAnsi="Arial"/>
          <w:b w:val="false"/>
          <w:bCs w:val="false"/>
          <w:color w:val="000000"/>
          <w:sz w:val="22"/>
          <w:szCs w:val="22"/>
          <w:shd w:fill="auto" w:val="clear"/>
        </w:rPr>
        <w:t>, incluindo acondicionamento, logística, seguro, frete, manuseio e demais encargos que se fizerem necessários, assegurando que os produtos cheguem ao destino em perfeitas condições de uso.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Eventuais custos decorrentes de transporte, devolução, substituição ou recolhimento de itens em desconformidade com o Termo de Referência também serão de </w:t>
      </w:r>
      <w:r>
        <w:rPr>
          <w:rStyle w:val="Strong"/>
          <w:rFonts w:cs="Arial" w:ascii="Arial" w:hAnsi="Arial"/>
          <w:b w:val="false"/>
          <w:bCs w:val="false"/>
          <w:color w:val="000000"/>
          <w:sz w:val="22"/>
          <w:szCs w:val="22"/>
          <w:shd w:fill="auto" w:val="clear"/>
        </w:rPr>
        <w:t>responsabilidade exclusiva da contratada</w:t>
      </w:r>
      <w:r>
        <w:rPr>
          <w:rFonts w:cs="Arial" w:ascii="Arial" w:hAnsi="Arial"/>
          <w:b w:val="false"/>
          <w:bCs w:val="false"/>
          <w:color w:val="000000"/>
          <w:sz w:val="22"/>
          <w:szCs w:val="22"/>
          <w:shd w:fill="auto" w:val="clear"/>
        </w:rPr>
        <w:t>, sem gerar qualquer despesa adicional ao Município.</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Recebimento provisório e definitivo</w:t>
      </w:r>
      <w:r>
        <w:rPr>
          <w:rFonts w:cs="Arial" w:ascii="Arial" w:hAnsi="Arial"/>
          <w:b w:val="false"/>
          <w:bCs w:val="false"/>
          <w:color w:val="000000"/>
          <w:sz w:val="22"/>
          <w:szCs w:val="22"/>
          <w:shd w:fill="auto" w:val="clear"/>
        </w:rPr>
        <w:t xml:space="preserve"> nos termos do art. 140 da Lei nº 14.133/2021, com verificação quantitativa e qualitativa;</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Acompanhamento e fiscalização</w:t>
      </w:r>
      <w:r>
        <w:rPr>
          <w:rFonts w:cs="Arial" w:ascii="Arial" w:hAnsi="Arial"/>
          <w:b w:val="false"/>
          <w:bCs w:val="false"/>
          <w:color w:val="000000"/>
          <w:sz w:val="22"/>
          <w:szCs w:val="22"/>
          <w:shd w:fill="auto" w:val="clear"/>
        </w:rPr>
        <w:t xml:space="preserve"> pela equipe designada, com registro de inconformidades e comunicação imediata ao Gestor para providências;</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Garantia contratual mínima de 5 anos</w:t>
      </w:r>
      <w:r>
        <w:rPr>
          <w:rFonts w:cs="Arial" w:ascii="Arial" w:hAnsi="Arial"/>
          <w:b w:val="false"/>
          <w:bCs w:val="false"/>
          <w:color w:val="000000"/>
          <w:sz w:val="22"/>
          <w:szCs w:val="22"/>
          <w:shd w:fill="auto" w:val="clear"/>
        </w:rPr>
        <w:t xml:space="preserve">, substituição e </w:t>
      </w:r>
      <w:r>
        <w:rPr>
          <w:rFonts w:cs="Arial" w:ascii="Arial" w:hAnsi="Arial"/>
          <w:b w:val="false"/>
          <w:bCs w:val="false"/>
          <w:color w:val="000000"/>
          <w:sz w:val="22"/>
          <w:szCs w:val="22"/>
          <w:shd w:fill="auto" w:val="clear"/>
        </w:rPr>
        <w:t xml:space="preserve">recolhimento de itens em desconformidade deverão ocorrer no prazo máximo de </w:t>
      </w:r>
      <w:r>
        <w:rPr>
          <w:rStyle w:val="Strong"/>
          <w:rFonts w:cs="Arial" w:ascii="Arial" w:hAnsi="Arial"/>
          <w:b w:val="false"/>
          <w:bCs w:val="false"/>
          <w:color w:val="000000"/>
          <w:sz w:val="22"/>
          <w:szCs w:val="22"/>
          <w:shd w:fill="auto" w:val="clear"/>
        </w:rPr>
        <w:t>5 (cinco) dias úteis</w:t>
      </w:r>
      <w:r>
        <w:rPr>
          <w:rFonts w:cs="Arial" w:ascii="Arial" w:hAnsi="Arial"/>
          <w:b w:val="false"/>
          <w:bCs w:val="false"/>
          <w:color w:val="000000"/>
          <w:sz w:val="22"/>
          <w:szCs w:val="22"/>
          <w:shd w:fill="auto" w:val="clear"/>
        </w:rPr>
        <w:t xml:space="preserve">, podendo este, em casos devidamente justificados, ser prorrogado uma única vez por igual período, sem qualquer ônus adicional ao Município. </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Manutenção da qualidade e do desempenho</w:t>
      </w:r>
      <w:r>
        <w:rPr>
          <w:rFonts w:cs="Arial" w:ascii="Arial" w:hAnsi="Arial"/>
          <w:b w:val="false"/>
          <w:bCs w:val="false"/>
          <w:color w:val="000000"/>
          <w:sz w:val="22"/>
          <w:szCs w:val="22"/>
          <w:shd w:fill="auto" w:val="clear"/>
        </w:rPr>
        <w:t xml:space="preserve"> durante todo o período de garantia, com suporte para reposição quando necessário;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eastAsia="Calibri" w:cs="Arial" w:ascii="Arial" w:hAnsi="Arial"/>
          <w:b w:val="false"/>
          <w:bCs w:val="false"/>
          <w:strike w:val="false"/>
          <w:dstrike w:val="false"/>
          <w:color w:val="000000"/>
          <w:sz w:val="22"/>
          <w:szCs w:val="22"/>
          <w:u w:val="none"/>
          <w:shd w:fill="auto" w:val="clear"/>
          <w:lang w:val="pt-BR" w:eastAsia="pt-BR"/>
        </w:rPr>
        <w:t>A presente solução assegura economicidade, eficiência e padronização da qualidade, além de minimizar riscos e garantir que o fornecimento atenda plenamente ao interesse público, assegurando continuidade e confiabilidade na prestação dos serviços e no uso dos bens adquiridos.</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eastAsia="Calibri" w:cs="Arial" w:ascii="Arial" w:hAnsi="Arial"/>
          <w:b w:val="false"/>
          <w:bCs w:val="false"/>
          <w:strike w:val="false"/>
          <w:dstrike w:val="false"/>
          <w:color w:val="000000"/>
          <w:sz w:val="22"/>
          <w:szCs w:val="22"/>
          <w:u w:val="none"/>
          <w:shd w:fill="auto" w:val="clear"/>
          <w:lang w:val="pt-BR" w:eastAsia="pt-BR"/>
        </w:rPr>
        <w:t>O encerramento formal dar-se-á por meio de termo específico ou despacho da autoridade competente, assegurando-se a plena regularidade administrativa e jurídica.</w:t>
      </w:r>
    </w:p>
    <w:p>
      <w:pPr>
        <w:pStyle w:val="Corpodotexto"/>
        <w:numPr>
          <w:ilvl w:val="0"/>
          <w:numId w:val="2"/>
        </w:numPr>
        <w:spacing w:lineRule="auto" w:line="276" w:before="0" w:after="0"/>
        <w:jc w:val="both"/>
        <w:rPr>
          <w:rFonts w:ascii="Arial" w:hAnsi="Arial" w:eastAsia="Calibri" w:cs="Arial"/>
          <w:b w:val="false"/>
          <w:bCs w:val="false"/>
          <w:strike w:val="false"/>
          <w:dstrike w:val="false"/>
          <w:color w:val="000000"/>
          <w:sz w:val="22"/>
          <w:szCs w:val="22"/>
          <w:highlight w:val="none"/>
          <w:u w:val="none"/>
          <w:shd w:fill="auto" w:val="clear"/>
          <w:lang w:val="pt-BR" w:eastAsia="pt-BR"/>
        </w:rPr>
      </w:pPr>
      <w:r>
        <w:rPr>
          <w:rFonts w:eastAsia="Calibri" w:cs="Arial" w:ascii="Arial" w:hAnsi="Arial"/>
          <w:b w:val="false"/>
          <w:bCs w:val="false"/>
          <w:strike w:val="false"/>
          <w:dstrike w:val="false"/>
          <w:color w:val="000000"/>
          <w:sz w:val="22"/>
          <w:szCs w:val="22"/>
          <w:u w:val="none"/>
          <w:shd w:fill="auto" w:val="clear"/>
          <w:lang w:val="pt-BR" w:eastAsia="pt-BR"/>
        </w:rPr>
      </w:r>
    </w:p>
    <w:p>
      <w:pPr>
        <w:pStyle w:val="Corpodotexto"/>
        <w:numPr>
          <w:ilvl w:val="0"/>
          <w:numId w:val="2"/>
        </w:numPr>
        <w:spacing w:lineRule="auto" w:line="276" w:before="0" w:after="0"/>
        <w:jc w:val="both"/>
        <w:rPr/>
      </w:pPr>
      <w:r>
        <w:rPr>
          <w:rStyle w:val="Strong"/>
          <w:rFonts w:cs="Arial" w:ascii="Arial" w:hAnsi="Arial"/>
          <w:strike w:val="false"/>
          <w:dstrike w:val="false"/>
          <w:color w:val="000000"/>
          <w:sz w:val="22"/>
          <w:szCs w:val="22"/>
          <w:u w:val="none"/>
          <w:shd w:fill="auto" w:val="clear"/>
        </w:rPr>
        <w:t>4 DESCRIÇÃO DOS REQUISITOS DA CONTRATAÇÃO</w:t>
      </w:r>
    </w:p>
    <w:p>
      <w:pPr>
        <w:pStyle w:val="Normal"/>
        <w:numPr>
          <w:ilvl w:val="0"/>
          <w:numId w:val="2"/>
        </w:numPr>
        <w:spacing w:lineRule="auto" w:line="276" w:before="0" w:after="0"/>
        <w:jc w:val="both"/>
        <w:rPr/>
      </w:pPr>
      <w:r>
        <w:rPr>
          <w:rStyle w:val="Strong"/>
          <w:rFonts w:cs="Arial" w:ascii="Arial" w:hAnsi="Arial"/>
          <w:b w:val="false"/>
          <w:bCs w:val="false"/>
          <w:strike w:val="false"/>
          <w:dstrike w:val="false"/>
          <w:color w:val="000000"/>
          <w:sz w:val="22"/>
          <w:szCs w:val="22"/>
          <w:u w:val="none"/>
          <w:shd w:fill="auto" w:val="clear"/>
        </w:rPr>
        <w:t>A contratação deverá ocorrer através de Processo Licitatório, na modalidade Pregão Eletrônico, por Item, com critério de julgamento por Menor Preço, nos termos dos artigos 6º, inciso XLI, 17, § 2º, e 34, todos da Lei Federal nº 14.133/2021</w:t>
      </w:r>
      <w:r>
        <w:rPr>
          <w:rStyle w:val="Strong"/>
          <w:rFonts w:cs="Arial" w:ascii="Arial" w:hAnsi="Arial"/>
          <w:strike w:val="false"/>
          <w:dstrike w:val="false"/>
          <w:color w:val="000000"/>
          <w:sz w:val="22"/>
          <w:szCs w:val="22"/>
          <w:u w:val="none"/>
          <w:shd w:fill="auto" w:val="clear"/>
        </w:rPr>
        <w:t>.</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O fornecimento será regulado por Ata especifica para cada Item ou por documento compatível a ser firmado entre as partes.</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A ATA</w:t>
      </w:r>
      <w:r>
        <w:rPr>
          <w:rFonts w:cs="Arial" w:ascii="Arial" w:hAnsi="Arial"/>
          <w:b w:val="false"/>
          <w:bCs w:val="false"/>
          <w:color w:val="000000"/>
          <w:sz w:val="22"/>
          <w:szCs w:val="22"/>
          <w:shd w:fill="auto" w:val="clear"/>
        </w:rPr>
        <w:t xml:space="preserve"> ou documento equivalente deverá ter vigência mínima de 12 (doze) meses, com possibilidade de renovação, nos mesmos termos e quantidades, exclusivamente por Interesse da Administração e de acordo com a legislação vigente, </w:t>
      </w:r>
      <w:r>
        <w:rPr>
          <w:rFonts w:eastAsia="Arial" w:cs="Arial" w:ascii="Arial" w:hAnsi="Arial"/>
          <w:b w:val="false"/>
          <w:bCs w:val="false"/>
          <w:i w:val="false"/>
          <w:color w:val="000000"/>
          <w:sz w:val="22"/>
          <w:szCs w:val="22"/>
          <w:shd w:fill="auto" w:val="clear"/>
        </w:rPr>
        <w:t>conforme as descrições contidas individualmente neste Termo de Referência e em seu Anexo I, prevalecendo para todos os fins os descritos nestes.</w:t>
      </w:r>
      <w:r>
        <w:rPr>
          <w:rFonts w:cs="Arial" w:ascii="Arial" w:hAnsi="Arial"/>
          <w:color w:val="000000"/>
          <w:sz w:val="22"/>
          <w:szCs w:val="22"/>
          <w:shd w:fill="auto" w:val="clear"/>
        </w:rPr>
        <w:tab/>
      </w:r>
    </w:p>
    <w:p>
      <w:pPr>
        <w:pStyle w:val="Normal"/>
        <w:numPr>
          <w:ilvl w:val="0"/>
          <w:numId w:val="2"/>
        </w:numPr>
        <w:spacing w:lineRule="auto" w:line="276" w:before="0" w:after="0"/>
        <w:jc w:val="both"/>
        <w:rPr/>
      </w:pPr>
      <w:r>
        <w:rPr>
          <w:rFonts w:cs="Arial" w:ascii="Arial" w:hAnsi="Arial"/>
          <w:color w:val="000000"/>
          <w:sz w:val="22"/>
          <w:szCs w:val="22"/>
          <w:shd w:fill="auto" w:val="clear"/>
        </w:rPr>
        <w:t xml:space="preserve">A contratação será realizada </w:t>
      </w:r>
      <w:r>
        <w:rPr>
          <w:rStyle w:val="Strong"/>
          <w:rFonts w:cs="Arial" w:ascii="Arial" w:hAnsi="Arial"/>
          <w:b w:val="false"/>
          <w:bCs w:val="false"/>
          <w:color w:val="000000"/>
          <w:sz w:val="22"/>
          <w:szCs w:val="22"/>
          <w:shd w:fill="auto" w:val="clear"/>
        </w:rPr>
        <w:t>por Item</w:t>
      </w:r>
      <w:r>
        <w:rPr>
          <w:rFonts w:cs="Arial" w:ascii="Arial" w:hAnsi="Arial"/>
          <w:color w:val="000000"/>
          <w:sz w:val="22"/>
          <w:szCs w:val="22"/>
          <w:shd w:fill="auto" w:val="clear"/>
        </w:rPr>
        <w:t>, considerando que cada especificação de luminária LED apresenta características técnicas próprias, relacionadas à potência, aplicação e finalidade distintas e devidamente descritas no Anexo I.</w:t>
      </w:r>
    </w:p>
    <w:p>
      <w:pPr>
        <w:pStyle w:val="Corpodotexto"/>
        <w:numPr>
          <w:ilvl w:val="0"/>
          <w:numId w:val="2"/>
        </w:numPr>
        <w:spacing w:lineRule="auto" w:line="276" w:before="0" w:after="0"/>
        <w:jc w:val="both"/>
        <w:rPr/>
      </w:pPr>
      <w:r>
        <w:rPr>
          <w:rStyle w:val="Strong"/>
          <w:rFonts w:cs="Arial" w:ascii="Arial" w:hAnsi="Arial"/>
          <w:b w:val="false"/>
          <w:bCs w:val="false"/>
          <w:strike w:val="false"/>
          <w:dstrike w:val="false"/>
          <w:color w:val="000000"/>
          <w:sz w:val="22"/>
          <w:szCs w:val="22"/>
          <w:u w:val="none"/>
          <w:shd w:fill="auto" w:val="clear"/>
        </w:rPr>
        <w:t>Essa forma de estruturação tem por objetivo assegurar maior competitividade, permitindo que fornecedores apresentem propostas específicas conforme sua capacidade técnica e de fornecimento, além de garantir transparência e vantajosidade no processo licitatório.</w:t>
      </w:r>
    </w:p>
    <w:p>
      <w:pPr>
        <w:pStyle w:val="Corpodotexto"/>
        <w:numPr>
          <w:ilvl w:val="0"/>
          <w:numId w:val="2"/>
        </w:numPr>
        <w:spacing w:lineRule="auto" w:line="276" w:before="0" w:after="0"/>
        <w:jc w:val="both"/>
        <w:rPr>
          <w:rFonts w:ascii="Arial" w:hAnsi="Arial" w:eastAsia="Calibri" w:cs="Arial"/>
          <w:b w:val="false"/>
          <w:bCs w:val="false"/>
          <w:strike w:val="false"/>
          <w:dstrike w:val="false"/>
          <w:color w:val="000000"/>
          <w:sz w:val="22"/>
          <w:szCs w:val="22"/>
          <w:highlight w:val="none"/>
          <w:u w:val="none"/>
          <w:shd w:fill="auto" w:val="clear"/>
          <w:lang w:val="pt-BR" w:eastAsia="pt-BR"/>
        </w:rPr>
      </w:pPr>
      <w:r>
        <w:rPr>
          <w:rFonts w:eastAsia="Calibri" w:cs="Arial" w:ascii="Arial" w:hAnsi="Arial"/>
          <w:b w:val="false"/>
          <w:bCs w:val="false"/>
          <w:strike w:val="false"/>
          <w:dstrike w:val="false"/>
          <w:color w:val="000000"/>
          <w:sz w:val="22"/>
          <w:szCs w:val="22"/>
          <w:u w:val="none"/>
          <w:shd w:fill="auto" w:val="clear"/>
          <w:lang w:val="pt-BR" w:eastAsia="pt-BR"/>
        </w:rPr>
      </w:r>
    </w:p>
    <w:p>
      <w:pPr>
        <w:pStyle w:val="Ttulo3"/>
        <w:numPr>
          <w:ilvl w:val="2"/>
          <w:numId w:val="2"/>
        </w:numPr>
        <w:spacing w:lineRule="auto" w:line="276" w:before="0" w:after="0"/>
        <w:ind w:left="0" w:right="0" w:hanging="0"/>
        <w:jc w:val="both"/>
        <w:rPr/>
      </w:pPr>
      <w:r>
        <w:rPr>
          <w:rStyle w:val="Strong"/>
          <w:rFonts w:eastAsia="Times New Roman" w:cs="Arial" w:ascii="Arial" w:hAnsi="Arial"/>
          <w:b/>
          <w:bCs/>
          <w:color w:val="000000"/>
          <w:sz w:val="22"/>
          <w:szCs w:val="22"/>
          <w:shd w:fill="auto" w:val="clear"/>
        </w:rPr>
        <w:t>4.1 DAS JUSTIFICATIVAS</w:t>
      </w:r>
    </w:p>
    <w:p>
      <w:pPr>
        <w:pStyle w:val="Corpodotexto"/>
        <w:numPr>
          <w:ilvl w:val="0"/>
          <w:numId w:val="2"/>
        </w:numPr>
        <w:spacing w:lineRule="auto" w:line="276" w:before="0" w:after="0"/>
        <w:jc w:val="both"/>
        <w:rPr/>
      </w:pPr>
      <w:r>
        <w:rPr>
          <w:rFonts w:cs="Arial" w:ascii="Arial" w:hAnsi="Arial"/>
          <w:color w:val="000000"/>
          <w:sz w:val="22"/>
          <w:szCs w:val="22"/>
          <w:shd w:fill="auto" w:val="clear"/>
        </w:rPr>
        <w:t xml:space="preserve">A adoção da </w:t>
      </w:r>
      <w:r>
        <w:rPr>
          <w:rStyle w:val="Strong"/>
          <w:rFonts w:cs="Arial" w:ascii="Arial" w:hAnsi="Arial"/>
          <w:color w:val="000000"/>
          <w:sz w:val="22"/>
          <w:szCs w:val="22"/>
          <w:shd w:fill="auto" w:val="clear"/>
        </w:rPr>
        <w:t>contratação por item</w:t>
      </w:r>
      <w:r>
        <w:rPr>
          <w:rFonts w:cs="Arial" w:ascii="Arial" w:hAnsi="Arial"/>
          <w:color w:val="000000"/>
          <w:sz w:val="22"/>
          <w:szCs w:val="22"/>
          <w:shd w:fill="auto" w:val="clear"/>
        </w:rPr>
        <w:t xml:space="preserve"> justifica-se pelos seguintes fatores:</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Especificidades técnicas das luminárias</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color w:val="000000"/>
          <w:sz w:val="22"/>
          <w:szCs w:val="22"/>
          <w:shd w:fill="auto" w:val="clear"/>
        </w:rPr>
        <w:t xml:space="preserve">Cada item corresponde a uma </w:t>
      </w:r>
      <w:r>
        <w:rPr>
          <w:rStyle w:val="Strong"/>
          <w:rFonts w:cs="Arial" w:ascii="Arial" w:hAnsi="Arial"/>
          <w:b w:val="false"/>
          <w:bCs w:val="false"/>
          <w:color w:val="000000"/>
          <w:sz w:val="22"/>
          <w:szCs w:val="22"/>
          <w:shd w:fill="auto" w:val="clear"/>
        </w:rPr>
        <w:t>luminária de potência distinta</w:t>
      </w:r>
      <w:r>
        <w:rPr>
          <w:rStyle w:val="Strong"/>
          <w:rFonts w:cs="Arial" w:ascii="Arial" w:hAnsi="Arial"/>
          <w:color w:val="000000"/>
          <w:sz w:val="22"/>
          <w:szCs w:val="22"/>
          <w:shd w:fill="auto" w:val="clear"/>
        </w:rPr>
        <w:t xml:space="preserve"> (150 W, 120 W, 70 W e 50 W)</w:t>
      </w:r>
      <w:r>
        <w:rPr>
          <w:rFonts w:cs="Arial" w:ascii="Arial" w:hAnsi="Arial"/>
          <w:color w:val="000000"/>
          <w:sz w:val="22"/>
          <w:szCs w:val="22"/>
          <w:shd w:fill="auto" w:val="clear"/>
        </w:rPr>
        <w:t>, voltada a finalidades diferentes, como vias de grande fluxo, áreas residenciais, praças ou espaços públicos de menor porte.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separação por item evita a vinculação de produtos heterogêneos, garantindo que a Administração receba equipamentos adequados a cada realidade de aplicação.</w:t>
      </w:r>
    </w:p>
    <w:p>
      <w:pPr>
        <w:pStyle w:val="Corpodotexto"/>
        <w:numPr>
          <w:ilvl w:val="0"/>
          <w:numId w:val="0"/>
        </w:numPr>
        <w:tabs>
          <w:tab w:val="clear" w:pos="408"/>
          <w:tab w:val="left" w:pos="0" w:leader="none"/>
        </w:tabs>
        <w:spacing w:lineRule="auto" w:line="276" w:before="0" w:after="26"/>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26"/>
        <w:ind w:right="0" w:hanging="0"/>
        <w:jc w:val="both"/>
        <w:rPr/>
      </w:pPr>
      <w:r>
        <w:rPr>
          <w:rStyle w:val="Strong"/>
          <w:rFonts w:cs="Arial" w:ascii="Arial" w:hAnsi="Arial"/>
          <w:color w:val="000000"/>
          <w:sz w:val="22"/>
          <w:szCs w:val="22"/>
          <w:shd w:fill="auto" w:val="clear"/>
        </w:rPr>
        <w:t>Competitividade e economicidade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contratação por item amplia a participação de fornecedores especializados, que poderão ofertar propostas para os itens em que possuam melhores condições de fornecimento.</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Isso contribui para a </w:t>
      </w:r>
      <w:r>
        <w:rPr>
          <w:rStyle w:val="Strong"/>
          <w:rFonts w:cs="Arial" w:ascii="Arial" w:hAnsi="Arial"/>
          <w:b w:val="false"/>
          <w:bCs w:val="false"/>
          <w:color w:val="000000"/>
          <w:sz w:val="22"/>
          <w:szCs w:val="22"/>
          <w:shd w:fill="auto" w:val="clear"/>
        </w:rPr>
        <w:t>ampliação da concorrência, neste caso, sem prejuízo a administração</w:t>
      </w:r>
      <w:r>
        <w:rPr>
          <w:rFonts w:cs="Arial" w:ascii="Arial" w:hAnsi="Arial"/>
          <w:b w:val="false"/>
          <w:bCs w:val="false"/>
          <w:color w:val="000000"/>
          <w:sz w:val="22"/>
          <w:szCs w:val="22"/>
          <w:shd w:fill="auto" w:val="clear"/>
        </w:rPr>
        <w:t xml:space="preserve"> e a obtenção de </w:t>
      </w:r>
      <w:r>
        <w:rPr>
          <w:rStyle w:val="Strong"/>
          <w:rFonts w:cs="Arial" w:ascii="Arial" w:hAnsi="Arial"/>
          <w:b w:val="false"/>
          <w:bCs w:val="false"/>
          <w:color w:val="000000"/>
          <w:sz w:val="22"/>
          <w:szCs w:val="22"/>
          <w:shd w:fill="auto" w:val="clear"/>
        </w:rPr>
        <w:t>preços mais vantajosos</w:t>
      </w:r>
      <w:r>
        <w:rPr>
          <w:rFonts w:cs="Arial" w:ascii="Arial" w:hAnsi="Arial"/>
          <w:b w:val="false"/>
          <w:bCs w:val="false"/>
          <w:color w:val="000000"/>
          <w:sz w:val="22"/>
          <w:szCs w:val="22"/>
          <w:shd w:fill="auto" w:val="clear"/>
        </w:rPr>
        <w:t>, evitando a concentração do objeto em um único fornecedor.</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Padronização e fiscalização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Reduz riscos de divergências de especificações, falhas operacionais e custos adicionais de manutenção.</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de desabastecimento e fracasso parcial</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O fracionamento por item diminui a possibilidade de </w:t>
      </w:r>
      <w:r>
        <w:rPr>
          <w:rStyle w:val="Strong"/>
          <w:rFonts w:cs="Arial" w:ascii="Arial" w:hAnsi="Arial"/>
          <w:b w:val="false"/>
          <w:bCs w:val="false"/>
          <w:color w:val="000000"/>
          <w:sz w:val="22"/>
          <w:szCs w:val="22"/>
          <w:shd w:fill="auto" w:val="clear"/>
        </w:rPr>
        <w:t>fracasso parcial do certame</w:t>
      </w:r>
      <w:r>
        <w:rPr>
          <w:rFonts w:cs="Arial" w:ascii="Arial" w:hAnsi="Arial"/>
          <w:b w:val="false"/>
          <w:bCs w:val="false"/>
          <w:color w:val="000000"/>
          <w:sz w:val="22"/>
          <w:szCs w:val="22"/>
          <w:shd w:fill="auto" w:val="clear"/>
        </w:rPr>
        <w:t>, já que a ausência de propostas em um item não inviabiliza os demais.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Essa estratégia garante que a Administração não fique desatendida em suas necessidades, assegurando a continuidade dos serviços essenciais de iluminação pública.</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Eficiência administrativa</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Embora o Município disponha de quadro de pessoal limitado para a gestão e fiscalização contratual, o </w:t>
      </w:r>
      <w:r>
        <w:rPr>
          <w:rStyle w:val="Strong"/>
          <w:rFonts w:cs="Arial" w:ascii="Arial" w:hAnsi="Arial"/>
          <w:b w:val="false"/>
          <w:bCs w:val="false"/>
          <w:color w:val="000000"/>
          <w:sz w:val="22"/>
          <w:szCs w:val="22"/>
          <w:shd w:fill="auto" w:val="clear"/>
        </w:rPr>
        <w:t>reduzido número de itens,</w:t>
      </w:r>
      <w:r>
        <w:rPr>
          <w:rFonts w:cs="Arial" w:ascii="Arial" w:hAnsi="Arial"/>
          <w:b w:val="false"/>
          <w:bCs w:val="false"/>
          <w:color w:val="000000"/>
          <w:sz w:val="22"/>
          <w:szCs w:val="22"/>
          <w:shd w:fill="auto" w:val="clear"/>
        </w:rPr>
        <w:t xml:space="preserve"> objeto da presente contratação, </w:t>
      </w:r>
      <w:r>
        <w:rPr>
          <w:rStyle w:val="Strong"/>
          <w:rFonts w:cs="Arial" w:ascii="Arial" w:hAnsi="Arial"/>
          <w:b w:val="false"/>
          <w:bCs w:val="false"/>
          <w:color w:val="000000"/>
          <w:sz w:val="22"/>
          <w:szCs w:val="22"/>
          <w:shd w:fill="auto" w:val="clear"/>
        </w:rPr>
        <w:t>não compromete a boa execução da gestão</w:t>
      </w:r>
      <w:r>
        <w:rPr>
          <w:rFonts w:cs="Arial" w:ascii="Arial" w:hAnsi="Arial"/>
          <w:b w:val="false"/>
          <w:bCs w:val="false"/>
          <w:color w:val="000000"/>
          <w:sz w:val="22"/>
          <w:szCs w:val="22"/>
          <w:shd w:fill="auto" w:val="clear"/>
        </w:rPr>
        <w:t>, permitindo adequado acompanhamento, recebimento e controle da execução contratual.</w:t>
      </w:r>
    </w:p>
    <w:p>
      <w:pPr>
        <w:pStyle w:val="Corpodotexto"/>
        <w:numPr>
          <w:ilvl w:val="0"/>
          <w:numId w:val="2"/>
        </w:numPr>
        <w:spacing w:lineRule="auto" w:line="276" w:before="0" w:after="0"/>
        <w:jc w:val="both"/>
        <w:rPr/>
      </w:pPr>
      <w:r>
        <w:rPr>
          <w:rStyle w:val="Strong"/>
          <w:rFonts w:cs="Arial" w:ascii="Arial" w:hAnsi="Arial"/>
          <w:b w:val="false"/>
          <w:bCs w:val="false"/>
          <w:strike w:val="false"/>
          <w:dstrike w:val="false"/>
          <w:color w:val="000000"/>
          <w:sz w:val="22"/>
          <w:szCs w:val="22"/>
          <w:u w:val="none"/>
          <w:shd w:fill="auto" w:val="clear"/>
        </w:rPr>
        <w:t>Dessa forma, a adoção do modelo de contratação por item mostra-se a solução mais adequada na presente solicitação, pois equilibra competitividade, eficiência e qualidade, além de garantir maior efetividade na aplicação dos recursos públicos, com atendimento mais amplo e transparente ao interesse coletivo.</w:t>
      </w:r>
      <w:r>
        <w:rPr>
          <w:rStyle w:val="Strong"/>
          <w:rFonts w:cs="Arial" w:ascii="Arial" w:hAnsi="Arial"/>
          <w:strike w:val="false"/>
          <w:dstrike w:val="false"/>
          <w:color w:val="000000"/>
          <w:sz w:val="22"/>
          <w:szCs w:val="22"/>
          <w:u w:val="none"/>
          <w:shd w:fill="auto" w:val="clear"/>
        </w:rPr>
        <w:tab/>
      </w:r>
    </w:p>
    <w:p>
      <w:pPr>
        <w:pStyle w:val="Corpodotexto"/>
        <w:numPr>
          <w:ilvl w:val="0"/>
          <w:numId w:val="2"/>
        </w:numPr>
        <w:spacing w:lineRule="auto" w:line="276" w:before="0" w:after="0"/>
        <w:jc w:val="both"/>
        <w:rPr/>
      </w:pPr>
      <w:r>
        <w:rPr>
          <w:rStyle w:val="Strong"/>
          <w:rFonts w:cs="Arial" w:ascii="Arial" w:hAnsi="Arial"/>
          <w:b w:val="false"/>
          <w:bCs w:val="false"/>
          <w:strike w:val="false"/>
          <w:dstrike w:val="false"/>
          <w:color w:val="000000"/>
          <w:sz w:val="22"/>
          <w:szCs w:val="22"/>
          <w:u w:val="none"/>
          <w:shd w:fill="auto" w:val="clear"/>
        </w:rPr>
        <w:t>Além de atender às especificações técnicas descritas neste Termo de Referência e em seu Anexo I, a empresa contratada fica ciente de que deverá cumprir, obrigatoriamente, os seguintes requisitos: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Apresentação de </w:t>
      </w:r>
      <w:r>
        <w:rPr>
          <w:rStyle w:val="Strong"/>
          <w:rFonts w:cs="Arial" w:ascii="Arial" w:hAnsi="Arial"/>
          <w:b w:val="false"/>
          <w:bCs w:val="false"/>
          <w:color w:val="000000"/>
          <w:sz w:val="22"/>
          <w:szCs w:val="22"/>
          <w:shd w:fill="auto" w:val="clear"/>
        </w:rPr>
        <w:t>declaração simples</w:t>
      </w:r>
      <w:r>
        <w:rPr>
          <w:rFonts w:cs="Arial" w:ascii="Arial" w:hAnsi="Arial"/>
          <w:b w:val="false"/>
          <w:bCs w:val="false"/>
          <w:color w:val="000000"/>
          <w:sz w:val="22"/>
          <w:szCs w:val="22"/>
          <w:shd w:fill="auto" w:val="clear"/>
        </w:rPr>
        <w:t xml:space="preserve"> acerca de sua estrutura operacional, logística e de pessoal, compatível com o objeto contratado;</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Atendimento integral à legislação ambiental vigente</w:t>
      </w:r>
      <w:r>
        <w:rPr>
          <w:rFonts w:cs="Arial" w:ascii="Arial" w:hAnsi="Arial"/>
          <w:b w:val="false"/>
          <w:bCs w:val="false"/>
          <w:color w:val="000000"/>
          <w:sz w:val="22"/>
          <w:szCs w:val="22"/>
          <w:shd w:fill="auto" w:val="clear"/>
        </w:rPr>
        <w:t xml:space="preserve">, com comprovação documental do cumprimento da </w:t>
      </w:r>
      <w:r>
        <w:rPr>
          <w:rStyle w:val="Strong"/>
          <w:rFonts w:cs="Arial" w:ascii="Arial" w:hAnsi="Arial"/>
          <w:b w:val="false"/>
          <w:bCs w:val="false"/>
          <w:color w:val="000000"/>
          <w:sz w:val="22"/>
          <w:szCs w:val="22"/>
          <w:shd w:fill="auto" w:val="clear"/>
        </w:rPr>
        <w:t>logística reversa</w:t>
      </w:r>
      <w:r>
        <w:rPr>
          <w:rFonts w:cs="Arial" w:ascii="Arial" w:hAnsi="Arial"/>
          <w:b w:val="false"/>
          <w:bCs w:val="false"/>
          <w:color w:val="000000"/>
          <w:sz w:val="22"/>
          <w:szCs w:val="22"/>
          <w:shd w:fill="auto" w:val="clear"/>
        </w:rPr>
        <w:t>, nos termos da Lei nº 12.305/2010 (Política Nacional de Resíduos Sólidos);</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Vedação à subcontratação</w:t>
      </w:r>
      <w:r>
        <w:rPr>
          <w:rFonts w:cs="Arial" w:ascii="Arial" w:hAnsi="Arial"/>
          <w:b w:val="false"/>
          <w:bCs w:val="false"/>
          <w:color w:val="000000"/>
          <w:sz w:val="22"/>
          <w:szCs w:val="22"/>
          <w:shd w:fill="auto" w:val="clear"/>
        </w:rPr>
        <w:t>, sendo de responsabilidade exclusiva da contratada a execução integral do fornecimento objeto deste processo.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Para o atendimento da presente contratação, deverão ser observados os seguintes requisitos mínimos:</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Conformidade com as especificações técnicas</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ITENS deverão atender integralmente às especificações constantes no Anexo I, observando normas técnicas nacionais e, quando aplicável, certificações exigidas por órgãos competentes.</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Qualidade e desempenho</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produtos deverão ser novos, de primeiro uso, livres de defeitos e vícios, apresentando padrões de desempenho compatíveis com as necessidades da Administração e a vida útil prevista para sua categoria.</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Prazo de entrega</w:t>
      </w:r>
    </w:p>
    <w:p>
      <w:pPr>
        <w:pStyle w:val="Corpodotexto"/>
        <w:numPr>
          <w:ilvl w:val="0"/>
          <w:numId w:val="0"/>
        </w:numPr>
        <w:spacing w:lineRule="auto" w:line="276" w:before="0" w:after="0"/>
        <w:ind w:right="0" w:hanging="0"/>
        <w:jc w:val="both"/>
        <w:rPr/>
      </w:pPr>
      <w:r>
        <w:rPr>
          <w:rFonts w:cs="Arial" w:ascii="Arial" w:hAnsi="Arial"/>
          <w:b w:val="false"/>
          <w:bCs w:val="false"/>
          <w:color w:val="000000"/>
          <w:sz w:val="22"/>
          <w:szCs w:val="22"/>
          <w:shd w:fill="auto" w:val="clear"/>
        </w:rPr>
        <w:t>A entrega deverá ocorrer no prazo máximo de 30 (trinta)</w:t>
      </w:r>
      <w:r>
        <w:rPr>
          <w:rStyle w:val="Strong"/>
          <w:rFonts w:cs="Arial" w:ascii="Arial" w:hAnsi="Arial"/>
          <w:b w:val="false"/>
          <w:bCs w:val="false"/>
          <w:color w:val="000000"/>
          <w:sz w:val="22"/>
          <w:szCs w:val="22"/>
          <w:shd w:fill="auto" w:val="clear"/>
        </w:rPr>
        <w:t xml:space="preserve"> dias corridos</w:t>
      </w:r>
      <w:r>
        <w:rPr>
          <w:rFonts w:cs="Arial" w:ascii="Arial" w:hAnsi="Arial"/>
          <w:b w:val="false"/>
          <w:bCs w:val="false"/>
          <w:color w:val="000000"/>
          <w:sz w:val="22"/>
          <w:szCs w:val="22"/>
          <w:shd w:fill="auto" w:val="clear"/>
        </w:rPr>
        <w:t xml:space="preserve"> a contar da solicitação formal realizada pelos canais oficiais da contratada, a qual, será </w:t>
      </w:r>
      <w:r>
        <w:rPr>
          <w:rStyle w:val="Strong"/>
          <w:rFonts w:cs="Arial" w:ascii="Arial" w:hAnsi="Arial"/>
          <w:b w:val="false"/>
          <w:bCs w:val="false"/>
          <w:color w:val="000000"/>
          <w:sz w:val="22"/>
          <w:szCs w:val="22"/>
          <w:shd w:fill="auto" w:val="clear"/>
        </w:rPr>
        <w:t>considerada recebida independentemente da confirmação de recebimento da Empresa, e ainda, com exclusiva</w:t>
      </w:r>
      <w:r>
        <w:rPr>
          <w:rStyle w:val="Strong"/>
          <w:rFonts w:cs="Arial" w:ascii="Arial" w:hAnsi="Arial"/>
          <w:b w:val="false"/>
          <w:bCs w:val="false"/>
          <w:color w:val="000000"/>
          <w:sz w:val="22"/>
          <w:szCs w:val="22"/>
          <w:shd w:fill="auto" w:val="clear"/>
        </w:rPr>
        <w:t xml:space="preserve"> responsabilidade da fornecedora em manter permanentemente atualizados os canais de comunicação informados à Administração, assegurando o seu acesso diário e a pronta resposta às solicitações enviadas, de forma a garantir o recebimento tempestivo e a continuidade da execução contratual. </w:t>
      </w:r>
      <w:r>
        <w:rPr>
          <w:rFonts w:cs="Arial" w:ascii="Arial" w:hAnsi="Arial"/>
          <w:b w:val="false"/>
          <w:bCs w:val="false"/>
          <w:color w:val="000000"/>
          <w:sz w:val="22"/>
          <w:szCs w:val="22"/>
          <w:shd w:fill="auto" w:val="clear"/>
        </w:rPr>
        <w:t xml:space="preserve"> </w:t>
      </w:r>
    </w:p>
    <w:p>
      <w:pPr>
        <w:pStyle w:val="Corpodotexto"/>
        <w:widowControl/>
        <w:numPr>
          <w:ilvl w:val="0"/>
          <w:numId w:val="0"/>
        </w:numPr>
        <w:tabs>
          <w:tab w:val="clear" w:pos="408"/>
          <w:tab w:val="left" w:pos="0" w:leader="none"/>
        </w:tabs>
        <w:suppressAutoHyphens w:val="true"/>
        <w:overflowPunct w:val="true"/>
        <w:bidi w:val="0"/>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widowControl/>
        <w:numPr>
          <w:ilvl w:val="0"/>
          <w:numId w:val="2"/>
        </w:numPr>
        <w:tabs>
          <w:tab w:val="clear" w:pos="408"/>
          <w:tab w:val="left" w:pos="0" w:leader="none"/>
        </w:tabs>
        <w:suppressAutoHyphens w:val="true"/>
        <w:overflowPunct w:val="true"/>
        <w:bidi w:val="0"/>
        <w:spacing w:lineRule="auto" w:line="276" w:before="0" w:after="0"/>
        <w:ind w:right="0" w:hanging="0"/>
        <w:jc w:val="both"/>
        <w:rPr/>
      </w:pPr>
      <w:r>
        <w:rPr>
          <w:rStyle w:val="Strong"/>
          <w:rFonts w:cs="Arial" w:ascii="Arial" w:hAnsi="Arial"/>
          <w:color w:val="000000"/>
          <w:sz w:val="22"/>
          <w:szCs w:val="22"/>
          <w:shd w:fill="auto" w:val="clear"/>
        </w:rPr>
        <w:t xml:space="preserve">Garantia e vida útil </w:t>
      </w:r>
    </w:p>
    <w:p>
      <w:pPr>
        <w:pStyle w:val="Corpodotexto"/>
        <w:widowControl/>
        <w:numPr>
          <w:ilvl w:val="0"/>
          <w:numId w:val="0"/>
        </w:numPr>
        <w:tabs>
          <w:tab w:val="clear" w:pos="408"/>
          <w:tab w:val="left" w:pos="0" w:leader="none"/>
        </w:tabs>
        <w:suppressAutoHyphens w:val="true"/>
        <w:overflowPunct w:val="true"/>
        <w:bidi w:val="0"/>
        <w:spacing w:lineRule="auto" w:line="276" w:before="57" w:after="57"/>
        <w:ind w:right="0" w:hanging="0"/>
        <w:jc w:val="both"/>
        <w:rPr/>
      </w:pPr>
      <w:r>
        <w:rPr>
          <w:rStyle w:val="Strong"/>
          <w:rFonts w:cs="Arial" w:ascii="Arial" w:hAnsi="Arial"/>
          <w:b w:val="false"/>
          <w:bCs w:val="false"/>
          <w:color w:val="000000"/>
          <w:sz w:val="22"/>
          <w:szCs w:val="22"/>
          <w:shd w:fill="auto" w:val="clear"/>
        </w:rPr>
        <w:t>As luminárias deverão possuir garantia contratual mínima de 5 anos contra defeitos de fabricação, abrangendo reparos, substituições e recolhimento de itens em desconformidade, as quais, deverão ocorrer no prazo máximo de 5 (cinco) dias úteis, podendo este, em casos devidamente justificados, ser prorrogado uma única vez por igual período, sem qualquer ônus adicional ao Município.</w:t>
        <w:br/>
        <w:t>Adicionalmente, deverão apresentar vida útil mínima de 50.000 (cinquenta mil) horas de funcionamento, comprovada por laudos ou certificados técnicos emitidos pelo fabricante, assegurando durabilidade e confiabilidade.</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Apresentação de amostras</w:t>
      </w:r>
    </w:p>
    <w:p>
      <w:pPr>
        <w:pStyle w:val="Corpodotexto"/>
        <w:numPr>
          <w:ilvl w:val="0"/>
          <w:numId w:val="0"/>
        </w:numPr>
        <w:spacing w:lineRule="auto" w:line="276" w:before="0" w:after="0"/>
        <w:ind w:right="0" w:hanging="0"/>
        <w:jc w:val="both"/>
        <w:rPr/>
      </w:pPr>
      <w:r>
        <w:rPr>
          <w:rFonts w:cs="Arial" w:ascii="Arial" w:hAnsi="Arial"/>
          <w:b w:val="false"/>
          <w:bCs w:val="false"/>
          <w:color w:val="000000"/>
          <w:sz w:val="22"/>
          <w:szCs w:val="22"/>
          <w:shd w:fill="auto" w:val="clear"/>
        </w:rPr>
        <w:t xml:space="preserve">A empresa vencedora deverá apresentar, no prazo de </w:t>
      </w:r>
      <w:r>
        <w:rPr>
          <w:rStyle w:val="Strong"/>
          <w:rFonts w:cs="Arial" w:ascii="Arial" w:hAnsi="Arial"/>
          <w:b w:val="false"/>
          <w:bCs w:val="false"/>
          <w:color w:val="000000"/>
          <w:sz w:val="22"/>
          <w:szCs w:val="22"/>
          <w:shd w:fill="auto" w:val="clear"/>
        </w:rPr>
        <w:t>5 (cinco) dias úteis</w:t>
      </w:r>
      <w:r>
        <w:rPr>
          <w:rFonts w:cs="Arial" w:ascii="Arial" w:hAnsi="Arial"/>
          <w:b w:val="false"/>
          <w:bCs w:val="false"/>
          <w:color w:val="000000"/>
          <w:sz w:val="22"/>
          <w:szCs w:val="22"/>
          <w:shd w:fill="auto" w:val="clear"/>
        </w:rPr>
        <w:t xml:space="preserve"> após a decretação do resultado, </w:t>
      </w:r>
      <w:r>
        <w:rPr>
          <w:rStyle w:val="Strong"/>
          <w:rFonts w:cs="Arial" w:ascii="Arial" w:hAnsi="Arial"/>
          <w:b w:val="false"/>
          <w:bCs w:val="false"/>
          <w:color w:val="000000"/>
          <w:sz w:val="22"/>
          <w:szCs w:val="22"/>
          <w:shd w:fill="auto" w:val="clear"/>
        </w:rPr>
        <w:t>fôlder, catálogo técnico ou ficha técnica oficial do fabricante</w:t>
      </w:r>
      <w:r>
        <w:rPr>
          <w:rFonts w:cs="Arial" w:ascii="Arial" w:hAnsi="Arial"/>
          <w:b w:val="false"/>
          <w:bCs w:val="false"/>
          <w:color w:val="000000"/>
          <w:sz w:val="22"/>
          <w:szCs w:val="22"/>
          <w:shd w:fill="auto" w:val="clear"/>
        </w:rPr>
        <w:t xml:space="preserve"> referente aos itens ofertados, contendo de forma clara as características, especificações e certificações que comprovem a conformidade com as exigências deste Termo de Referência.</w:t>
      </w:r>
    </w:p>
    <w:p>
      <w:pPr>
        <w:pStyle w:val="Corpodotexto"/>
        <w:widowControl/>
        <w:numPr>
          <w:ilvl w:val="0"/>
          <w:numId w:val="0"/>
        </w:numPr>
        <w:suppressAutoHyphens w:val="true"/>
        <w:overflowPunct w:val="true"/>
        <w:bidi w:val="0"/>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análise e aprovação da documentação apresentada serão realizadas pela fiscalização designada, como condição prévia à adjudicação e à assinatura do contrato ou documento equivalente.</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Execução sem custos adicionais</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Todo o fornecimento deverá ser executado sem qualquer custo adicional ao valor proposto pela Fornecedora, incluindo transporte, embalagens, carga, descarga, tributos, encargos e demais despesas necessárias ao cumprimento do contrato.</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Responsabilidade da contratada</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Cumprimento integral das responsabilidades previstas na legislação vigente, no edital, no contrato ou documento equivalente escolhido, inclusive quanto à regularidade fiscal, trabalhista e de segurança do trabalho.</w:t>
      </w:r>
    </w:p>
    <w:p>
      <w:pPr>
        <w:pStyle w:val="Corpodotexto"/>
        <w:numPr>
          <w:ilvl w:val="0"/>
          <w:numId w:val="0"/>
        </w:numPr>
        <w:tabs>
          <w:tab w:val="clear" w:pos="408"/>
          <w:tab w:val="left" w:pos="0" w:leader="none"/>
        </w:tabs>
        <w:spacing w:lineRule="auto" w:line="276" w:before="0" w:after="0"/>
        <w:ind w:right="0" w:hanging="0"/>
        <w:jc w:val="both"/>
        <w:rPr>
          <w:rFonts w:cs="Arial"/>
          <w:b/>
          <w:bCs/>
        </w:rPr>
      </w:pPr>
      <w:r>
        <w:rPr>
          <w:rFonts w:ascii="Arial" w:hAnsi="Arial"/>
          <w:color w:val="000000"/>
          <w:sz w:val="22"/>
          <w:szCs w:val="22"/>
          <w:shd w:fill="auto" w:val="clear"/>
        </w:rPr>
      </w:r>
    </w:p>
    <w:p>
      <w:pPr>
        <w:pStyle w:val="Corpodotexto"/>
        <w:numPr>
          <w:ilvl w:val="0"/>
          <w:numId w:val="2"/>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Regularidade Fiscal e Habilitação Técnica</w:t>
      </w:r>
    </w:p>
    <w:p>
      <w:pPr>
        <w:pStyle w:val="Corpodotexto"/>
        <w:numPr>
          <w:ilvl w:val="0"/>
          <w:numId w:val="0"/>
        </w:numPr>
        <w:spacing w:lineRule="auto" w:line="276" w:before="0" w:after="0"/>
        <w:ind w:right="0" w:hanging="0"/>
        <w:jc w:val="both"/>
        <w:rPr/>
      </w:pPr>
      <w:r>
        <w:rPr>
          <w:rFonts w:cs="Arial" w:ascii="Arial" w:hAnsi="Arial"/>
          <w:b w:val="false"/>
          <w:bCs w:val="false"/>
          <w:color w:val="000000"/>
          <w:sz w:val="22"/>
          <w:szCs w:val="22"/>
          <w:shd w:fill="auto" w:val="clear"/>
        </w:rPr>
        <w:t xml:space="preserve">A licitante vencedora deverá comprovar e manter, durante toda a vigência contratual, </w:t>
      </w:r>
      <w:r>
        <w:rPr>
          <w:rStyle w:val="Strong"/>
          <w:rFonts w:cs="Arial" w:ascii="Arial" w:hAnsi="Arial"/>
          <w:b w:val="false"/>
          <w:bCs w:val="false"/>
          <w:color w:val="000000"/>
          <w:sz w:val="22"/>
          <w:szCs w:val="22"/>
          <w:shd w:fill="auto" w:val="clear"/>
        </w:rPr>
        <w:t>regularidade fiscal</w:t>
      </w:r>
      <w:r>
        <w:rPr>
          <w:rFonts w:cs="Arial" w:ascii="Arial" w:hAnsi="Arial"/>
          <w:b w:val="false"/>
          <w:bCs w:val="false"/>
          <w:color w:val="000000"/>
          <w:sz w:val="22"/>
          <w:szCs w:val="22"/>
          <w:shd w:fill="auto" w:val="clear"/>
        </w:rPr>
        <w:t xml:space="preserve"> e </w:t>
      </w:r>
      <w:r>
        <w:rPr>
          <w:rStyle w:val="Strong"/>
          <w:rFonts w:cs="Arial" w:ascii="Arial" w:hAnsi="Arial"/>
          <w:b w:val="false"/>
          <w:bCs w:val="false"/>
          <w:color w:val="000000"/>
          <w:sz w:val="22"/>
          <w:szCs w:val="22"/>
          <w:shd w:fill="auto" w:val="clear"/>
        </w:rPr>
        <w:t>habilitação técnica</w:t>
      </w:r>
      <w:r>
        <w:rPr>
          <w:rFonts w:cs="Arial" w:ascii="Arial" w:hAnsi="Arial"/>
          <w:b w:val="false"/>
          <w:bCs w:val="false"/>
          <w:color w:val="000000"/>
          <w:sz w:val="22"/>
          <w:szCs w:val="22"/>
          <w:shd w:fill="auto" w:val="clear"/>
        </w:rPr>
        <w:t xml:space="preserve"> compatível com o objeto licitado, mediante apresentação de documentos exigidos no edital, sob pena de aplicação das sanções previstas em lei e</w:t>
      </w:r>
      <w:r>
        <w:rPr>
          <w:rFonts w:cs="Arial" w:ascii="Arial" w:hAnsi="Arial"/>
          <w:color w:val="000000"/>
          <w:sz w:val="22"/>
          <w:szCs w:val="22"/>
          <w:shd w:fill="auto" w:val="clear"/>
        </w:rPr>
        <w:t xml:space="preserve"> de forma obrigatória, </w:t>
      </w:r>
      <w:r>
        <w:rPr>
          <w:rStyle w:val="Strong"/>
          <w:rFonts w:cs="Arial" w:ascii="Arial" w:hAnsi="Arial"/>
          <w:color w:val="000000"/>
          <w:sz w:val="22"/>
          <w:szCs w:val="22"/>
          <w:shd w:fill="auto" w:val="clear"/>
        </w:rPr>
        <w:t>toda a documentação técnica e os arquivos especificados no Anexo I</w:t>
      </w:r>
      <w:r>
        <w:rPr>
          <w:rFonts w:cs="Arial" w:ascii="Arial" w:hAnsi="Arial"/>
          <w:color w:val="000000"/>
          <w:sz w:val="22"/>
          <w:szCs w:val="22"/>
          <w:shd w:fill="auto" w:val="clear"/>
        </w:rPr>
        <w:t xml:space="preserve"> deste Termo de Referência, devidamente atualizados e em conformidade com as normas aplicáveis. Além disso, deverá manter-se à disposição da Administração para o </w:t>
      </w:r>
      <w:r>
        <w:rPr>
          <w:rStyle w:val="Strong"/>
          <w:rFonts w:cs="Arial" w:ascii="Arial" w:hAnsi="Arial"/>
          <w:color w:val="000000"/>
          <w:sz w:val="22"/>
          <w:szCs w:val="22"/>
          <w:shd w:fill="auto" w:val="clear"/>
        </w:rPr>
        <w:t>envio imediato de quaisquer documentos complementares</w:t>
      </w:r>
      <w:r>
        <w:rPr>
          <w:rFonts w:cs="Arial" w:ascii="Arial" w:hAnsi="Arial"/>
          <w:color w:val="000000"/>
          <w:sz w:val="22"/>
          <w:szCs w:val="22"/>
          <w:shd w:fill="auto" w:val="clear"/>
        </w:rPr>
        <w:t xml:space="preserve"> que o corpo técnico responsável pela análise e fiscalização entender necessários, assegurando a plena verificação da conformidade dos materiais e a rastreabilidade das informações apresentadas. </w:t>
      </w:r>
    </w:p>
    <w:p>
      <w:pPr>
        <w:pStyle w:val="Corpodotexto"/>
        <w:numPr>
          <w:ilvl w:val="0"/>
          <w:numId w:val="2"/>
        </w:numPr>
        <w:spacing w:lineRule="auto" w:line="276" w:before="0" w:after="0"/>
        <w:ind w:left="1418" w:right="0" w:hanging="0"/>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4.1 REGULARIDADE FISCAL</w:t>
      </w:r>
    </w:p>
    <w:p>
      <w:pPr>
        <w:pStyle w:val="Corpodotexto"/>
        <w:numPr>
          <w:ilvl w:val="0"/>
          <w:numId w:val="2"/>
        </w:numPr>
        <w:spacing w:lineRule="auto" w:line="276" w:before="0" w:after="0"/>
        <w:ind w:right="0" w:hanging="0"/>
        <w:jc w:val="both"/>
        <w:rPr/>
      </w:pPr>
      <w:r>
        <w:rPr>
          <w:rFonts w:eastAsia="Arial" w:cs="Arial" w:ascii="Arial" w:hAnsi="Arial"/>
          <w:b w:val="false"/>
          <w:bCs w:val="false"/>
          <w:color w:val="000000"/>
          <w:sz w:val="22"/>
          <w:szCs w:val="22"/>
          <w:shd w:fill="auto" w:val="clear"/>
        </w:rPr>
        <w:t xml:space="preserve">Nos termos do disposto no </w:t>
      </w:r>
      <w:r>
        <w:rPr>
          <w:rStyle w:val="Strong"/>
          <w:rFonts w:eastAsia="Arial" w:cs="Arial" w:ascii="Arial" w:hAnsi="Arial"/>
          <w:b w:val="false"/>
          <w:bCs w:val="false"/>
          <w:color w:val="000000"/>
          <w:sz w:val="22"/>
          <w:szCs w:val="22"/>
          <w:shd w:fill="auto" w:val="clear"/>
        </w:rPr>
        <w:t>art. 62</w:t>
      </w:r>
      <w:r>
        <w:rPr>
          <w:rFonts w:eastAsia="Arial" w:cs="Arial" w:ascii="Arial" w:hAnsi="Arial"/>
          <w:b w:val="false"/>
          <w:bCs w:val="false"/>
          <w:color w:val="000000"/>
          <w:sz w:val="22"/>
          <w:szCs w:val="22"/>
          <w:shd w:fill="auto" w:val="clear"/>
        </w:rPr>
        <w:t xml:space="preserve"> da </w:t>
      </w:r>
      <w:r>
        <w:rPr>
          <w:rStyle w:val="Strong"/>
          <w:rFonts w:eastAsia="Arial" w:cs="Arial" w:ascii="Arial" w:hAnsi="Arial"/>
          <w:b w:val="false"/>
          <w:bCs w:val="false"/>
          <w:color w:val="000000"/>
          <w:sz w:val="22"/>
          <w:szCs w:val="22"/>
          <w:shd w:fill="auto" w:val="clear"/>
        </w:rPr>
        <w:t>Lei Federal nº 14.133/2021</w:t>
      </w:r>
      <w:r>
        <w:rPr>
          <w:rFonts w:eastAsia="Arial" w:cs="Arial" w:ascii="Arial" w:hAnsi="Arial"/>
          <w:b w:val="false"/>
          <w:bCs w:val="false"/>
          <w:color w:val="000000"/>
          <w:sz w:val="22"/>
          <w:szCs w:val="22"/>
          <w:shd w:fill="auto" w:val="clear"/>
        </w:rPr>
        <w:t xml:space="preserve">, a habilitação fiscal e trabalhista dos licitantes deverá ser verificada mediante a apresentação de documentos hábeis a comprovar a regularidade da empresa junto aos órgãos federais, estaduais, municipais, trabalhistas e previdenciários sendo exigidos, obrigatoriamente, </w:t>
      </w:r>
      <w:r>
        <w:rPr>
          <w:rStyle w:val="Strong"/>
          <w:rFonts w:eastAsia="Arial" w:cs="Arial" w:ascii="Arial" w:hAnsi="Arial"/>
          <w:b w:val="false"/>
          <w:bCs w:val="false"/>
          <w:color w:val="000000"/>
          <w:sz w:val="22"/>
          <w:szCs w:val="22"/>
          <w:shd w:fill="auto" w:val="clear"/>
        </w:rPr>
        <w:t>dentro do prazo de validade e relativos à sede ou domicílio do proponente</w:t>
      </w:r>
      <w:r>
        <w:rPr>
          <w:rFonts w:eastAsia="Arial" w:cs="Arial" w:ascii="Arial" w:hAnsi="Arial"/>
          <w:b w:val="false"/>
          <w:bCs w:val="false"/>
          <w:color w:val="000000"/>
          <w:sz w:val="22"/>
          <w:szCs w:val="22"/>
          <w:shd w:fill="auto" w:val="clear"/>
        </w:rPr>
        <w:t xml:space="preserve"> os seguintes documentos:</w:t>
        <w:tab/>
      </w:r>
    </w:p>
    <w:p>
      <w:pPr>
        <w:pStyle w:val="Normal"/>
        <w:numPr>
          <w:ilvl w:val="0"/>
          <w:numId w:val="2"/>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Prova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regularidade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relativa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Fundo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Garantia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por</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Tempo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Serviço</w:t>
      </w:r>
      <w:r>
        <w:rPr>
          <w:rFonts w:eastAsia="Arial" w:cs="Arial" w:ascii="Arial" w:hAnsi="Arial"/>
          <w:color w:val="000000"/>
          <w:sz w:val="22"/>
          <w:szCs w:val="22"/>
          <w:shd w:fill="auto" w:val="clear"/>
        </w:rPr>
        <w:t xml:space="preserve"> – </w:t>
      </w:r>
      <w:r>
        <w:rPr>
          <w:rFonts w:cs="Arial" w:ascii="Arial" w:hAnsi="Arial"/>
          <w:color w:val="000000"/>
          <w:sz w:val="22"/>
          <w:szCs w:val="22"/>
          <w:shd w:fill="auto" w:val="clear"/>
        </w:rPr>
        <w:t>FGTS,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emitida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pela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Caixa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Econômica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Federal,</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lang w:eastAsia="zxx" w:bidi="zxx"/>
        </w:rPr>
        <w:t>dentro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seu</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período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validade;</w:t>
      </w:r>
    </w:p>
    <w:p>
      <w:pPr>
        <w:pStyle w:val="Normal"/>
        <w:numPr>
          <w:ilvl w:val="0"/>
          <w:numId w:val="2"/>
        </w:numPr>
        <w:spacing w:lineRule="auto" w:line="276"/>
        <w:ind w:right="0" w:hanging="0"/>
        <w:jc w:val="both"/>
        <w:rPr>
          <w:rFonts w:ascii="Arial" w:hAnsi="Arial"/>
          <w:color w:val="000000"/>
          <w:sz w:val="22"/>
          <w:szCs w:val="22"/>
          <w:highlight w:val="none"/>
          <w:shd w:fill="auto" w:val="clear"/>
        </w:rPr>
      </w:pPr>
      <w:r>
        <w:rPr>
          <w:rFonts w:eastAsia="Arial" w:cs="Arial" w:ascii="Arial" w:hAnsi="Arial"/>
          <w:color w:val="000000"/>
          <w:sz w:val="22"/>
          <w:szCs w:val="22"/>
          <w:shd w:fill="auto" w:val="clear"/>
        </w:rPr>
        <w:t xml:space="preserve"> </w:t>
      </w:r>
      <w:r>
        <w:rPr>
          <w:rFonts w:eastAsia="Arial" w:cs="Arial" w:ascii="Arial" w:hAnsi="Arial"/>
          <w:color w:val="000000"/>
          <w:sz w:val="22"/>
          <w:szCs w:val="22"/>
          <w:shd w:fill="auto" w:val="clear"/>
        </w:rPr>
        <w:t xml:space="preserve">b) </w:t>
      </w:r>
      <w:r>
        <w:rPr>
          <w:rFonts w:cs="Arial" w:ascii="Arial" w:hAnsi="Arial"/>
          <w:color w:val="000000"/>
          <w:sz w:val="22"/>
          <w:szCs w:val="22"/>
          <w:shd w:fill="auto" w:val="clear"/>
        </w:rPr>
        <w:t>Pr</w:t>
      </w:r>
      <w:r>
        <w:rPr>
          <w:rFonts w:cs="Arial" w:ascii="Arial" w:hAnsi="Arial"/>
          <w:color w:val="000000"/>
          <w:sz w:val="22"/>
          <w:szCs w:val="22"/>
          <w:shd w:fill="auto" w:val="clear"/>
          <w:lang w:eastAsia="zxx" w:bidi="zxx"/>
        </w:rPr>
        <w:t>ova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regularidade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para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com</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Fazenda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Municipal,</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abrangendo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todos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tributos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competência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Município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relativa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à</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sede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ou</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domicílio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proponente,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dentro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seu</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período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validade;</w:t>
      </w:r>
    </w:p>
    <w:p>
      <w:pPr>
        <w:pStyle w:val="Normal"/>
        <w:numPr>
          <w:ilvl w:val="0"/>
          <w:numId w:val="2"/>
        </w:numPr>
        <w:spacing w:lineRule="auto" w:line="276"/>
        <w:ind w:right="0" w:hanging="0"/>
        <w:jc w:val="both"/>
        <w:rPr>
          <w:rFonts w:ascii="Arial" w:hAnsi="Arial"/>
          <w:color w:val="000000"/>
          <w:sz w:val="22"/>
          <w:szCs w:val="22"/>
          <w:highlight w:val="none"/>
          <w:shd w:fill="auto" w:val="clear"/>
        </w:rPr>
      </w:pPr>
      <w:r>
        <w:rPr>
          <w:rFonts w:eastAsia="Arial" w:cs="Arial" w:ascii="Arial" w:hAnsi="Arial"/>
          <w:color w:val="000000"/>
          <w:sz w:val="22"/>
          <w:szCs w:val="22"/>
          <w:shd w:fill="auto" w:val="clear"/>
        </w:rPr>
        <w:t xml:space="preserve">c) </w:t>
      </w:r>
      <w:r>
        <w:rPr>
          <w:rFonts w:cs="Arial" w:ascii="Arial" w:hAnsi="Arial"/>
          <w:color w:val="000000"/>
          <w:sz w:val="22"/>
          <w:szCs w:val="22"/>
          <w:shd w:fill="auto" w:val="clear"/>
          <w:lang w:eastAsia="zxx" w:bidi="zxx"/>
        </w:rPr>
        <w:t>Prova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regularidade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para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com</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Fazenda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Estadual,</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abrangendo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todos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tributos</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competência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Estado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relativa</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à</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sede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ou</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domicílio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proponente,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dentro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seu</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período</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de</w:t>
      </w:r>
      <w:r>
        <w:rPr>
          <w:rFonts w:eastAsia="Arial" w:cs="Arial" w:ascii="Arial" w:hAnsi="Arial"/>
          <w:color w:val="000000"/>
          <w:sz w:val="22"/>
          <w:szCs w:val="22"/>
          <w:shd w:fill="auto" w:val="clear"/>
          <w:lang w:eastAsia="zxx" w:bidi="zxx"/>
        </w:rPr>
        <w:t xml:space="preserve"> </w:t>
      </w:r>
      <w:r>
        <w:rPr>
          <w:rFonts w:cs="Arial" w:ascii="Arial" w:hAnsi="Arial"/>
          <w:color w:val="000000"/>
          <w:sz w:val="22"/>
          <w:szCs w:val="22"/>
          <w:shd w:fill="auto" w:val="clear"/>
          <w:lang w:eastAsia="zxx" w:bidi="zxx"/>
        </w:rPr>
        <w:t>validade;</w:t>
      </w:r>
    </w:p>
    <w:p>
      <w:pPr>
        <w:pStyle w:val="Normal"/>
        <w:numPr>
          <w:ilvl w:val="0"/>
          <w:numId w:val="2"/>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 Prova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regularidade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com</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Fazenda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Federal</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(Certidão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Conjunta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Débitos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Federais,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administrados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pela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Secretaria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Receita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Federal),</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dentro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seu</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período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validade;</w:t>
      </w:r>
    </w:p>
    <w:p>
      <w:pPr>
        <w:pStyle w:val="NormalWeb"/>
        <w:numPr>
          <w:ilvl w:val="0"/>
          <w:numId w:val="2"/>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 Certidão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regularidade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trabalhista,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que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consiste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na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inexistência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débito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perante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Justiça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Trabalho,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que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será</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comprovada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através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Certidão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Negativa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Débitos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Trabalhistas</w:t>
      </w:r>
      <w:r>
        <w:rPr>
          <w:rFonts w:eastAsia="Arial" w:cs="Arial" w:ascii="Arial" w:hAnsi="Arial"/>
          <w:color w:val="000000"/>
          <w:sz w:val="22"/>
          <w:szCs w:val="22"/>
          <w:shd w:fill="auto" w:val="clear"/>
        </w:rPr>
        <w:t xml:space="preserve"> – </w:t>
      </w:r>
      <w:r>
        <w:rPr>
          <w:rFonts w:cs="Arial" w:ascii="Arial" w:hAnsi="Arial"/>
          <w:color w:val="000000"/>
          <w:sz w:val="22"/>
          <w:szCs w:val="22"/>
          <w:shd w:fill="auto" w:val="clear"/>
        </w:rPr>
        <w:t>CNDT,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bem</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como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Certidão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Positiva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com</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efeito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negativa,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conforme</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nova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redação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art. 642-A,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Consolidação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das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Leis</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do</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Trabalho</w:t>
      </w:r>
      <w:r>
        <w:rPr>
          <w:rFonts w:eastAsia="Arial" w:cs="Arial" w:ascii="Arial" w:hAnsi="Arial"/>
          <w:color w:val="000000"/>
          <w:sz w:val="22"/>
          <w:szCs w:val="22"/>
          <w:shd w:fill="auto" w:val="clear"/>
        </w:rPr>
        <w:t xml:space="preserve"> – </w:t>
      </w:r>
      <w:r>
        <w:rPr>
          <w:rFonts w:cs="Arial" w:ascii="Arial" w:hAnsi="Arial"/>
          <w:color w:val="000000"/>
          <w:sz w:val="22"/>
          <w:szCs w:val="22"/>
          <w:shd w:fill="auto" w:val="clear"/>
        </w:rPr>
        <w:t>CLT,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trazida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pela</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Lei</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nº12.440/2011.</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 xml:space="preserve">f) </w:t>
      </w:r>
      <w:r>
        <w:rPr>
          <w:rFonts w:cs="Arial" w:ascii="Arial" w:hAnsi="Arial"/>
          <w:b w:val="false"/>
          <w:bCs w:val="false"/>
          <w:i w:val="false"/>
          <w:caps w:val="false"/>
          <w:smallCaps w:val="false"/>
          <w:color w:val="000000"/>
          <w:spacing w:val="0"/>
          <w:sz w:val="22"/>
          <w:szCs w:val="22"/>
          <w:shd w:fill="auto" w:val="clear"/>
        </w:rPr>
        <w:t>Fica a cargo da Empresa Licitante a obrigatoriedade na regularidade dos atos adotados para cumprimento no fornecimento do objeto, bem como, estar em conformidade com as praticas de sustentabilidade e de acordo com a(s) regulamentação(ões) vigentes inerentes.</w:t>
      </w:r>
    </w:p>
    <w:p>
      <w:pPr>
        <w:pStyle w:val="Normal"/>
        <w:numPr>
          <w:ilvl w:val="0"/>
          <w:numId w:val="2"/>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b/>
      </w:r>
    </w:p>
    <w:p>
      <w:pPr>
        <w:pStyle w:val="Corpodotexto"/>
        <w:numPr>
          <w:ilvl w:val="0"/>
          <w:numId w:val="2"/>
        </w:numPr>
        <w:spacing w:lineRule="auto" w:line="276" w:before="0" w:after="0"/>
        <w:ind w:right="0" w:hanging="0"/>
        <w:jc w:val="both"/>
        <w:rPr/>
      </w:pPr>
      <w:r>
        <w:rPr>
          <w:rStyle w:val="Strong"/>
          <w:rFonts w:cs="Arial" w:ascii="Arial" w:hAnsi="Arial"/>
          <w:color w:val="000000"/>
          <w:sz w:val="22"/>
          <w:szCs w:val="22"/>
          <w:shd w:fill="auto" w:val="clear"/>
        </w:rPr>
        <w:t>4.2 HABILITAÇÃO TÉCNICA</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Para comprovar sua aptidão para o desempenho das atividades relacionadas ao objeto desta contratação, a licitante deverá apresentar:</w:t>
      </w:r>
    </w:p>
    <w:p>
      <w:pPr>
        <w:pStyle w:val="Normal"/>
        <w:numPr>
          <w:ilvl w:val="0"/>
          <w:numId w:val="2"/>
        </w:numPr>
        <w:spacing w:lineRule="auto" w:line="276"/>
        <w:jc w:val="both"/>
        <w:rPr>
          <w:rStyle w:val="Strong"/>
          <w:rFonts w:ascii="Arial" w:hAnsi="Arial" w:cs="Arial"/>
          <w:color w:val="000000"/>
          <w:sz w:val="22"/>
          <w:szCs w:val="22"/>
          <w:highlight w:val="none"/>
          <w:shd w:fill="auto" w:val="clear"/>
        </w:rPr>
      </w:pPr>
      <w:r>
        <w:rPr/>
      </w:r>
    </w:p>
    <w:p>
      <w:pPr>
        <w:pStyle w:val="Normal"/>
        <w:numPr>
          <w:ilvl w:val="0"/>
          <w:numId w:val="2"/>
        </w:numPr>
        <w:spacing w:lineRule="auto" w:line="276"/>
        <w:jc w:val="both"/>
        <w:rPr/>
      </w:pPr>
      <w:r>
        <w:rPr>
          <w:rStyle w:val="Strong"/>
          <w:rFonts w:cs="Arial" w:ascii="Arial" w:hAnsi="Arial"/>
          <w:color w:val="000000"/>
          <w:sz w:val="22"/>
          <w:szCs w:val="22"/>
          <w:shd w:fill="auto" w:val="clear"/>
        </w:rPr>
        <w:t>Comprovação de atuação no ramo de atividade compatível</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Atestado(s) de capacidade técnica emitido(s) por pessoa jurídica de direito público ou privado, que comprove(m) o fornecimento anterior de bens ou serviços de características, quantidades e prazos compatíveis com o objeto desta licitação.</w:t>
      </w:r>
    </w:p>
    <w:p>
      <w:pPr>
        <w:pStyle w:val="Normal"/>
        <w:numPr>
          <w:ilvl w:val="0"/>
          <w:numId w:val="2"/>
        </w:numPr>
        <w:spacing w:lineRule="auto" w:line="276"/>
        <w:jc w:val="both"/>
        <w:rPr>
          <w:rStyle w:val="Strong"/>
          <w:rFonts w:ascii="Arial" w:hAnsi="Arial" w:cs="Arial"/>
          <w:color w:val="000000"/>
          <w:sz w:val="22"/>
          <w:szCs w:val="22"/>
          <w:highlight w:val="none"/>
          <w:shd w:fill="auto" w:val="clear"/>
        </w:rPr>
      </w:pPr>
      <w:r>
        <w:rPr/>
      </w:r>
    </w:p>
    <w:p>
      <w:pPr>
        <w:pStyle w:val="Normal"/>
        <w:numPr>
          <w:ilvl w:val="0"/>
          <w:numId w:val="2"/>
        </w:numPr>
        <w:spacing w:lineRule="auto" w:line="276"/>
        <w:jc w:val="both"/>
        <w:rPr/>
      </w:pPr>
      <w:r>
        <w:rPr>
          <w:rStyle w:val="Strong"/>
          <w:rFonts w:cs="Arial" w:ascii="Arial" w:hAnsi="Arial"/>
          <w:color w:val="000000"/>
          <w:sz w:val="22"/>
          <w:szCs w:val="22"/>
          <w:shd w:fill="auto" w:val="clear"/>
        </w:rPr>
        <w:t>Declaração de estrutura operacional</w:t>
      </w:r>
    </w:p>
    <w:p>
      <w:pPr>
        <w:pStyle w:val="Normal"/>
        <w:widowControl/>
        <w:numPr>
          <w:ilvl w:val="0"/>
          <w:numId w:val="0"/>
        </w:numPr>
        <w:suppressAutoHyphens w:val="true"/>
        <w:overflowPunct w:val="true"/>
        <w:bidi w:val="0"/>
        <w:spacing w:lineRule="auto" w:line="276" w:before="0" w:after="0"/>
        <w:ind w:right="0" w:hanging="0"/>
        <w:jc w:val="both"/>
        <w:rPr/>
      </w:pPr>
      <w:r>
        <w:rPr>
          <w:rFonts w:cs="Arial" w:ascii="Arial" w:hAnsi="Arial"/>
          <w:color w:val="000000"/>
          <w:sz w:val="22"/>
          <w:szCs w:val="22"/>
          <w:shd w:fill="auto" w:val="clear"/>
        </w:rPr>
        <w:t xml:space="preserve">A licitante deverá apresentar </w:t>
      </w:r>
      <w:r>
        <w:rPr>
          <w:rStyle w:val="Strong"/>
          <w:rFonts w:cs="Arial" w:ascii="Arial" w:hAnsi="Arial"/>
          <w:color w:val="000000"/>
          <w:sz w:val="22"/>
          <w:szCs w:val="22"/>
          <w:shd w:fill="auto" w:val="clear"/>
        </w:rPr>
        <w:t>declaração formal, em caráter de simples declaração</w:t>
      </w:r>
      <w:r>
        <w:rPr>
          <w:rFonts w:cs="Arial" w:ascii="Arial" w:hAnsi="Arial"/>
          <w:color w:val="000000"/>
          <w:sz w:val="22"/>
          <w:szCs w:val="22"/>
          <w:shd w:fill="auto" w:val="clear"/>
        </w:rPr>
        <w:t>, de que dispõe de estrutura física, logística e de pessoal qualificado para a execução integral do fornecimento, dentro dos prazos e condições estabelecidos neste Termo de Referência.</w:t>
      </w:r>
    </w:p>
    <w:p>
      <w:pPr>
        <w:pStyle w:val="Corpodotexto"/>
        <w:widowControl/>
        <w:numPr>
          <w:ilvl w:val="0"/>
          <w:numId w:val="0"/>
        </w:numPr>
        <w:suppressAutoHyphens w:val="true"/>
        <w:overflowPunct w:val="true"/>
        <w:bidi w:val="0"/>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Tal exigência visa garantir a capacidade mínima necessária para o cumprimento das obrigações contratuais, não sendo exigidos documentos comprobatórios adicionais além da própria declaração apresentada pela empresa, sob as penas da lei em caso de falsidade.</w:t>
      </w:r>
    </w:p>
    <w:p>
      <w:pPr>
        <w:pStyle w:val="Corpodotexto"/>
        <w:widowControl/>
        <w:numPr>
          <w:ilvl w:val="0"/>
          <w:numId w:val="0"/>
        </w:numPr>
        <w:suppressAutoHyphens w:val="true"/>
        <w:overflowPunct w:val="true"/>
        <w:bidi w:val="0"/>
        <w:spacing w:lineRule="auto" w:line="276" w:before="0" w:after="0"/>
        <w:ind w:right="0" w:hanging="0"/>
        <w:jc w:val="both"/>
        <w:rPr>
          <w:rStyle w:val="Strong"/>
          <w:rFonts w:ascii="Arial" w:hAnsi="Arial" w:eastAsia="Arial" w:cs="Arial"/>
          <w:color w:val="000000"/>
          <w:sz w:val="22"/>
          <w:szCs w:val="22"/>
          <w:highlight w:val="none"/>
          <w:shd w:fill="auto" w:val="clear"/>
        </w:rPr>
      </w:pPr>
      <w:r>
        <w:rPr/>
      </w:r>
    </w:p>
    <w:p>
      <w:pPr>
        <w:pStyle w:val="Corpodotexto"/>
        <w:widowControl/>
        <w:numPr>
          <w:ilvl w:val="0"/>
          <w:numId w:val="2"/>
        </w:numPr>
        <w:suppressAutoHyphens w:val="true"/>
        <w:overflowPunct w:val="true"/>
        <w:bidi w:val="0"/>
        <w:spacing w:lineRule="auto" w:line="276" w:before="0" w:after="0"/>
        <w:ind w:right="0" w:hanging="0"/>
        <w:jc w:val="both"/>
        <w:rPr/>
      </w:pPr>
      <w:r>
        <w:rPr>
          <w:rStyle w:val="Strong"/>
          <w:rFonts w:eastAsia="Arial" w:cs="Arial" w:ascii="Arial" w:hAnsi="Arial"/>
          <w:color w:val="000000"/>
          <w:sz w:val="22"/>
          <w:szCs w:val="22"/>
          <w:shd w:fill="auto" w:val="clear"/>
        </w:rPr>
        <w:t>Documentação técnica</w:t>
      </w:r>
    </w:p>
    <w:p>
      <w:pPr>
        <w:pStyle w:val="Corpodotexto"/>
        <w:widowControl/>
        <w:numPr>
          <w:ilvl w:val="0"/>
          <w:numId w:val="0"/>
        </w:numPr>
        <w:suppressAutoHyphens w:val="true"/>
        <w:overflowPunct w:val="true"/>
        <w:bidi w:val="0"/>
        <w:spacing w:lineRule="auto" w:line="276" w:before="0" w:after="0"/>
        <w:ind w:right="0" w:hanging="0"/>
        <w:jc w:val="both"/>
        <w:rPr/>
      </w:pPr>
      <w:r>
        <w:rPr>
          <w:rFonts w:eastAsia="Arial" w:cs="Arial" w:ascii="Arial" w:hAnsi="Arial"/>
          <w:b/>
          <w:bCs/>
          <w:color w:val="000000"/>
          <w:sz w:val="22"/>
          <w:szCs w:val="22"/>
          <w:shd w:fill="auto" w:val="clear"/>
        </w:rPr>
        <w:t xml:space="preserve">O licitante vencedor deverá apresentar, de forma obrigatória, </w:t>
      </w:r>
      <w:r>
        <w:rPr>
          <w:rStyle w:val="Strong"/>
          <w:rFonts w:eastAsia="Arial" w:cs="Arial" w:ascii="Arial" w:hAnsi="Arial"/>
          <w:color w:val="000000"/>
          <w:sz w:val="22"/>
          <w:szCs w:val="22"/>
          <w:shd w:fill="auto" w:val="clear"/>
        </w:rPr>
        <w:t>toda a documentação técnica e os arquivos especificados no Anexo I</w:t>
      </w:r>
      <w:r>
        <w:rPr>
          <w:rFonts w:eastAsia="Arial" w:cs="Arial" w:ascii="Arial" w:hAnsi="Arial"/>
          <w:b/>
          <w:bCs/>
          <w:color w:val="000000"/>
          <w:sz w:val="22"/>
          <w:szCs w:val="22"/>
          <w:shd w:fill="auto" w:val="clear"/>
        </w:rPr>
        <w:t xml:space="preserve"> deste Termo de Referência, devidamente atualizados e em conformidade com as normas aplicáveis. Além disso, deverá manter-se à disposição da Administração para o </w:t>
      </w:r>
      <w:r>
        <w:rPr>
          <w:rStyle w:val="Strong"/>
          <w:rFonts w:eastAsia="Arial" w:cs="Arial" w:ascii="Arial" w:hAnsi="Arial"/>
          <w:color w:val="000000"/>
          <w:sz w:val="22"/>
          <w:szCs w:val="22"/>
          <w:shd w:fill="auto" w:val="clear"/>
        </w:rPr>
        <w:t>envio imediato de quaisquer documentos complementares</w:t>
      </w:r>
      <w:r>
        <w:rPr>
          <w:rFonts w:eastAsia="Arial" w:cs="Arial" w:ascii="Arial" w:hAnsi="Arial"/>
          <w:b/>
          <w:bCs/>
          <w:color w:val="000000"/>
          <w:sz w:val="22"/>
          <w:szCs w:val="22"/>
          <w:shd w:fill="auto" w:val="clear"/>
        </w:rPr>
        <w:t xml:space="preserve"> que o corpo técnico responsável pela análise e fiscalização entender necessários, assegurando a plena verificação da conformidade dos materiais e a rastreabilidade das informações apresentadas. </w:t>
      </w:r>
    </w:p>
    <w:p>
      <w:pPr>
        <w:pStyle w:val="Normal"/>
        <w:numPr>
          <w:ilvl w:val="0"/>
          <w:numId w:val="2"/>
        </w:numPr>
        <w:spacing w:lineRule="auto" w:line="276" w:before="0" w:after="0"/>
        <w:jc w:val="both"/>
        <w:rPr>
          <w:rFonts w:eastAsia="Arial" w:cs="Arial"/>
          <w:b/>
          <w:bCs/>
        </w:rPr>
      </w:pPr>
      <w:r>
        <w:rPr>
          <w:rFonts w:ascii="Arial" w:hAnsi="Arial"/>
          <w:color w:val="000000"/>
          <w:sz w:val="22"/>
          <w:szCs w:val="22"/>
          <w:shd w:fill="auto" w:val="clear"/>
        </w:rPr>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4.3 ACOMPANHAMENTO TÉCNICO</w:t>
      </w:r>
    </w:p>
    <w:p>
      <w:pPr>
        <w:pStyle w:val="Normal"/>
        <w:numPr>
          <w:ilvl w:val="0"/>
          <w:numId w:val="2"/>
        </w:numPr>
        <w:spacing w:lineRule="auto" w:line="276" w:before="0" w:after="0"/>
        <w:jc w:val="both"/>
        <w:rPr/>
      </w:pPr>
      <w:r>
        <w:rPr>
          <w:rFonts w:eastAsia="Arial" w:cs="Arial" w:ascii="Arial" w:hAnsi="Arial"/>
          <w:b w:val="false"/>
          <w:bCs w:val="false"/>
          <w:color w:val="000000"/>
          <w:sz w:val="22"/>
          <w:szCs w:val="22"/>
          <w:shd w:fill="auto" w:val="clear"/>
        </w:rPr>
        <w:t xml:space="preserve">A </w:t>
      </w:r>
      <w:r>
        <w:rPr>
          <w:rStyle w:val="Strong"/>
          <w:rFonts w:eastAsia="Arial" w:cs="Arial" w:ascii="Arial" w:hAnsi="Arial"/>
          <w:b w:val="false"/>
          <w:bCs w:val="false"/>
          <w:color w:val="000000"/>
          <w:sz w:val="22"/>
          <w:szCs w:val="22"/>
          <w:shd w:fill="auto" w:val="clear"/>
        </w:rPr>
        <w:t>Empresa SIGMA PROJETOS E TREINAMENTOS – EPP</w:t>
      </w:r>
      <w:r>
        <w:rPr>
          <w:rFonts w:eastAsia="Arial" w:cs="Arial" w:ascii="Arial" w:hAnsi="Arial"/>
          <w:b w:val="false"/>
          <w:bCs w:val="false"/>
          <w:color w:val="000000"/>
          <w:sz w:val="22"/>
          <w:szCs w:val="22"/>
          <w:shd w:fill="auto" w:val="clear"/>
        </w:rPr>
        <w:t xml:space="preserve">, inscrita no </w:t>
      </w:r>
      <w:r>
        <w:rPr>
          <w:rStyle w:val="Strong"/>
          <w:rFonts w:eastAsia="Arial" w:cs="Arial" w:ascii="Arial" w:hAnsi="Arial"/>
          <w:b w:val="false"/>
          <w:bCs w:val="false"/>
          <w:color w:val="000000"/>
          <w:sz w:val="22"/>
          <w:szCs w:val="22"/>
          <w:shd w:fill="auto" w:val="clear"/>
        </w:rPr>
        <w:t>CNPJ sob nº 19.780.730/0001-80</w:t>
      </w:r>
      <w:r>
        <w:rPr>
          <w:rFonts w:eastAsia="Arial" w:cs="Arial" w:ascii="Arial" w:hAnsi="Arial"/>
          <w:b w:val="false"/>
          <w:bCs w:val="false"/>
          <w:color w:val="000000"/>
          <w:sz w:val="22"/>
          <w:szCs w:val="22"/>
          <w:shd w:fill="auto" w:val="clear"/>
        </w:rPr>
        <w:t xml:space="preserve"> e registrada no </w:t>
      </w:r>
      <w:r>
        <w:rPr>
          <w:rStyle w:val="Strong"/>
          <w:rFonts w:eastAsia="Arial" w:cs="Arial" w:ascii="Arial" w:hAnsi="Arial"/>
          <w:b w:val="false"/>
          <w:bCs w:val="false"/>
          <w:color w:val="000000"/>
          <w:sz w:val="22"/>
          <w:szCs w:val="22"/>
          <w:shd w:fill="auto" w:val="clear"/>
        </w:rPr>
        <w:t>CREA-RS sob nº 212309</w:t>
      </w:r>
      <w:r>
        <w:rPr>
          <w:rFonts w:eastAsia="Arial" w:cs="Arial" w:ascii="Arial" w:hAnsi="Arial"/>
          <w:b w:val="false"/>
          <w:bCs w:val="false"/>
          <w:color w:val="000000"/>
          <w:sz w:val="22"/>
          <w:szCs w:val="22"/>
          <w:shd w:fill="auto" w:val="clear"/>
        </w:rPr>
        <w:t xml:space="preserve">, contratada do Município, foi a responsável pela </w:t>
      </w:r>
      <w:r>
        <w:rPr>
          <w:rStyle w:val="Strong"/>
          <w:rFonts w:eastAsia="Arial" w:cs="Arial" w:ascii="Arial" w:hAnsi="Arial"/>
          <w:b w:val="false"/>
          <w:bCs w:val="false"/>
          <w:color w:val="000000"/>
          <w:sz w:val="22"/>
          <w:szCs w:val="22"/>
          <w:shd w:fill="auto" w:val="clear"/>
        </w:rPr>
        <w:t>elaboração técnica e descrição detalhada do objeto</w:t>
      </w:r>
      <w:r>
        <w:rPr>
          <w:rFonts w:eastAsia="Arial" w:cs="Arial" w:ascii="Arial" w:hAnsi="Arial"/>
          <w:b w:val="false"/>
          <w:bCs w:val="false"/>
          <w:color w:val="000000"/>
          <w:sz w:val="22"/>
          <w:szCs w:val="22"/>
          <w:shd w:fill="auto" w:val="clear"/>
        </w:rPr>
        <w:t xml:space="preserve"> desta contratação, prestando o devido suporte técnico para a definição das especificações e requisitos.</w:t>
      </w:r>
    </w:p>
    <w:p>
      <w:pPr>
        <w:pStyle w:val="Corpodotexto"/>
        <w:numPr>
          <w:ilvl w:val="0"/>
          <w:numId w:val="2"/>
        </w:numPr>
        <w:spacing w:lineRule="auto" w:line="276" w:before="0" w:after="0"/>
        <w:jc w:val="both"/>
        <w:rPr/>
      </w:pPr>
      <w:r>
        <w:rPr>
          <w:rFonts w:eastAsia="Arial" w:cs="Arial" w:ascii="Arial" w:hAnsi="Arial"/>
          <w:b w:val="false"/>
          <w:bCs w:val="false"/>
          <w:color w:val="000000"/>
          <w:sz w:val="22"/>
          <w:szCs w:val="22"/>
          <w:shd w:fill="auto" w:val="clear"/>
        </w:rPr>
        <w:t xml:space="preserve">Ressalta-se, ainda, que a referida empresa </w:t>
      </w:r>
      <w:r>
        <w:rPr>
          <w:rStyle w:val="Strong"/>
          <w:rFonts w:eastAsia="Arial" w:cs="Arial" w:ascii="Arial" w:hAnsi="Arial"/>
          <w:b w:val="false"/>
          <w:bCs w:val="false"/>
          <w:color w:val="000000"/>
          <w:sz w:val="22"/>
          <w:szCs w:val="22"/>
          <w:shd w:fill="auto" w:val="clear"/>
        </w:rPr>
        <w:t>acompanhará todo o processo de aquisição</w:t>
      </w:r>
      <w:r>
        <w:rPr>
          <w:rFonts w:eastAsia="Arial" w:cs="Arial" w:ascii="Arial" w:hAnsi="Arial"/>
          <w:b w:val="false"/>
          <w:bCs w:val="false"/>
          <w:color w:val="000000"/>
          <w:sz w:val="22"/>
          <w:szCs w:val="22"/>
          <w:shd w:fill="auto" w:val="clear"/>
        </w:rPr>
        <w:t>, atuando como responsável técnico para fins de alinhamento às normas técnicas vigentes e às necessidades da Administração Municipal.</w:t>
      </w:r>
    </w:p>
    <w:p>
      <w:pPr>
        <w:pStyle w:val="Corpodotexto"/>
        <w:numPr>
          <w:ilvl w:val="0"/>
          <w:numId w:val="2"/>
        </w:numPr>
        <w:spacing w:lineRule="auto" w:line="276" w:before="0" w:after="0"/>
        <w:jc w:val="both"/>
        <w:rPr/>
      </w:pPr>
      <w:r>
        <w:rPr>
          <w:rFonts w:eastAsia="Arial" w:cs="Arial" w:ascii="Arial" w:hAnsi="Arial"/>
          <w:b w:val="false"/>
          <w:bCs w:val="false"/>
          <w:color w:val="000000"/>
          <w:sz w:val="22"/>
          <w:szCs w:val="22"/>
          <w:shd w:fill="auto" w:val="clear"/>
        </w:rPr>
        <w:t xml:space="preserve">Caberá, também, à empresa </w:t>
      </w:r>
      <w:r>
        <w:rPr>
          <w:rStyle w:val="Strong"/>
          <w:rFonts w:eastAsia="Arial" w:cs="Arial" w:ascii="Arial" w:hAnsi="Arial"/>
          <w:b w:val="false"/>
          <w:bCs w:val="false"/>
          <w:color w:val="000000"/>
          <w:sz w:val="22"/>
          <w:szCs w:val="22"/>
          <w:shd w:fill="auto" w:val="clear"/>
        </w:rPr>
        <w:t>responder a eventuais questionamentos, impugnações ou pedidos de esclarecimentos relacionados às especificações técnicas do objeto</w:t>
      </w:r>
      <w:r>
        <w:rPr>
          <w:rFonts w:eastAsia="Arial" w:cs="Arial" w:ascii="Arial" w:hAnsi="Arial"/>
          <w:b w:val="false"/>
          <w:bCs w:val="false"/>
          <w:color w:val="000000"/>
          <w:sz w:val="22"/>
          <w:szCs w:val="22"/>
          <w:shd w:fill="auto" w:val="clear"/>
        </w:rPr>
        <w:t>, garantindo respaldo técnico à Administração durante todas as fases do certame.</w:t>
      </w:r>
    </w:p>
    <w:p>
      <w:pPr>
        <w:pStyle w:val="Normal"/>
        <w:numPr>
          <w:ilvl w:val="0"/>
          <w:numId w:val="2"/>
        </w:numPr>
        <w:spacing w:lineRule="auto" w:line="276" w:before="0" w:after="0"/>
        <w:jc w:val="both"/>
        <w:rPr>
          <w:rFonts w:ascii="Arial" w:hAnsi="Arial" w:eastAsia="Arial" w:cs="Arial"/>
          <w:b/>
          <w:bCs/>
          <w:color w:val="000000"/>
          <w:sz w:val="22"/>
          <w:szCs w:val="22"/>
          <w:highlight w:val="none"/>
          <w:shd w:fill="auto" w:val="clear"/>
        </w:rPr>
      </w:pPr>
      <w:r>
        <w:rPr>
          <w:rFonts w:eastAsia="Arial" w:cs="Arial" w:ascii="Arial" w:hAnsi="Arial"/>
          <w:b/>
          <w:bCs/>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5. MODELO DE EXECUÇÃO DO OBJETO</w:t>
      </w:r>
    </w:p>
    <w:p>
      <w:pPr>
        <w:pStyle w:val="Corpodotexto"/>
        <w:numPr>
          <w:ilvl w:val="0"/>
          <w:numId w:val="0"/>
        </w:numPr>
        <w:spacing w:lineRule="auto" w:line="276" w:before="0" w:after="0"/>
        <w:ind w:left="0" w:hanging="0"/>
        <w:jc w:val="both"/>
        <w:rPr/>
      </w:pPr>
      <w:r>
        <w:rPr>
          <w:rFonts w:cs="Arial" w:ascii="Arial" w:hAnsi="Arial"/>
          <w:b/>
          <w:bCs w:val="false"/>
          <w:i w:val="false"/>
          <w:color w:val="000000"/>
          <w:sz w:val="22"/>
          <w:szCs w:val="22"/>
          <w:shd w:fill="auto" w:val="clear"/>
        </w:rPr>
        <w:t xml:space="preserve">O objeto restringe-se ao </w:t>
      </w:r>
      <w:r>
        <w:rPr>
          <w:rStyle w:val="Strong"/>
          <w:rFonts w:cs="Arial" w:ascii="Arial" w:hAnsi="Arial"/>
          <w:i w:val="false"/>
          <w:color w:val="000000"/>
          <w:sz w:val="22"/>
          <w:szCs w:val="22"/>
          <w:shd w:fill="auto" w:val="clear"/>
        </w:rPr>
        <w:t>fornecimento das luminárias LED</w:t>
      </w:r>
      <w:r>
        <w:rPr>
          <w:rFonts w:cs="Arial" w:ascii="Arial" w:hAnsi="Arial"/>
          <w:b/>
          <w:bCs w:val="false"/>
          <w:i w:val="false"/>
          <w:color w:val="000000"/>
          <w:sz w:val="22"/>
          <w:szCs w:val="22"/>
          <w:shd w:fill="auto" w:val="clear"/>
        </w:rPr>
        <w:t xml:space="preserve">, sendo a </w:t>
      </w:r>
      <w:r>
        <w:rPr>
          <w:rStyle w:val="Strong"/>
          <w:rFonts w:cs="Arial" w:ascii="Arial" w:hAnsi="Arial"/>
          <w:i w:val="false"/>
          <w:color w:val="000000"/>
          <w:sz w:val="22"/>
          <w:szCs w:val="22"/>
          <w:shd w:fill="auto" w:val="clear"/>
        </w:rPr>
        <w:t>instalação de responsabilidade da equipe técnica municipal</w:t>
      </w:r>
      <w:r>
        <w:rPr>
          <w:rFonts w:cs="Arial" w:ascii="Arial" w:hAnsi="Arial"/>
          <w:b/>
          <w:bCs w:val="false"/>
          <w:i w:val="false"/>
          <w:color w:val="000000"/>
          <w:sz w:val="22"/>
          <w:szCs w:val="22"/>
          <w:shd w:fill="auto" w:val="clear"/>
        </w:rPr>
        <w:t>, sem ônus adicional;</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color w:val="000000"/>
          <w:sz w:val="22"/>
          <w:szCs w:val="22"/>
          <w:shd w:fill="auto" w:val="clear"/>
        </w:rPr>
        <w:t xml:space="preserve">A entrega deverá ocorrer no prazo máximo de 30 (trinta) </w:t>
      </w:r>
      <w:r>
        <w:rPr>
          <w:rStyle w:val="Strong"/>
          <w:rFonts w:cs="Arial" w:ascii="Arial" w:hAnsi="Arial"/>
          <w:color w:val="000000"/>
          <w:sz w:val="22"/>
          <w:szCs w:val="22"/>
          <w:shd w:fill="auto" w:val="clear"/>
        </w:rPr>
        <w:t>dias corridos</w:t>
      </w:r>
      <w:r>
        <w:rPr>
          <w:rFonts w:cs="Arial" w:ascii="Arial" w:hAnsi="Arial"/>
          <w:b/>
          <w:color w:val="000000"/>
          <w:sz w:val="22"/>
          <w:szCs w:val="22"/>
          <w:shd w:fill="auto" w:val="clear"/>
        </w:rPr>
        <w:t xml:space="preserve"> após solicitação formal, prorrogável uma única vez, por igual período, em casos justificados;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color w:val="000000"/>
          <w:sz w:val="22"/>
          <w:szCs w:val="22"/>
          <w:shd w:fill="auto" w:val="clear"/>
        </w:rPr>
        <w:t>O transporte e a descarga são de responsabilidade da contratada, sem custos adicionais ao Município;</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color w:val="000000"/>
          <w:sz w:val="22"/>
          <w:szCs w:val="22"/>
          <w:shd w:fill="auto" w:val="clear"/>
        </w:rPr>
        <w:t xml:space="preserve">Produtos em desconformidade deverão ser substituídos em até </w:t>
      </w:r>
      <w:r>
        <w:rPr>
          <w:rStyle w:val="Strong"/>
          <w:rFonts w:cs="Arial" w:ascii="Arial" w:hAnsi="Arial"/>
          <w:color w:val="000000"/>
          <w:sz w:val="22"/>
          <w:szCs w:val="22"/>
          <w:shd w:fill="auto" w:val="clear"/>
        </w:rPr>
        <w:t>5 (cinco) dias úteis</w:t>
      </w:r>
      <w:r>
        <w:rPr>
          <w:rFonts w:cs="Arial" w:ascii="Arial" w:hAnsi="Arial"/>
          <w:b/>
          <w:color w:val="000000"/>
          <w:sz w:val="22"/>
          <w:szCs w:val="22"/>
          <w:shd w:fill="auto" w:val="clear"/>
        </w:rPr>
        <w:t>, sem custos adicionais.</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contratada deverá iniciar a execução imediatamente após a assinatura do contrato ou documento equivalente, respeitando os prazos e condições estabelecidos nos instrumentos legais e na legislação vigente, na sua totalidade e sem ônus ao Município.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Para tal, a execução do objeto deverá observar também as seguintes diretrizes:</w:t>
      </w:r>
    </w:p>
    <w:p>
      <w:pPr>
        <w:pStyle w:val="Corpodotexto"/>
        <w:numPr>
          <w:ilvl w:val="0"/>
          <w:numId w:val="2"/>
        </w:numPr>
        <w:spacing w:lineRule="auto" w:line="276" w:before="0" w:after="0"/>
        <w:jc w:val="both"/>
        <w:rPr>
          <w:rStyle w:val="Strong"/>
          <w:rFonts w:ascii="Arial" w:hAnsi="Arial" w:cs="Arial"/>
          <w:color w:val="000000"/>
          <w:sz w:val="22"/>
          <w:szCs w:val="22"/>
          <w:highlight w:val="none"/>
          <w:shd w:fill="auto" w:val="clear"/>
        </w:rPr>
      </w:pPr>
      <w: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a) Condições de Entrega</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entrega deverá ocorrer no prazo máximo de 30 (trinta) dias corridos, contados a partir da solicitação formal da Administração, mediante protocolo nos canais oficiais definidos;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Os materiais deverão ser entregues no endereço indicado pelo Setor de Almoxarifado da Prefeitura Municipal de Vera Cruz/RS, em perfeitas condições de uso, devidamente embalados e protegidos contra umidade e danos no transporte;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transporte, carga, descarga e quaisquer despesas correlatas correrão por conta exclusiva da contratada, sem ônus ao Município.</w:t>
      </w:r>
    </w:p>
    <w:p>
      <w:pPr>
        <w:pStyle w:val="Normal"/>
        <w:widowControl/>
        <w:numPr>
          <w:ilvl w:val="0"/>
          <w:numId w:val="0"/>
        </w:numPr>
        <w:suppressAutoHyphens w:val="true"/>
        <w:overflowPunct w:val="true"/>
        <w:bidi w:val="0"/>
        <w:spacing w:lineRule="auto" w:line="276" w:before="0" w:after="0"/>
        <w:ind w:right="0" w:hanging="0"/>
        <w:jc w:val="both"/>
        <w:rPr/>
      </w:pPr>
      <w:r>
        <w:rPr>
          <w:rFonts w:cs="Arial" w:ascii="Arial" w:hAnsi="Arial"/>
          <w:b w:val="false"/>
          <w:bCs w:val="false"/>
          <w:color w:val="000000"/>
          <w:sz w:val="22"/>
          <w:szCs w:val="22"/>
          <w:shd w:fill="auto" w:val="clear"/>
        </w:rPr>
        <w:t xml:space="preserve">A entrega do objeto deverá ocorrer no prazo máximo de 30 (trinta) </w:t>
      </w:r>
      <w:r>
        <w:rPr>
          <w:rStyle w:val="Strong"/>
          <w:rFonts w:cs="Arial" w:ascii="Arial" w:hAnsi="Arial"/>
          <w:b w:val="false"/>
          <w:bCs w:val="false"/>
          <w:color w:val="000000"/>
          <w:sz w:val="22"/>
          <w:szCs w:val="22"/>
          <w:shd w:fill="auto" w:val="clear"/>
        </w:rPr>
        <w:t>dias corridos</w:t>
      </w:r>
      <w:r>
        <w:rPr>
          <w:rFonts w:cs="Arial" w:ascii="Arial" w:hAnsi="Arial"/>
          <w:b w:val="false"/>
          <w:bCs w:val="false"/>
          <w:color w:val="000000"/>
          <w:sz w:val="22"/>
          <w:szCs w:val="22"/>
          <w:shd w:fill="auto" w:val="clear"/>
        </w:rPr>
        <w:t xml:space="preserve">, contados a partir da solicitação formal emitida pela Administração, por meio dos canais oficiais disponibilizados pela contratada. Considera-se como solicitação formal aquela devidamente registrada e encaminhada nos meios previamente definidos pela fornecedora, </w:t>
      </w:r>
      <w:r>
        <w:rPr>
          <w:rStyle w:val="Strong"/>
          <w:rFonts w:cs="Arial" w:ascii="Arial" w:hAnsi="Arial"/>
          <w:b w:val="false"/>
          <w:bCs w:val="false"/>
          <w:color w:val="000000"/>
          <w:sz w:val="22"/>
          <w:szCs w:val="22"/>
          <w:shd w:fill="auto" w:val="clear"/>
        </w:rPr>
        <w:t>sendo considerada recebida, para todos os fins, com ou sem confirmação por parte desta</w:t>
      </w:r>
      <w:r>
        <w:rPr>
          <w:rFonts w:cs="Arial" w:ascii="Arial" w:hAnsi="Arial"/>
          <w:b w:val="false"/>
          <w:bCs w:val="false"/>
          <w:color w:val="000000"/>
          <w:sz w:val="22"/>
          <w:szCs w:val="22"/>
          <w:shd w:fill="auto" w:val="clear"/>
        </w:rPr>
        <w:t>.</w:t>
      </w:r>
    </w:p>
    <w:p>
      <w:pPr>
        <w:pStyle w:val="Corpodotexto"/>
        <w:widowControl/>
        <w:numPr>
          <w:ilvl w:val="0"/>
          <w:numId w:val="2"/>
        </w:numPr>
        <w:suppressAutoHyphens w:val="true"/>
        <w:overflowPunct w:val="true"/>
        <w:bidi w:val="0"/>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fornecedora deverá manter seus canais de contato permanentemente atualizados e declara, desde já, que acessará diariamente tais meios, a fim de garantir o recebimento tempestivo das comunicações da Administração.</w:t>
      </w:r>
    </w:p>
    <w:p>
      <w:pPr>
        <w:pStyle w:val="Corpodotexto"/>
        <w:widowControl/>
        <w:numPr>
          <w:ilvl w:val="0"/>
          <w:numId w:val="2"/>
        </w:numPr>
        <w:suppressAutoHyphens w:val="true"/>
        <w:overflowPunct w:val="true"/>
        <w:bidi w:val="0"/>
        <w:spacing w:lineRule="auto" w:line="276" w:before="0" w:after="0"/>
        <w:jc w:val="both"/>
        <w:rPr/>
      </w:pPr>
      <w:r>
        <w:rPr>
          <w:rFonts w:cs="Arial" w:ascii="Arial" w:hAnsi="Arial"/>
          <w:b w:val="false"/>
          <w:bCs w:val="false"/>
          <w:color w:val="000000"/>
          <w:sz w:val="22"/>
          <w:szCs w:val="22"/>
          <w:shd w:fill="auto" w:val="clear"/>
        </w:rPr>
        <w:t xml:space="preserve">Em casos devidamente justificados e aceitos pela Administração, o prazo para a entrega poderá ser </w:t>
      </w:r>
      <w:r>
        <w:rPr>
          <w:rStyle w:val="Strong"/>
          <w:rFonts w:cs="Arial" w:ascii="Arial" w:hAnsi="Arial"/>
          <w:b w:val="false"/>
          <w:bCs w:val="false"/>
          <w:color w:val="000000"/>
          <w:sz w:val="22"/>
          <w:szCs w:val="22"/>
          <w:shd w:fill="auto" w:val="clear"/>
        </w:rPr>
        <w:t>prorrogado, uma única vez, por igual período</w:t>
      </w:r>
      <w:r>
        <w:rPr>
          <w:rFonts w:cs="Arial" w:ascii="Arial" w:hAnsi="Arial"/>
          <w:b w:val="false"/>
          <w:bCs w:val="false"/>
          <w:color w:val="000000"/>
          <w:sz w:val="22"/>
          <w:szCs w:val="22"/>
          <w:shd w:fill="auto" w:val="clear"/>
        </w:rPr>
        <w:t xml:space="preserve">, sem que tal extensão implique ônus adicionais ao Município ou em prejuízo à execução contratual. </w:t>
        <w:tab/>
      </w:r>
    </w:p>
    <w:p>
      <w:pPr>
        <w:pStyle w:val="Corpodotexto"/>
        <w:widowControl/>
        <w:numPr>
          <w:ilvl w:val="0"/>
          <w:numId w:val="2"/>
        </w:numPr>
        <w:suppressAutoHyphens w:val="true"/>
        <w:overflowPunct w:val="true"/>
        <w:bidi w:val="0"/>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descumprimento do prazo estabelecido, sem a devida autorização municipal, poderá acarretar a aplicação das penalidades previstas em lei e no contrato, sem prejuízo da adoção de medidas adicionais necessárias à garantia do interesse público.</w:t>
        <w:tab/>
      </w:r>
    </w:p>
    <w:p>
      <w:pPr>
        <w:pStyle w:val="Normal"/>
        <w:widowControl/>
        <w:numPr>
          <w:ilvl w:val="0"/>
          <w:numId w:val="2"/>
        </w:numPr>
        <w:suppressAutoHyphens w:val="true"/>
        <w:overflowPunct w:val="true"/>
        <w:bidi w:val="0"/>
        <w:spacing w:lineRule="auto" w:line="276" w:before="0" w:after="0"/>
        <w:jc w:val="both"/>
        <w:rPr>
          <w:rFonts w:ascii="Arial" w:hAnsi="Arial"/>
          <w:color w:val="000000"/>
          <w:sz w:val="22"/>
          <w:szCs w:val="22"/>
          <w:highlight w:val="none"/>
          <w:shd w:fill="auto" w:val="clear"/>
        </w:rPr>
      </w:pPr>
      <w:r>
        <w:rPr>
          <w:rFonts w:eastAsia="Arial" w:cs="Arial" w:ascii="Arial" w:hAnsi="Arial"/>
          <w:color w:val="000000"/>
          <w:sz w:val="22"/>
          <w:szCs w:val="22"/>
          <w:shd w:fill="auto" w:val="clear"/>
        </w:rPr>
        <w:t>Todas as custas inerentes ao futuro Fornecimento e a Prestação dos Serviços solicitados ficarão a cargo da Empresa contratada.</w:t>
      </w:r>
    </w:p>
    <w:p>
      <w:pPr>
        <w:pStyle w:val="Corpodotexto"/>
        <w:numPr>
          <w:ilvl w:val="0"/>
          <w:numId w:val="2"/>
        </w:numPr>
        <w:spacing w:lineRule="auto" w:line="276" w:before="0" w:after="0"/>
        <w:jc w:val="both"/>
        <w:rPr>
          <w:rStyle w:val="Strong"/>
          <w:rFonts w:ascii="Arial" w:hAnsi="Arial" w:cs="Arial"/>
          <w:color w:val="000000"/>
          <w:sz w:val="22"/>
          <w:szCs w:val="22"/>
          <w:highlight w:val="none"/>
          <w:shd w:fill="auto" w:val="clear"/>
        </w:rPr>
      </w:pPr>
      <w: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b) Forma de Fornecimento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fornecimento será realizado em conformidade com as quantidades e especificações técnicas previstas no Anexo I e deste documento, vedada a entrega parcial de itens sem a prévia anuência do setor requisitante;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 xml:space="preserve">Os produtos deverão ser novos, de primeiro uso, devidamente identificados por Item, data de fabricação e selo de conformidade do INMETRO – </w:t>
      </w:r>
      <w:r>
        <w:rPr>
          <w:rFonts w:cs="Arial" w:ascii="Arial" w:hAnsi="Arial"/>
          <w:color w:val="000000"/>
          <w:sz w:val="22"/>
          <w:szCs w:val="22"/>
          <w:shd w:fill="auto" w:val="clear"/>
        </w:rPr>
        <w:t>portaria n° 62, de 17 de fevereiro 2022</w:t>
      </w:r>
      <w:r>
        <w:rPr>
          <w:rFonts w:cs="Arial" w:ascii="Arial" w:hAnsi="Arial"/>
          <w:b w:val="false"/>
          <w:bCs w:val="false"/>
          <w:color w:val="000000"/>
          <w:sz w:val="22"/>
          <w:szCs w:val="22"/>
          <w:shd w:fill="auto" w:val="clear"/>
        </w:rPr>
        <w:t>.</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Não será admitido fornecimento de materiais com divergência de marca, bitola, cor ou características técnicas, salvo mediante autorização expressa e formal da Administração.</w:t>
      </w:r>
    </w:p>
    <w:p>
      <w:pPr>
        <w:pStyle w:val="Corpodotexto"/>
        <w:numPr>
          <w:ilvl w:val="0"/>
          <w:numId w:val="2"/>
        </w:numPr>
        <w:spacing w:lineRule="auto" w:line="276" w:before="0" w:after="0"/>
        <w:jc w:val="both"/>
        <w:rPr>
          <w:rStyle w:val="Strong"/>
          <w:rFonts w:ascii="Arial" w:hAnsi="Arial" w:cs="Arial"/>
          <w:color w:val="000000"/>
          <w:sz w:val="22"/>
          <w:szCs w:val="22"/>
          <w:highlight w:val="none"/>
          <w:shd w:fill="auto" w:val="clear"/>
        </w:rPr>
      </w:pPr>
      <w: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c) Critérios de Aceitação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recebimento provisório será condicionado à conferência quantitativa e qualitativa no ato da entrega;</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recebimento definitivo ocorrerá após inspeção do fiscal designado, que verificará a conformidade dos itens entregues em relação às especificações técnicas do Termo de Referência e do Anexo I;</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Itens em desconformidade deverão ser substituídos no prazo máximo de 5 (cinco) dias úteis, sem quaisquer custos adicionais para o Município;</w:t>
      </w:r>
    </w:p>
    <w:p>
      <w:pPr>
        <w:pStyle w:val="Corpodotexto"/>
        <w:numPr>
          <w:ilvl w:val="0"/>
          <w:numId w:val="0"/>
        </w:numPr>
        <w:tabs>
          <w:tab w:val="clear" w:pos="408"/>
          <w:tab w:val="left" w:pos="742"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 xml:space="preserve">Somente serão aceitos produtos que atendam integralmente às normas técnicas aplicáveis (ABNT/NBR), possuam certificação INMETRO, </w:t>
      </w:r>
      <w:r>
        <w:rPr>
          <w:rFonts w:cs="Arial" w:ascii="Arial" w:hAnsi="Arial"/>
          <w:color w:val="000000"/>
          <w:sz w:val="22"/>
          <w:szCs w:val="22"/>
          <w:shd w:fill="auto" w:val="clear"/>
        </w:rPr>
        <w:t>portaria n° 62, de 17 de fevereiro 2022,</w:t>
      </w:r>
      <w:r>
        <w:rPr>
          <w:rFonts w:cs="Arial" w:ascii="Arial" w:hAnsi="Arial"/>
          <w:b w:val="false"/>
          <w:bCs w:val="false"/>
          <w:color w:val="000000"/>
          <w:sz w:val="22"/>
          <w:szCs w:val="22"/>
          <w:shd w:fill="auto" w:val="clear"/>
        </w:rPr>
        <w:t xml:space="preserve"> e estejam acompanhados da devida documentação fiscal.</w:t>
      </w:r>
    </w:p>
    <w:p>
      <w:pPr>
        <w:pStyle w:val="Normal"/>
        <w:numPr>
          <w:ilvl w:val="0"/>
          <w:numId w:val="2"/>
        </w:numPr>
        <w:spacing w:lineRule="auto" w:line="276"/>
        <w:jc w:val="both"/>
        <w:rPr>
          <w:rStyle w:val="Strong"/>
          <w:rFonts w:ascii="Arial" w:hAnsi="Arial" w:eastAsia="Arial" w:cs="Arial"/>
          <w:color w:val="000000"/>
          <w:sz w:val="22"/>
          <w:szCs w:val="22"/>
          <w:highlight w:val="none"/>
          <w:shd w:fill="auto" w:val="clear"/>
        </w:rPr>
      </w:pPr>
      <w:r>
        <w:rPr/>
      </w:r>
    </w:p>
    <w:p>
      <w:pPr>
        <w:pStyle w:val="Normal"/>
        <w:numPr>
          <w:ilvl w:val="0"/>
          <w:numId w:val="2"/>
        </w:numPr>
        <w:spacing w:lineRule="auto" w:line="276"/>
        <w:jc w:val="both"/>
        <w:rPr/>
      </w:pPr>
      <w:r>
        <w:rPr>
          <w:rStyle w:val="Strong"/>
          <w:rFonts w:eastAsia="Arial" w:cs="Arial" w:ascii="Arial" w:hAnsi="Arial"/>
          <w:color w:val="000000"/>
          <w:sz w:val="22"/>
          <w:szCs w:val="22"/>
          <w:shd w:fill="auto" w:val="clear"/>
        </w:rPr>
        <w:t xml:space="preserve">5.1 RESPONSABILIDADES, ENCARGOS DA CONTRATADA e </w:t>
      </w:r>
      <w:r>
        <w:rPr>
          <w:rStyle w:val="Strong"/>
          <w:rFonts w:eastAsia="Arial" w:cs="Arial" w:ascii="Arial" w:hAnsi="Arial"/>
          <w:b w:val="false"/>
          <w:bCs w:val="false"/>
          <w:color w:val="000000"/>
          <w:sz w:val="22"/>
          <w:szCs w:val="22"/>
          <w:shd w:fill="auto" w:val="clear"/>
        </w:rPr>
        <w:t>Responsabilidades Legais</w:t>
      </w:r>
    </w:p>
    <w:p>
      <w:pPr>
        <w:pStyle w:val="Corpodotexto"/>
        <w:widowControl/>
        <w:numPr>
          <w:ilvl w:val="0"/>
          <w:numId w:val="2"/>
        </w:numPr>
        <w:tabs>
          <w:tab w:val="clear" w:pos="408"/>
          <w:tab w:val="left" w:pos="0" w:leader="none"/>
        </w:tabs>
        <w:suppressAutoHyphens w:val="true"/>
        <w:overflowPunct w:val="true"/>
        <w:bidi w:val="0"/>
        <w:spacing w:lineRule="auto" w:line="276" w:before="0" w:after="0"/>
        <w:ind w:right="0" w:hanging="0"/>
        <w:jc w:val="both"/>
        <w:rPr/>
      </w:pPr>
      <w:r>
        <w:rPr>
          <w:rStyle w:val="Strong"/>
          <w:rFonts w:eastAsia="Arial" w:cs="Arial" w:ascii="Arial" w:hAnsi="Arial"/>
          <w:b w:val="false"/>
          <w:bCs w:val="false"/>
          <w:color w:val="000000"/>
          <w:sz w:val="22"/>
          <w:szCs w:val="22"/>
          <w:shd w:fill="auto" w:val="clear"/>
        </w:rPr>
        <w:t>A execução deverá atender integralmente às responsabilidades previstas na Lei nº 14.133/2021, no Código de Defesa do Consumidor, nas normas técnicas aplicáveis e demais legislações pertinentes, garantindo a conformidade do fornecimento com os padrões de qualidade e segurança exigidos.</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eastAsia="Arial" w:cs="Arial" w:ascii="Arial" w:hAnsi="Arial"/>
          <w:color w:val="000000"/>
          <w:sz w:val="22"/>
          <w:szCs w:val="22"/>
          <w:shd w:fill="auto" w:val="clear"/>
        </w:rPr>
        <w:t>Da mesma forma, caberá exclusivamente à contratada:</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Assumir integralmente os riscos</w:t>
      </w:r>
      <w:r>
        <w:rPr>
          <w:rFonts w:eastAsia="Arial" w:cs="Arial" w:ascii="Arial" w:hAnsi="Arial"/>
          <w:color w:val="000000"/>
          <w:sz w:val="22"/>
          <w:szCs w:val="22"/>
          <w:shd w:fill="auto" w:val="clear"/>
        </w:rPr>
        <w:t xml:space="preserve"> decorrentes da execução do objeto, a partir da assinatura do contrato ou da emissão da ata de registro de preços, inclusive aqueles oriundos de falhas operacionais, omissões, atrasos ou inexecuções parciais que possam comprometer o cumprimento das obrigações assumidas;</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Arcar com todas as despesas diretas e indiretas</w:t>
      </w:r>
      <w:r>
        <w:rPr>
          <w:rFonts w:eastAsia="Arial" w:cs="Arial" w:ascii="Arial" w:hAnsi="Arial"/>
          <w:color w:val="000000"/>
          <w:sz w:val="22"/>
          <w:szCs w:val="22"/>
          <w:shd w:fill="auto" w:val="clear"/>
        </w:rPr>
        <w:t xml:space="preserve"> necessárias à plena execução do contrato, incluindo tributos, taxas, fretes, seguros, encargos trabalhistas, previdenciários, securitários e operacionais, não sendo admitida cobrança adicional ao Município; </w:t>
      </w:r>
    </w:p>
    <w:p>
      <w:pPr>
        <w:pStyle w:val="Corpodotexto"/>
        <w:widowControl/>
        <w:numPr>
          <w:ilvl w:val="0"/>
          <w:numId w:val="0"/>
        </w:numPr>
        <w:tabs>
          <w:tab w:val="clear" w:pos="408"/>
          <w:tab w:val="left" w:pos="388" w:leader="none"/>
        </w:tabs>
        <w:suppressAutoHyphens w:val="true"/>
        <w:overflowPunct w:val="true"/>
        <w:bidi w:val="0"/>
        <w:spacing w:lineRule="auto" w:line="276" w:before="0" w:after="0"/>
        <w:ind w:right="0" w:hanging="0"/>
        <w:jc w:val="both"/>
        <w:rPr/>
      </w:pPr>
      <w:r>
        <w:rPr>
          <w:rStyle w:val="Strong"/>
          <w:rFonts w:eastAsia="Arial" w:cs="Arial" w:ascii="Arial" w:hAnsi="Arial"/>
          <w:color w:val="000000"/>
          <w:sz w:val="22"/>
          <w:szCs w:val="22"/>
          <w:shd w:fill="auto" w:val="clear"/>
        </w:rPr>
        <w:t>Execução Total sem Custos Adicionais</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eastAsia="Arial" w:cs="Arial" w:ascii="Arial" w:hAnsi="Arial"/>
          <w:color w:val="000000"/>
          <w:sz w:val="22"/>
          <w:szCs w:val="22"/>
          <w:shd w:fill="auto" w:val="clear"/>
        </w:rPr>
        <w:t>O fornecimento deverá ser realizado de forma integral, abrangendo todos os materiais, insumos, transporte, mão de obra, tributos, encargos e demais despesas necessárias, sem qualquer custo adicional ao Município, até a entrega final e recebimento definitivo do objeto.</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 xml:space="preserve">Prestar garantia mínima </w:t>
      </w:r>
      <w:r>
        <w:rPr>
          <w:rStyle w:val="Strong"/>
          <w:rFonts w:eastAsia="Arial" w:cs="Arial" w:ascii="Arial" w:hAnsi="Arial"/>
          <w:b w:val="false"/>
          <w:bCs w:val="false"/>
          <w:color w:val="000000"/>
          <w:sz w:val="22"/>
          <w:szCs w:val="22"/>
          <w:shd w:fill="auto" w:val="clear"/>
        </w:rPr>
        <w:t xml:space="preserve">contratual mínima de 5 anos </w:t>
      </w:r>
      <w:r>
        <w:rPr>
          <w:rFonts w:eastAsia="Arial" w:cs="Arial" w:ascii="Arial" w:hAnsi="Arial"/>
          <w:color w:val="000000"/>
          <w:sz w:val="22"/>
          <w:szCs w:val="22"/>
          <w:shd w:fill="auto" w:val="clear"/>
        </w:rPr>
        <w:t xml:space="preserve"> contra vícios, defeitos e falhas nos bens/serviços fornecidos, contados do recebimento definitivo, responsabilizando-se integralmente por quaisquer omissões, falhas ou inexecuções que comprometam o desempenho, a qualidade ou os direitos da Administração;</w:t>
      </w:r>
    </w:p>
    <w:p>
      <w:pPr>
        <w:pStyle w:val="Normal"/>
        <w:widowControl/>
        <w:numPr>
          <w:ilvl w:val="0"/>
          <w:numId w:val="0"/>
        </w:numPr>
        <w:suppressAutoHyphens w:val="true"/>
        <w:overflowPunct w:val="true"/>
        <w:bidi w:val="0"/>
        <w:spacing w:lineRule="auto" w:line="276" w:before="0" w:after="0"/>
        <w:ind w:right="0" w:hanging="0"/>
        <w:jc w:val="both"/>
        <w:rPr/>
      </w:pPr>
      <w:r>
        <w:rPr>
          <w:rStyle w:val="Strong"/>
          <w:rFonts w:eastAsia="Arial" w:cs="Arial" w:ascii="Arial" w:hAnsi="Arial"/>
          <w:i w:val="false"/>
          <w:color w:val="000000"/>
          <w:sz w:val="22"/>
          <w:szCs w:val="22"/>
          <w:shd w:fill="auto" w:val="clear"/>
        </w:rPr>
        <w:t>Garantia, Substituição e Recolhimento de Itens em Desconformidade</w:t>
      </w:r>
    </w:p>
    <w:p>
      <w:pPr>
        <w:pStyle w:val="Normal"/>
        <w:numPr>
          <w:ilvl w:val="0"/>
          <w:numId w:val="0"/>
        </w:numPr>
        <w:spacing w:lineRule="auto" w:line="276"/>
        <w:ind w:right="0" w:hanging="0"/>
        <w:jc w:val="both"/>
        <w:rPr/>
      </w:pPr>
      <w:r>
        <w:rPr>
          <w:rFonts w:cs="Arial" w:ascii="Arial" w:hAnsi="Arial"/>
          <w:b w:val="false"/>
          <w:bCs w:val="false"/>
          <w:i w:val="false"/>
          <w:color w:val="000000"/>
          <w:sz w:val="22"/>
          <w:szCs w:val="22"/>
          <w:shd w:fill="auto" w:val="clear"/>
        </w:rPr>
        <w:t xml:space="preserve">Durante o prazo de garantia, todos os itens que apresentarem defeitos de fabricação, vícios de qualidade, mau funcionamento ou desconformidade com as especificações deverão ser substituídos ou reparados </w:t>
      </w:r>
      <w:r>
        <w:rPr>
          <w:rStyle w:val="Strong"/>
          <w:rFonts w:cs="Arial" w:ascii="Arial" w:hAnsi="Arial"/>
          <w:b w:val="false"/>
          <w:bCs w:val="false"/>
          <w:i w:val="false"/>
          <w:color w:val="000000"/>
          <w:sz w:val="22"/>
          <w:szCs w:val="22"/>
          <w:shd w:fill="auto" w:val="clear"/>
        </w:rPr>
        <w:t>no prazo máximo de 5 (cinco) dias úteis, podendo este, em casos devidamente justificados, ser prorrogado uma única vez por igual período, sem qualquer ônus adicional ao Município.</w:t>
      </w:r>
      <w:r>
        <w:rPr>
          <w:rFonts w:cs="Arial" w:ascii="Arial" w:hAnsi="Arial"/>
          <w:b w:val="false"/>
          <w:bCs w:val="false"/>
          <w:i w:val="false"/>
          <w:color w:val="000000"/>
          <w:sz w:val="22"/>
          <w:szCs w:val="22"/>
          <w:shd w:fill="auto" w:val="clear"/>
        </w:rPr>
        <w:t xml:space="preserve"> O recolhimento do item defeituoso e a entrega do substituto são de inteira responsabilidade da contratada, devendo ocorrer de forma simultânea ou no menor prazo possível, de modo a não comprometer a continuidade do serviço público.</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Manter canais de contato atualizados</w:t>
      </w:r>
      <w:r>
        <w:rPr>
          <w:rFonts w:eastAsia="Arial" w:cs="Arial" w:ascii="Arial" w:hAnsi="Arial"/>
          <w:color w:val="000000"/>
          <w:sz w:val="22"/>
          <w:szCs w:val="22"/>
          <w:shd w:fill="auto" w:val="clear"/>
        </w:rPr>
        <w:t xml:space="preserve"> e acessados diariamente, garantindo o recebimento tempestivo de solicitações formais, com ou sem confirmação de recebimento, a fim de evitar atrasos na execução;</w:t>
      </w:r>
    </w:p>
    <w:p>
      <w:pPr>
        <w:pStyle w:val="Corpodotexto"/>
        <w:numPr>
          <w:ilvl w:val="0"/>
          <w:numId w:val="2"/>
        </w:numPr>
        <w:spacing w:lineRule="auto" w:line="276" w:before="0" w:after="0"/>
        <w:jc w:val="both"/>
        <w:rPr/>
      </w:pPr>
      <w:r>
        <w:rPr>
          <w:rStyle w:val="Strong"/>
          <w:rFonts w:eastAsia="Arial" w:cs="Arial" w:ascii="Arial" w:hAnsi="Arial"/>
          <w:b/>
          <w:bCs/>
          <w:color w:val="000000"/>
          <w:sz w:val="22"/>
          <w:szCs w:val="22"/>
          <w:shd w:fill="auto" w:val="clear"/>
        </w:rPr>
        <w:t>Efetuar a substituição e/ou correção</w:t>
      </w:r>
      <w:r>
        <w:rPr>
          <w:rFonts w:eastAsia="Arial" w:cs="Arial" w:ascii="Arial" w:hAnsi="Arial"/>
          <w:b/>
          <w:bCs/>
          <w:color w:val="000000"/>
          <w:sz w:val="22"/>
          <w:szCs w:val="22"/>
          <w:shd w:fill="auto" w:val="clear"/>
        </w:rPr>
        <w:t xml:space="preserve"> de itens em desconformidade com as especificações</w:t>
      </w:r>
      <w:r>
        <w:rPr>
          <w:rFonts w:eastAsia="Arial" w:cs="Arial" w:ascii="Arial" w:hAnsi="Arial"/>
          <w:b w:val="false"/>
          <w:bCs w:val="false"/>
          <w:color w:val="000000"/>
          <w:sz w:val="22"/>
          <w:szCs w:val="22"/>
          <w:shd w:fill="auto" w:val="clear"/>
        </w:rPr>
        <w:t xml:space="preserve"> relacionadas aos itens fornecidos durante o período de vigência da ATA, </w:t>
      </w:r>
      <w:r>
        <w:rPr>
          <w:rStyle w:val="Strong"/>
          <w:rFonts w:eastAsia="Arial" w:cs="Arial" w:ascii="Arial" w:hAnsi="Arial"/>
          <w:b w:val="false"/>
          <w:bCs w:val="false"/>
          <w:color w:val="000000"/>
          <w:sz w:val="22"/>
          <w:szCs w:val="22"/>
          <w:shd w:fill="auto" w:val="clear"/>
        </w:rPr>
        <w:t>incluindo o recolhimento de itens defeituosos, sua substituição e a entrega do novo produto em perfeito estado, no prazo máximo de 5 (cinco) dias úteis</w:t>
      </w:r>
      <w:r>
        <w:rPr>
          <w:rFonts w:eastAsia="Arial" w:cs="Arial" w:ascii="Arial" w:hAnsi="Arial"/>
          <w:b w:val="false"/>
          <w:bCs w:val="false"/>
          <w:color w:val="000000"/>
          <w:sz w:val="22"/>
          <w:szCs w:val="22"/>
          <w:shd w:fill="auto" w:val="clear"/>
        </w:rPr>
        <w:t xml:space="preserve"> contados a partir da notificação formal da Administração, sem quaisquer ônus adicionais para o Município. </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Manter, durante toda a vigência contratual</w:t>
      </w:r>
      <w:r>
        <w:rPr>
          <w:rFonts w:eastAsia="Arial" w:cs="Arial" w:ascii="Arial" w:hAnsi="Arial"/>
          <w:color w:val="000000"/>
          <w:sz w:val="22"/>
          <w:szCs w:val="22"/>
          <w:shd w:fill="auto" w:val="clear"/>
        </w:rPr>
        <w:t>, a regularidade jurídica, fiscal, trabalhista e previdenciária, bem como o cumprimento das condições de habilitação exigidas para a contratação;</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Observar as determinações da fiscalização</w:t>
      </w:r>
      <w:r>
        <w:rPr>
          <w:rFonts w:eastAsia="Arial" w:cs="Arial" w:ascii="Arial" w:hAnsi="Arial"/>
          <w:color w:val="000000"/>
          <w:sz w:val="22"/>
          <w:szCs w:val="22"/>
          <w:shd w:fill="auto" w:val="clear"/>
        </w:rPr>
        <w:t xml:space="preserve"> designada pela Administração, atendendo às solicitações e adequações necessárias ao cumprimento das obrigações contratuais;</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Cumprir no fornecimento a integralidade das especificações técnicas</w:t>
      </w:r>
      <w:r>
        <w:rPr>
          <w:rFonts w:eastAsia="Arial" w:cs="Arial" w:ascii="Arial" w:hAnsi="Arial"/>
          <w:color w:val="000000"/>
          <w:sz w:val="22"/>
          <w:szCs w:val="22"/>
          <w:shd w:fill="auto" w:val="clear"/>
        </w:rPr>
        <w:t xml:space="preserve"> d</w:t>
      </w:r>
      <w:r>
        <w:rPr>
          <w:rFonts w:eastAsia="Arial" w:cs="Arial" w:ascii="Arial" w:hAnsi="Arial"/>
          <w:b w:val="false"/>
          <w:bCs w:val="false"/>
          <w:color w:val="000000"/>
          <w:sz w:val="22"/>
          <w:szCs w:val="22"/>
          <w:shd w:fill="auto" w:val="clear"/>
        </w:rPr>
        <w:t>escritas no Anexo I e demais documentos que compõem o processo, garantindo a entrega dentro do prazo máximo de 30 (trinta)</w:t>
      </w:r>
      <w:r>
        <w:rPr>
          <w:rStyle w:val="Strong"/>
          <w:rFonts w:eastAsia="Arial" w:cs="Arial" w:ascii="Arial" w:hAnsi="Arial"/>
          <w:b w:val="false"/>
          <w:bCs w:val="false"/>
          <w:color w:val="000000"/>
          <w:sz w:val="22"/>
          <w:szCs w:val="22"/>
          <w:shd w:fill="auto" w:val="clear"/>
        </w:rPr>
        <w:t xml:space="preserve"> dias corridos</w:t>
      </w:r>
      <w:r>
        <w:rPr>
          <w:rFonts w:eastAsia="Arial" w:cs="Arial" w:ascii="Arial" w:hAnsi="Arial"/>
          <w:b w:val="false"/>
          <w:bCs w:val="false"/>
          <w:color w:val="000000"/>
          <w:sz w:val="22"/>
          <w:szCs w:val="22"/>
          <w:shd w:fill="auto" w:val="clear"/>
        </w:rPr>
        <w:t xml:space="preserve"> após solicitação formal da Administração.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val="false"/>
          <w:bCs w:val="false"/>
          <w:i w:val="false"/>
          <w:color w:val="000000"/>
          <w:sz w:val="22"/>
          <w:szCs w:val="22"/>
          <w:shd w:fill="auto" w:val="clear"/>
        </w:rPr>
        <w:tab/>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5.2 Quantitativos e Especificações mínimas dos Itens</w:t>
      </w:r>
    </w:p>
    <w:p>
      <w:pPr>
        <w:pStyle w:val="Normal"/>
        <w:numPr>
          <w:ilvl w:val="0"/>
          <w:numId w:val="0"/>
        </w:numPr>
        <w:spacing w:lineRule="auto" w:line="276"/>
        <w:ind w:left="0" w:hanging="0"/>
        <w:jc w:val="both"/>
        <w:rPr/>
      </w:pPr>
      <w:r>
        <w:rPr>
          <w:rFonts w:cs="Arial" w:ascii="Arial" w:hAnsi="Arial"/>
          <w:b w:val="false"/>
          <w:bCs w:val="false"/>
          <w:color w:val="000000"/>
          <w:sz w:val="22"/>
          <w:szCs w:val="22"/>
          <w:shd w:fill="auto" w:val="clear"/>
        </w:rPr>
        <w:t xml:space="preserve">A contratação será realizada por meio de </w:t>
      </w:r>
      <w:r>
        <w:rPr>
          <w:rStyle w:val="Strong"/>
          <w:rFonts w:cs="Arial" w:ascii="Arial" w:hAnsi="Arial"/>
          <w:b w:val="false"/>
          <w:bCs w:val="false"/>
          <w:color w:val="000000"/>
          <w:sz w:val="22"/>
          <w:szCs w:val="22"/>
          <w:shd w:fill="auto" w:val="clear"/>
        </w:rPr>
        <w:t>Processo Licitatório, na modalidade Pregão Eletrônico, na forma de Registro de Preços, com critério de julgamento pelo Menor Preço por Item</w:t>
      </w:r>
      <w:r>
        <w:rPr>
          <w:rFonts w:cs="Arial" w:ascii="Arial" w:hAnsi="Arial"/>
          <w:b w:val="false"/>
          <w:bCs w:val="false"/>
          <w:color w:val="000000"/>
          <w:sz w:val="22"/>
          <w:szCs w:val="22"/>
          <w:shd w:fill="auto" w:val="clear"/>
        </w:rPr>
        <w:t xml:space="preserve">, tendo como parâmetro o </w:t>
      </w:r>
      <w:r>
        <w:rPr>
          <w:rStyle w:val="Strong"/>
          <w:rFonts w:cs="Arial" w:ascii="Arial" w:hAnsi="Arial"/>
          <w:b w:val="false"/>
          <w:bCs w:val="false"/>
          <w:color w:val="000000"/>
          <w:sz w:val="22"/>
          <w:szCs w:val="22"/>
          <w:shd w:fill="auto" w:val="clear"/>
        </w:rPr>
        <w:t>valor referencial definido individualmente</w:t>
      </w:r>
      <w:r>
        <w:rPr>
          <w:rFonts w:cs="Arial" w:ascii="Arial" w:hAnsi="Arial"/>
          <w:b w:val="false"/>
          <w:bCs w:val="false"/>
          <w:color w:val="000000"/>
          <w:sz w:val="22"/>
          <w:szCs w:val="22"/>
          <w:shd w:fill="auto" w:val="clear"/>
        </w:rPr>
        <w:t xml:space="preserve">, conforme especificações e quantidades constantes no </w:t>
      </w:r>
      <w:r>
        <w:rPr>
          <w:rStyle w:val="Strong"/>
          <w:rFonts w:cs="Arial" w:ascii="Arial" w:hAnsi="Arial"/>
          <w:b/>
          <w:bCs/>
          <w:color w:val="000000"/>
          <w:sz w:val="22"/>
          <w:szCs w:val="22"/>
          <w:shd w:fill="auto" w:val="clear"/>
        </w:rPr>
        <w:t>Anexo I</w:t>
      </w:r>
      <w:r>
        <w:rPr>
          <w:rFonts w:cs="Arial" w:ascii="Arial" w:hAnsi="Arial"/>
          <w:b/>
          <w:bCs/>
          <w:color w:val="000000"/>
          <w:sz w:val="22"/>
          <w:szCs w:val="22"/>
          <w:shd w:fill="auto" w:val="clear"/>
        </w:rPr>
        <w:t xml:space="preserve"> deste e demais documentos que compõem o processo digital.</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ab/>
      </w:r>
    </w:p>
    <w:p>
      <w:pPr>
        <w:pStyle w:val="Normal"/>
        <w:numPr>
          <w:ilvl w:val="0"/>
          <w:numId w:val="2"/>
        </w:numPr>
        <w:spacing w:lineRule="auto" w:line="276" w:before="0" w:after="0"/>
        <w:ind w:right="0" w:hanging="0"/>
        <w:jc w:val="both"/>
        <w:rPr/>
      </w:pPr>
      <w:r>
        <w:rPr>
          <w:rStyle w:val="Strong"/>
          <w:rFonts w:eastAsia="Arial" w:cs="Arial" w:ascii="Arial" w:hAnsi="Arial"/>
          <w:b/>
          <w:bCs/>
          <w:color w:val="000000"/>
          <w:sz w:val="22"/>
          <w:szCs w:val="22"/>
          <w:shd w:fill="auto" w:val="clear"/>
        </w:rPr>
        <w:t xml:space="preserve">Itens a serem adquiridos: </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Item I – 150 Unidades – Luminária LED Pública Viária, p</w:t>
      </w:r>
      <w:r>
        <w:rPr>
          <w:rStyle w:val="Strong"/>
          <w:rFonts w:eastAsia="Arial" w:cs="Arial" w:ascii="Arial" w:hAnsi="Arial"/>
          <w:b w:val="false"/>
          <w:bCs w:val="false"/>
          <w:color w:val="000000"/>
          <w:sz w:val="22"/>
          <w:szCs w:val="22"/>
          <w:shd w:fill="auto" w:val="clear"/>
        </w:rPr>
        <w:t xml:space="preserve">otência nominal </w:t>
      </w:r>
      <w:r>
        <w:rPr>
          <w:rStyle w:val="Strong"/>
          <w:rFonts w:eastAsia="Liberation Serif;Times New Roman" w:cs="Arial" w:ascii="Arial" w:hAnsi="Arial"/>
          <w:b w:val="false"/>
          <w:bCs w:val="false"/>
          <w:color w:val="000000"/>
          <w:sz w:val="22"/>
          <w:szCs w:val="22"/>
          <w:shd w:fill="auto" w:val="clear"/>
        </w:rPr>
        <w:t>≤</w:t>
      </w:r>
      <w:r>
        <w:rPr>
          <w:rStyle w:val="Strong"/>
          <w:rFonts w:eastAsia="Arial" w:cs="Arial" w:ascii="Arial" w:hAnsi="Arial"/>
          <w:b w:val="false"/>
          <w:bCs w:val="false"/>
          <w:color w:val="000000"/>
          <w:sz w:val="22"/>
          <w:szCs w:val="22"/>
          <w:shd w:fill="auto" w:val="clear"/>
        </w:rPr>
        <w:t xml:space="preserve"> 50 W</w:t>
        <w:br/>
        <w:t xml:space="preserve">Adequada a praças, passeios, áreas de lazer, espaços esportivos e ambientes de uso comunitário, priorizando iluminação sustentável, economia de energia e conformidade técnica, </w:t>
      </w:r>
      <w:r>
        <w:rPr>
          <w:rStyle w:val="Strong"/>
          <w:rFonts w:eastAsia="Arial" w:cs="Arial" w:ascii="Arial" w:hAnsi="Arial"/>
          <w:b/>
          <w:bCs w:val="false"/>
          <w:color w:val="000000"/>
          <w:sz w:val="22"/>
          <w:szCs w:val="22"/>
          <w:shd w:fill="auto" w:val="clear"/>
        </w:rPr>
        <w:t>Demais características citadas nas especificações técnicas do Anexo I.</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Item II – 150 Unidades – Luminária LED Pública Viária,</w:t>
      </w:r>
      <w:r>
        <w:rPr>
          <w:rStyle w:val="Strong"/>
          <w:rFonts w:eastAsia="Arial" w:cs="Arial" w:ascii="Arial" w:hAnsi="Arial"/>
          <w:b w:val="false"/>
          <w:bCs w:val="false"/>
          <w:color w:val="000000"/>
          <w:sz w:val="22"/>
          <w:szCs w:val="22"/>
          <w:shd w:fill="auto" w:val="clear"/>
        </w:rPr>
        <w:t xml:space="preserve"> potência nominal </w:t>
      </w:r>
      <w:r>
        <w:rPr>
          <w:rStyle w:val="Strong"/>
          <w:rFonts w:eastAsia="Liberation Serif;Times New Roman" w:cs="Arial" w:ascii="Arial" w:hAnsi="Arial"/>
          <w:b w:val="false"/>
          <w:bCs w:val="false"/>
          <w:color w:val="000000"/>
          <w:sz w:val="22"/>
          <w:szCs w:val="22"/>
          <w:shd w:fill="auto" w:val="clear"/>
        </w:rPr>
        <w:t>≤</w:t>
      </w:r>
      <w:r>
        <w:rPr>
          <w:rStyle w:val="Strong"/>
          <w:rFonts w:eastAsia="Arial" w:cs="Arial" w:ascii="Arial" w:hAnsi="Arial"/>
          <w:b w:val="false"/>
          <w:bCs w:val="false"/>
          <w:color w:val="000000"/>
          <w:sz w:val="22"/>
          <w:szCs w:val="22"/>
          <w:shd w:fill="auto" w:val="clear"/>
        </w:rPr>
        <w:t xml:space="preserve"> 70 W</w:t>
        <w:br/>
        <w:t xml:space="preserve">Indicada para vias locais, áreas residenciais e espaços de circulação com menor necessidade de intensidade luminosa, com especificações de eficiência energética. </w:t>
      </w:r>
      <w:r>
        <w:rPr>
          <w:rStyle w:val="Strong"/>
          <w:rFonts w:eastAsia="Arial" w:cs="Arial" w:ascii="Arial" w:hAnsi="Arial"/>
          <w:b/>
          <w:bCs w:val="false"/>
          <w:color w:val="000000"/>
          <w:sz w:val="22"/>
          <w:szCs w:val="22"/>
          <w:shd w:fill="auto" w:val="clear"/>
        </w:rPr>
        <w:t>Demais características citadas nas especificações técnicas do Anexo I.</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Item III – 500 Unidades – Luminária LED Pública Viária, p</w:t>
      </w:r>
      <w:r>
        <w:rPr>
          <w:rStyle w:val="Strong"/>
          <w:rFonts w:eastAsia="Arial" w:cs="Arial" w:ascii="Arial" w:hAnsi="Arial"/>
          <w:b w:val="false"/>
          <w:bCs w:val="false"/>
          <w:color w:val="000000"/>
          <w:sz w:val="22"/>
          <w:szCs w:val="22"/>
          <w:shd w:fill="auto" w:val="clear"/>
        </w:rPr>
        <w:t xml:space="preserve">otência nominal </w:t>
      </w:r>
      <w:r>
        <w:rPr>
          <w:rStyle w:val="Strong"/>
          <w:rFonts w:eastAsia="Liberation Serif;Times New Roman" w:cs="Arial" w:ascii="Arial" w:hAnsi="Arial"/>
          <w:b w:val="false"/>
          <w:bCs w:val="false"/>
          <w:color w:val="000000"/>
          <w:sz w:val="22"/>
          <w:szCs w:val="22"/>
          <w:shd w:fill="auto" w:val="clear"/>
        </w:rPr>
        <w:t>≤</w:t>
      </w:r>
      <w:r>
        <w:rPr>
          <w:rStyle w:val="Strong"/>
          <w:rFonts w:eastAsia="Arial" w:cs="Arial" w:ascii="Arial" w:hAnsi="Arial"/>
          <w:b w:val="false"/>
          <w:bCs w:val="false"/>
          <w:color w:val="000000"/>
          <w:sz w:val="22"/>
          <w:szCs w:val="22"/>
          <w:shd w:fill="auto" w:val="clear"/>
        </w:rPr>
        <w:t xml:space="preserve"> 120 W</w:t>
        <w:br/>
        <w:t xml:space="preserve">Aplicável em vias de médio porte e logradouros com demanda intermediária de iluminação, atendendo aos requisitos de eficiência luminosa. </w:t>
      </w:r>
      <w:r>
        <w:rPr>
          <w:rStyle w:val="Strong"/>
          <w:rFonts w:eastAsia="Arial" w:cs="Arial" w:ascii="Arial" w:hAnsi="Arial"/>
          <w:b/>
          <w:bCs w:val="false"/>
          <w:color w:val="000000"/>
          <w:sz w:val="22"/>
          <w:szCs w:val="22"/>
          <w:shd w:fill="auto" w:val="clear"/>
        </w:rPr>
        <w:t>Demais características citadas nas especificações técnicas do Anexo I.</w:t>
      </w:r>
    </w:p>
    <w:p>
      <w:pPr>
        <w:pStyle w:val="Corpodotexto"/>
        <w:numPr>
          <w:ilvl w:val="0"/>
          <w:numId w:val="2"/>
        </w:numPr>
        <w:spacing w:lineRule="auto" w:line="276" w:before="0" w:after="0"/>
        <w:jc w:val="both"/>
        <w:rPr/>
      </w:pPr>
      <w:r>
        <w:rPr>
          <w:rStyle w:val="Strong"/>
          <w:rFonts w:eastAsia="Arial" w:cs="Arial" w:ascii="Arial" w:hAnsi="Arial"/>
          <w:color w:val="000000"/>
          <w:sz w:val="22"/>
          <w:szCs w:val="22"/>
          <w:shd w:fill="auto" w:val="clear"/>
        </w:rPr>
        <w:t>Item IV  – 500 Unidades – Luminária LED Pública Viária,</w:t>
      </w:r>
      <w:r>
        <w:rPr>
          <w:rStyle w:val="Strong"/>
          <w:rFonts w:eastAsia="Arial" w:cs="Arial" w:ascii="Arial" w:hAnsi="Arial"/>
          <w:b w:val="false"/>
          <w:bCs w:val="false"/>
          <w:color w:val="000000"/>
          <w:sz w:val="22"/>
          <w:szCs w:val="22"/>
          <w:shd w:fill="auto" w:val="clear"/>
        </w:rPr>
        <w:t xml:space="preserve"> potência nominal </w:t>
      </w:r>
      <w:r>
        <w:rPr>
          <w:rStyle w:val="Strong"/>
          <w:rFonts w:eastAsia="Liberation Serif;Times New Roman" w:cs="Arial" w:ascii="Arial" w:hAnsi="Arial"/>
          <w:b w:val="false"/>
          <w:bCs w:val="false"/>
          <w:color w:val="000000"/>
          <w:sz w:val="22"/>
          <w:szCs w:val="22"/>
          <w:shd w:fill="auto" w:val="clear"/>
        </w:rPr>
        <w:t>≤</w:t>
      </w:r>
      <w:r>
        <w:rPr>
          <w:rStyle w:val="Strong"/>
          <w:rFonts w:eastAsia="Arial" w:cs="Arial" w:ascii="Arial" w:hAnsi="Arial"/>
          <w:b w:val="false"/>
          <w:bCs w:val="false"/>
          <w:color w:val="000000"/>
          <w:sz w:val="22"/>
          <w:szCs w:val="22"/>
          <w:shd w:fill="auto" w:val="clear"/>
        </w:rPr>
        <w:t xml:space="preserve"> 150 W</w:t>
      </w:r>
      <w:r>
        <w:rPr>
          <w:rFonts w:eastAsia="Arial" w:cs="Arial" w:ascii="Arial" w:hAnsi="Arial"/>
          <w:b w:val="false"/>
          <w:bCs w:val="false"/>
          <w:color w:val="000000"/>
          <w:sz w:val="22"/>
          <w:szCs w:val="22"/>
          <w:shd w:fill="auto" w:val="clear"/>
        </w:rPr>
        <w:br/>
        <w:t xml:space="preserve">Destinada a vias de maior fluxo e necessidade de elevada potência luminosa, garantindo eficiência energética. </w:t>
      </w:r>
      <w:r>
        <w:rPr>
          <w:rFonts w:eastAsia="Arial" w:cs="Arial" w:ascii="Arial" w:hAnsi="Arial"/>
          <w:b/>
          <w:bCs w:val="false"/>
          <w:color w:val="000000"/>
          <w:sz w:val="22"/>
          <w:szCs w:val="22"/>
          <w:shd w:fill="auto" w:val="clear"/>
        </w:rPr>
        <w:t xml:space="preserve">Demais características citadas nas especificações técnicas do Anexo I. </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5.3 Dos Valores Propostos</w:t>
      </w:r>
    </w:p>
    <w:p>
      <w:pPr>
        <w:pStyle w:val="Corpodotexto"/>
        <w:numPr>
          <w:ilvl w:val="0"/>
          <w:numId w:val="2"/>
        </w:numPr>
        <w:spacing w:lineRule="auto" w:line="276" w:before="0" w:after="26"/>
        <w:jc w:val="both"/>
        <w:rPr/>
      </w:pPr>
      <w:r>
        <w:rPr>
          <w:rStyle w:val="Strong"/>
          <w:rFonts w:cs="Arial" w:ascii="Arial" w:hAnsi="Arial"/>
          <w:b w:val="false"/>
          <w:bCs w:val="false"/>
          <w:color w:val="000000"/>
          <w:sz w:val="22"/>
          <w:szCs w:val="22"/>
          <w:shd w:fill="auto" w:val="clear"/>
        </w:rPr>
        <w:t>Os valores propostos pelas empresas interessadas deverão contemplar todas as despesas necessárias ao fornecimento e à prestação dos serviços solicitados, incluindo custos diretos e indiretos, tais como tributos, taxas, encargos trabalhistas, previdenciários, seguros, transporte, carga, descarga, embalagens e quaisquer outros necessários à execução integral do objeto, uma vez que, essas despesas ficarão integralmente a cargo da empresa contratada, sendo vedada a cobrança adicional de valores posteriores a contratação do Município.</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 xml:space="preserve">O valor máximo total da contratação é de </w:t>
      </w:r>
      <w:r>
        <w:rPr>
          <w:rStyle w:val="Strong"/>
          <w:rFonts w:cs="Arial" w:ascii="Arial" w:hAnsi="Arial"/>
          <w:b/>
          <w:bCs/>
          <w:color w:val="000000"/>
          <w:sz w:val="22"/>
          <w:szCs w:val="22"/>
          <w:shd w:fill="auto" w:val="clear"/>
        </w:rPr>
        <w:t>R$ 432.989,50</w:t>
      </w:r>
      <w:r>
        <w:rPr>
          <w:rStyle w:val="Strong"/>
          <w:rFonts w:cs="Arial" w:ascii="Arial" w:hAnsi="Arial"/>
          <w:b w:val="false"/>
          <w:bCs w:val="false"/>
          <w:color w:val="000000"/>
          <w:sz w:val="22"/>
          <w:szCs w:val="22"/>
          <w:shd w:fill="auto" w:val="clear"/>
        </w:rPr>
        <w:t xml:space="preserve"> (quatrocentos e trinta e dois mil, novecentos e oitenta e nove reais e cinquenta centavos) apurado com base na mediana obtida entre os valores constantes nos orçamentos fornecidos por empresas consultadas, no Painel de Preços do Governo Federal e de Sites especializados, conforme Anexo I, dados inseridos no sistema e descrições técnicas que seguem neste documento.</w:t>
      </w:r>
    </w:p>
    <w:p>
      <w:pPr>
        <w:pStyle w:val="Corpodotexto"/>
        <w:numPr>
          <w:ilvl w:val="0"/>
          <w:numId w:val="2"/>
        </w:numPr>
        <w:spacing w:lineRule="auto" w:line="276" w:before="0" w:after="2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before="0" w:after="0"/>
        <w:ind w:right="0" w:hanging="0"/>
        <w:jc w:val="both"/>
        <w:rPr/>
      </w:pPr>
      <w:r>
        <w:rPr>
          <w:rStyle w:val="Strong"/>
          <w:rFonts w:eastAsia="Times New Roman" w:cs="Arial" w:ascii="Arial" w:hAnsi="Arial"/>
          <w:b/>
          <w:bCs/>
          <w:color w:val="000000"/>
          <w:sz w:val="22"/>
          <w:szCs w:val="22"/>
          <w:shd w:fill="auto" w:val="clear"/>
        </w:rPr>
        <w:t>5.3.1 Justificativa da Definição do Preço Referencial pela Mediana</w:t>
      </w:r>
    </w:p>
    <w:p>
      <w:pPr>
        <w:pStyle w:val="Corpodotexto"/>
        <w:numPr>
          <w:ilvl w:val="0"/>
          <w:numId w:val="2"/>
        </w:numPr>
        <w:spacing w:lineRule="auto" w:line="276" w:before="0" w:after="0"/>
        <w:jc w:val="both"/>
        <w:rPr/>
      </w:pPr>
      <w:r>
        <w:rPr>
          <w:rFonts w:cs="Arial" w:ascii="Arial" w:hAnsi="Arial"/>
          <w:color w:val="000000"/>
          <w:sz w:val="22"/>
          <w:szCs w:val="22"/>
          <w:shd w:fill="auto" w:val="clear"/>
        </w:rPr>
        <w:t xml:space="preserve">Durante a etapa de pesquisa de preços, verificou-se que os </w:t>
      </w:r>
      <w:r>
        <w:rPr>
          <w:rStyle w:val="Strong"/>
          <w:rFonts w:cs="Arial" w:ascii="Arial" w:hAnsi="Arial"/>
          <w:color w:val="000000"/>
          <w:sz w:val="22"/>
          <w:szCs w:val="22"/>
          <w:shd w:fill="auto" w:val="clear"/>
        </w:rPr>
        <w:t>valores apurados apresentaram grande variação entre o maior e o menor orçamento obtido</w:t>
      </w:r>
      <w:r>
        <w:rPr>
          <w:rFonts w:cs="Arial" w:ascii="Arial" w:hAnsi="Arial"/>
          <w:color w:val="000000"/>
          <w:sz w:val="22"/>
          <w:szCs w:val="22"/>
          <w:shd w:fill="auto" w:val="clear"/>
        </w:rPr>
        <w:t>, resultando em diferença expressiva entre as cotações. Tal discrepância, caso não fosse considerada, poderia comprometer a representatividade da estimativa e distorcer o valor de referência.</w:t>
      </w:r>
    </w:p>
    <w:p>
      <w:pPr>
        <w:pStyle w:val="Corpodotexto"/>
        <w:numPr>
          <w:ilvl w:val="0"/>
          <w:numId w:val="2"/>
        </w:numPr>
        <w:spacing w:lineRule="auto" w:line="276" w:before="0" w:after="0"/>
        <w:jc w:val="both"/>
        <w:rPr/>
      </w:pPr>
      <w:r>
        <w:rPr>
          <w:rFonts w:cs="Arial" w:ascii="Arial" w:hAnsi="Arial"/>
          <w:color w:val="000000"/>
          <w:sz w:val="22"/>
          <w:szCs w:val="22"/>
          <w:shd w:fill="auto" w:val="clear"/>
        </w:rPr>
        <w:t xml:space="preserve">Dessa forma, optou-se pela utilização da </w:t>
      </w:r>
      <w:r>
        <w:rPr>
          <w:rStyle w:val="Strong"/>
          <w:rFonts w:cs="Arial" w:ascii="Arial" w:hAnsi="Arial"/>
          <w:color w:val="000000"/>
          <w:sz w:val="22"/>
          <w:szCs w:val="22"/>
          <w:shd w:fill="auto" w:val="clear"/>
        </w:rPr>
        <w:t>mediana</w:t>
      </w:r>
      <w:r>
        <w:rPr>
          <w:rFonts w:cs="Arial" w:ascii="Arial" w:hAnsi="Arial"/>
          <w:color w:val="000000"/>
          <w:sz w:val="22"/>
          <w:szCs w:val="22"/>
          <w:shd w:fill="auto" w:val="clear"/>
        </w:rPr>
        <w:t xml:space="preserve"> como parâmetro de definição do preço estimado, uma vez que este critério: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Mitiga distorções</w:t>
      </w:r>
      <w:r>
        <w:rPr>
          <w:rFonts w:cs="Arial" w:ascii="Arial" w:hAnsi="Arial"/>
          <w:color w:val="000000"/>
          <w:sz w:val="22"/>
          <w:szCs w:val="22"/>
          <w:shd w:fill="auto" w:val="clear"/>
        </w:rPr>
        <w:t xml:space="preserve"> provocadas por orçamentos excessivamente altos ou excessivamente baixos, que não refletem a média de mercado;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Assegura maior equilíbrio e aderência aos preços praticados</w:t>
      </w:r>
      <w:r>
        <w:rPr>
          <w:rFonts w:cs="Arial" w:ascii="Arial" w:hAnsi="Arial"/>
          <w:color w:val="000000"/>
          <w:sz w:val="22"/>
          <w:szCs w:val="22"/>
          <w:shd w:fill="auto" w:val="clear"/>
        </w:rPr>
        <w:t>, fornecendo um valor referencial mais confiável e realista;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Reduz o risco de licitação deserta</w:t>
      </w:r>
      <w:r>
        <w:rPr>
          <w:rFonts w:cs="Arial" w:ascii="Arial" w:hAnsi="Arial"/>
          <w:color w:val="000000"/>
          <w:sz w:val="22"/>
          <w:szCs w:val="22"/>
          <w:shd w:fill="auto" w:val="clear"/>
        </w:rPr>
        <w:t>, pois a fixação do preço estimado com base apenas no menor valor poderia inviabilizar a participação de fornecedores que não conseguem praticar preços tão reduzidos, afastando concorrentes e comprometendo a competitividade;</w:t>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Atende ao princípio da economicidade e eficiência</w:t>
      </w:r>
      <w:r>
        <w:rPr>
          <w:rFonts w:cs="Arial" w:ascii="Arial" w:hAnsi="Arial"/>
          <w:color w:val="000000"/>
          <w:sz w:val="22"/>
          <w:szCs w:val="22"/>
          <w:shd w:fill="auto" w:val="clear"/>
        </w:rPr>
        <w:t>, previsto no art. 5º, inciso IV, da Lei nº 14.133/2021, garantindo o melhor aproveitamento dos recursos públicos sem comprometer a execução contratual.</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Assim, a adoção da mediana como preço referencial se mostra a alternativa mais adequada para representar o valor de mercado, equilibrando economicidade e viabilidade, e proporcionando segurança à Administração no planejamento e na condução do certame.</w:t>
        <w:tab/>
      </w:r>
    </w:p>
    <w:p>
      <w:pPr>
        <w:pStyle w:val="Corpodotexto"/>
        <w:numPr>
          <w:ilvl w:val="0"/>
          <w:numId w:val="2"/>
        </w:numPr>
        <w:spacing w:lineRule="auto" w:line="276" w:before="0" w:after="26"/>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5.4 Disponibilidade dos Itens da Ata</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Os itens registrados estarão disponíveis para utilização por </w:t>
      </w:r>
      <w:r>
        <w:rPr>
          <w:rStyle w:val="Strong"/>
          <w:rFonts w:cs="Arial" w:ascii="Arial" w:hAnsi="Arial"/>
          <w:b w:val="false"/>
          <w:bCs w:val="false"/>
          <w:color w:val="000000"/>
          <w:sz w:val="22"/>
          <w:szCs w:val="22"/>
          <w:shd w:fill="auto" w:val="clear"/>
        </w:rPr>
        <w:t>todas as Secretarias e órgãos vinculados à Administração Direta do Município</w:t>
      </w:r>
      <w:r>
        <w:rPr>
          <w:rFonts w:cs="Arial" w:ascii="Arial" w:hAnsi="Arial"/>
          <w:b w:val="false"/>
          <w:bCs w:val="false"/>
          <w:color w:val="000000"/>
          <w:sz w:val="22"/>
          <w:szCs w:val="22"/>
          <w:shd w:fill="auto" w:val="clear"/>
        </w:rPr>
        <w:t xml:space="preserve"> durante todo o período de vigência da Ata, observadas as demandas, limites quantitativos e respectivas dotações orçamentárias.</w:t>
      </w:r>
    </w:p>
    <w:p>
      <w:pPr>
        <w:pStyle w:val="Corpodotexto"/>
        <w:numPr>
          <w:ilvl w:val="0"/>
          <w:numId w:val="2"/>
        </w:numPr>
        <w:spacing w:lineRule="auto" w:line="276" w:before="0" w:after="26"/>
        <w:jc w:val="both"/>
        <w:rPr/>
      </w:pPr>
      <w:r>
        <w:rPr>
          <w:rFonts w:cs="Arial" w:ascii="Arial" w:hAnsi="Arial"/>
          <w:b w:val="false"/>
          <w:bCs w:val="false"/>
          <w:color w:val="000000"/>
          <w:sz w:val="22"/>
          <w:szCs w:val="22"/>
          <w:shd w:fill="auto" w:val="clear"/>
        </w:rPr>
        <w:t xml:space="preserve">As solicitações de fornecimento deverão ser formalizada nos canais oficiais definidos pela Administração, </w:t>
      </w:r>
      <w:r>
        <w:rPr>
          <w:rStyle w:val="Strong"/>
          <w:rFonts w:cs="Arial" w:ascii="Arial" w:hAnsi="Arial"/>
          <w:b w:val="false"/>
          <w:bCs w:val="false"/>
          <w:color w:val="000000"/>
          <w:sz w:val="22"/>
          <w:szCs w:val="22"/>
          <w:shd w:fill="auto" w:val="clear"/>
        </w:rPr>
        <w:t>instruída obrigatoriamente através do pedido do eletricista responsável</w:t>
      </w:r>
      <w:r>
        <w:rPr>
          <w:rFonts w:cs="Arial" w:ascii="Arial" w:hAnsi="Arial"/>
          <w:b w:val="false"/>
          <w:bCs w:val="false"/>
          <w:color w:val="000000"/>
          <w:sz w:val="22"/>
          <w:szCs w:val="22"/>
          <w:shd w:fill="auto" w:val="clear"/>
        </w:rPr>
        <w:t xml:space="preserve"> ou profissional técnico designado, visando assegurar o correto dimensionamento, aplicação e rastreabilidade do uso dos materiais, bem como a conformidade técnica das instalações e serviços realizados.</w:t>
      </w:r>
    </w:p>
    <w:p>
      <w:pPr>
        <w:pStyle w:val="Normal"/>
        <w:numPr>
          <w:ilvl w:val="0"/>
          <w:numId w:val="2"/>
        </w:numPr>
        <w:spacing w:lineRule="auto" w:line="276"/>
        <w:jc w:val="both"/>
        <w:rPr>
          <w:rStyle w:val="Strong"/>
          <w:rFonts w:ascii="Arial" w:hAnsi="Arial" w:cs="Arial"/>
          <w:color w:val="000000"/>
          <w:sz w:val="22"/>
          <w:szCs w:val="22"/>
          <w:highlight w:val="none"/>
          <w:shd w:fill="auto" w:val="clear"/>
        </w:rPr>
      </w:pPr>
      <w:r>
        <w:rPr/>
      </w:r>
    </w:p>
    <w:p>
      <w:pPr>
        <w:pStyle w:val="Normal"/>
        <w:numPr>
          <w:ilvl w:val="0"/>
          <w:numId w:val="2"/>
        </w:numPr>
        <w:spacing w:lineRule="auto" w:line="276"/>
        <w:jc w:val="both"/>
        <w:rPr/>
      </w:pPr>
      <w:r>
        <w:rPr>
          <w:rStyle w:val="Strong"/>
          <w:rFonts w:cs="Arial" w:ascii="Arial" w:hAnsi="Arial"/>
          <w:color w:val="000000"/>
          <w:sz w:val="22"/>
          <w:szCs w:val="22"/>
          <w:shd w:fill="auto" w:val="clear"/>
        </w:rPr>
        <w:t>6. MODELO DE GESTÃO DO CONTRATO</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A presente contratação será regida por Ata de Registro de Preços ou documento equivalente compatível, conforme previsto na legislação aplicável.</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gestão do contrato será realizada por </w:t>
      </w:r>
      <w:r>
        <w:rPr>
          <w:rStyle w:val="Strong"/>
          <w:rFonts w:cs="Arial" w:ascii="Arial" w:hAnsi="Arial"/>
          <w:b w:val="false"/>
          <w:bCs w:val="false"/>
          <w:color w:val="000000"/>
          <w:sz w:val="22"/>
          <w:szCs w:val="22"/>
          <w:shd w:fill="auto" w:val="clear"/>
        </w:rPr>
        <w:t>Gestor e Fiscal formalmente designados</w:t>
      </w:r>
      <w:r>
        <w:rPr>
          <w:rFonts w:cs="Arial" w:ascii="Arial" w:hAnsi="Arial"/>
          <w:b w:val="false"/>
          <w:bCs w:val="false"/>
          <w:color w:val="000000"/>
          <w:sz w:val="22"/>
          <w:szCs w:val="22"/>
          <w:shd w:fill="auto" w:val="clear"/>
        </w:rPr>
        <w:t>, que acompanharão todas as etapas da execução, desde as solicitações de fornecimento, recebimento provisório e até o definitivo dos materiais, verificando a conformidade com as especificações técnicas e exigências contratuais,</w:t>
      </w:r>
      <w:r>
        <w:rPr>
          <w:rStyle w:val="Strong"/>
          <w:rFonts w:cs="Arial" w:ascii="Arial" w:hAnsi="Arial"/>
          <w:b w:val="false"/>
          <w:bCs w:val="false"/>
          <w:color w:val="000000"/>
          <w:sz w:val="22"/>
          <w:szCs w:val="22"/>
          <w:shd w:fill="auto" w:val="clear"/>
        </w:rPr>
        <w:t xml:space="preserve"> que acompanharão: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solicitações de fornecimento;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recebimento provisório e definitivo das luminárias;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verificação de conformidade técnica e documental;</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cumprimento das obrigações de logística reversa e sustentabilidade.</w:t>
      </w:r>
    </w:p>
    <w:p>
      <w:pPr>
        <w:pStyle w:val="Normal"/>
        <w:numPr>
          <w:ilvl w:val="0"/>
          <w:numId w:val="0"/>
        </w:numPr>
        <w:spacing w:lineRule="auto" w:line="276"/>
        <w:ind w:left="0" w:hanging="0"/>
        <w:jc w:val="both"/>
        <w:rPr/>
      </w:pPr>
      <w:r>
        <w:rPr>
          <w:rFonts w:cs="Arial" w:ascii="Arial" w:hAnsi="Arial"/>
          <w:b w:val="false"/>
          <w:bCs w:val="false"/>
          <w:color w:val="000000"/>
          <w:sz w:val="22"/>
          <w:szCs w:val="22"/>
          <w:shd w:fill="auto" w:val="clear"/>
        </w:rPr>
        <w:t xml:space="preserve">A gestão do contrato observará rigorosamente as disposições da </w:t>
      </w:r>
      <w:r>
        <w:rPr>
          <w:rStyle w:val="Strong"/>
          <w:rFonts w:cs="Arial" w:ascii="Arial" w:hAnsi="Arial"/>
          <w:b w:val="false"/>
          <w:bCs w:val="false"/>
          <w:color w:val="000000"/>
          <w:sz w:val="22"/>
          <w:szCs w:val="22"/>
          <w:shd w:fill="auto" w:val="clear"/>
        </w:rPr>
        <w:t>Lei nº 14.133/2021</w:t>
      </w:r>
      <w:r>
        <w:rPr>
          <w:rFonts w:cs="Arial" w:ascii="Arial" w:hAnsi="Arial"/>
          <w:b w:val="false"/>
          <w:bCs w:val="false"/>
          <w:color w:val="000000"/>
          <w:sz w:val="22"/>
          <w:szCs w:val="22"/>
          <w:shd w:fill="auto" w:val="clear"/>
        </w:rPr>
        <w:t xml:space="preserve"> e demais normas aplicáveis, visando assegurar o cumprimento integral das obrigações assumidas pela contratada, a qualidade do objeto e a proteção do interesse público, </w:t>
      </w:r>
      <w:r>
        <w:rPr>
          <w:rStyle w:val="Strong"/>
          <w:rFonts w:cs="Arial" w:ascii="Arial" w:hAnsi="Arial"/>
          <w:b w:val="false"/>
          <w:bCs w:val="false"/>
          <w:color w:val="000000"/>
          <w:sz w:val="22"/>
          <w:szCs w:val="22"/>
          <w:shd w:fill="auto" w:val="clear"/>
        </w:rPr>
        <w:t>devendo, para tanto, atender aos requisitos mínimos estabelecidos no Anexo I e neste Termo de Referência conforme descrito abaixo:</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Designação de Gestor e Fiscal</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color w:val="000000"/>
          <w:sz w:val="22"/>
          <w:szCs w:val="22"/>
          <w:shd w:fill="auto" w:val="clear"/>
        </w:rPr>
        <w:t xml:space="preserve">A Secretaria de Obras, Saneamento e Trânsito designará formalmente um </w:t>
      </w:r>
      <w:r>
        <w:rPr>
          <w:rStyle w:val="Strong"/>
          <w:rFonts w:cs="Arial" w:ascii="Arial" w:hAnsi="Arial"/>
          <w:color w:val="000000"/>
          <w:sz w:val="22"/>
          <w:szCs w:val="22"/>
          <w:shd w:fill="auto" w:val="clear"/>
        </w:rPr>
        <w:t>Gestor do Contrato</w:t>
      </w:r>
      <w:r>
        <w:rPr>
          <w:rFonts w:cs="Arial" w:ascii="Arial" w:hAnsi="Arial"/>
          <w:color w:val="000000"/>
          <w:sz w:val="22"/>
          <w:szCs w:val="22"/>
          <w:shd w:fill="auto" w:val="clear"/>
        </w:rPr>
        <w:t xml:space="preserve"> e um ou mais </w:t>
      </w:r>
      <w:r>
        <w:rPr>
          <w:rStyle w:val="Strong"/>
          <w:rFonts w:cs="Arial" w:ascii="Arial" w:hAnsi="Arial"/>
          <w:color w:val="000000"/>
          <w:sz w:val="22"/>
          <w:szCs w:val="22"/>
          <w:shd w:fill="auto" w:val="clear"/>
        </w:rPr>
        <w:t>Fiscais</w:t>
      </w:r>
      <w:r>
        <w:rPr>
          <w:rFonts w:cs="Arial" w:ascii="Arial" w:hAnsi="Arial"/>
          <w:color w:val="000000"/>
          <w:sz w:val="22"/>
          <w:szCs w:val="22"/>
          <w:shd w:fill="auto" w:val="clear"/>
        </w:rPr>
        <w:t>, servidores efetivos, para acompanhar e controlar a execução contratual.</w:t>
      </w:r>
    </w:p>
    <w:p>
      <w:pPr>
        <w:pStyle w:val="Corpodotexto"/>
        <w:numPr>
          <w:ilvl w:val="1"/>
          <w:numId w:val="2"/>
        </w:numPr>
        <w:tabs>
          <w:tab w:val="clear" w:pos="408"/>
          <w:tab w:val="left" w:pos="0" w:leader="none"/>
        </w:tabs>
        <w:spacing w:lineRule="auto" w:line="276" w:before="0" w:after="0"/>
        <w:ind w:right="0" w:hanging="0"/>
        <w:jc w:val="both"/>
        <w:rPr/>
      </w:pPr>
      <w:r>
        <w:rPr>
          <w:rFonts w:cs="Arial" w:ascii="Arial" w:hAnsi="Arial"/>
          <w:color w:val="000000"/>
          <w:sz w:val="22"/>
          <w:szCs w:val="22"/>
          <w:shd w:fill="auto" w:val="clear"/>
        </w:rPr>
        <w:t xml:space="preserve">O </w:t>
      </w:r>
      <w:r>
        <w:rPr>
          <w:rStyle w:val="Strong"/>
          <w:rFonts w:cs="Arial" w:ascii="Arial" w:hAnsi="Arial"/>
          <w:color w:val="000000"/>
          <w:sz w:val="22"/>
          <w:szCs w:val="22"/>
          <w:shd w:fill="auto" w:val="clear"/>
        </w:rPr>
        <w:t>Gestor do Contrato</w:t>
      </w:r>
      <w:r>
        <w:rPr>
          <w:rFonts w:cs="Arial" w:ascii="Arial" w:hAnsi="Arial"/>
          <w:color w:val="000000"/>
          <w:sz w:val="22"/>
          <w:szCs w:val="22"/>
          <w:shd w:fill="auto" w:val="clear"/>
        </w:rPr>
        <w:t xml:space="preserve"> será responsável pelo acompanhamento total da execução, pela interlocução com a contratada, pela análise de solicitações de alteração ou prorrogação e pela adoção de medidas necessárias ao fiel cumprimento do ajuste.</w:t>
      </w:r>
    </w:p>
    <w:p>
      <w:pPr>
        <w:pStyle w:val="Corpodotexto"/>
        <w:numPr>
          <w:ilvl w:val="1"/>
          <w:numId w:val="2"/>
        </w:numPr>
        <w:tabs>
          <w:tab w:val="clear" w:pos="408"/>
          <w:tab w:val="left" w:pos="0" w:leader="none"/>
        </w:tabs>
        <w:spacing w:lineRule="auto" w:line="276"/>
        <w:ind w:right="0" w:hanging="0"/>
        <w:jc w:val="both"/>
        <w:rPr/>
      </w:pPr>
      <w:r>
        <w:rPr>
          <w:rFonts w:cs="Arial" w:ascii="Arial" w:hAnsi="Arial"/>
          <w:color w:val="000000"/>
          <w:sz w:val="22"/>
          <w:szCs w:val="22"/>
          <w:shd w:fill="auto" w:val="clear"/>
        </w:rPr>
        <w:t xml:space="preserve">O </w:t>
      </w:r>
      <w:r>
        <w:rPr>
          <w:rStyle w:val="Strong"/>
          <w:rFonts w:cs="Arial" w:ascii="Arial" w:hAnsi="Arial"/>
          <w:color w:val="000000"/>
          <w:sz w:val="22"/>
          <w:szCs w:val="22"/>
          <w:shd w:fill="auto" w:val="clear"/>
        </w:rPr>
        <w:t>Fiscal do Contrato</w:t>
      </w:r>
      <w:r>
        <w:rPr>
          <w:rFonts w:cs="Arial" w:ascii="Arial" w:hAnsi="Arial"/>
          <w:color w:val="000000"/>
          <w:sz w:val="22"/>
          <w:szCs w:val="22"/>
          <w:shd w:fill="auto" w:val="clear"/>
        </w:rPr>
        <w:t xml:space="preserve"> será responsável pela verificação in loco da entrega e da conformidade dos bens/serviços, registrando em relatório próprio quaisquer ocorrências e inconformidades, comunicando-as de imediato ao Gestor.</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Instrumentos de Acompanhamento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Serão utilizados relatórios de recebimento, checklists de conformidade e documentos fiscais para aferição da execução.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Todas as comunicações formais entre a Administração, seu Gestor, Fiscal e a Contratada, serão registradas nos canais oficiais e juntadas ao processo administrativo correspondente.</w:t>
      </w:r>
    </w:p>
    <w:p>
      <w:pPr>
        <w:pStyle w:val="Corpodotexto"/>
        <w:numPr>
          <w:ilvl w:val="0"/>
          <w:numId w:val="0"/>
        </w:numPr>
        <w:tabs>
          <w:tab w:val="clear" w:pos="408"/>
          <w:tab w:val="left" w:pos="0" w:leader="none"/>
        </w:tabs>
        <w:spacing w:lineRule="auto" w:line="276" w:before="0" w:after="0"/>
        <w:ind w:right="0" w:hanging="0"/>
        <w:jc w:val="both"/>
        <w:rPr>
          <w:rStyle w:val="Strong"/>
          <w:rFonts w:ascii="Arial" w:hAnsi="Arial" w:cs="Arial"/>
          <w:color w:val="000000"/>
          <w:sz w:val="22"/>
          <w:szCs w:val="22"/>
          <w:highlight w:val="none"/>
          <w:shd w:fill="auto" w:val="clear"/>
        </w:rPr>
      </w:pPr>
      <w:r>
        <w:rPr/>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Fluxo de Controle e Recebimento</w:t>
      </w:r>
    </w:p>
    <w:p>
      <w:pPr>
        <w:pStyle w:val="Corpodotexto"/>
        <w:numPr>
          <w:ilvl w:val="0"/>
          <w:numId w:val="2"/>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Recebimento Provisório:</w:t>
      </w:r>
      <w:r>
        <w:rPr>
          <w:rFonts w:cs="Arial" w:ascii="Arial" w:hAnsi="Arial"/>
          <w:color w:val="000000"/>
          <w:sz w:val="22"/>
          <w:szCs w:val="22"/>
          <w:shd w:fill="auto" w:val="clear"/>
        </w:rPr>
        <w:t xml:space="preserve"> conferência quantitativa e qualitativa inicial no ato da entrega, para verificação preliminar de conformidade.</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Recebimento Definitivo:</w:t>
      </w:r>
      <w:r>
        <w:rPr>
          <w:rFonts w:cs="Arial" w:ascii="Arial" w:hAnsi="Arial"/>
          <w:color w:val="000000"/>
          <w:sz w:val="22"/>
          <w:szCs w:val="22"/>
          <w:shd w:fill="auto" w:val="clear"/>
        </w:rPr>
        <w:t xml:space="preserve"> após inspeção detalhada pelo Fiscal e saneamento de eventuais pendências, implicando aceitação final do objeto.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Tratamento de Inconformidades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Havendo descumprimento contratual, o Fiscal registrará a ocorrência e encaminhará ao Gestor para adoção das medidas cabíveis, inclusive aplicação de sanções previstas no contrato e na legislação.</w:t>
      </w:r>
    </w:p>
    <w:p>
      <w:pPr>
        <w:pStyle w:val="Corpodotexto"/>
        <w:numPr>
          <w:ilvl w:val="0"/>
          <w:numId w:val="0"/>
        </w:numPr>
        <w:tabs>
          <w:tab w:val="clear" w:pos="408"/>
          <w:tab w:val="left" w:pos="0" w:leader="none"/>
        </w:tabs>
        <w:spacing w:lineRule="auto" w:line="276"/>
        <w:ind w:right="0" w:hanging="0"/>
        <w:jc w:val="both"/>
        <w:rPr/>
      </w:pPr>
      <w:r>
        <w:rPr>
          <w:rFonts w:cs="Arial" w:ascii="Arial" w:hAnsi="Arial"/>
          <w:color w:val="000000"/>
          <w:sz w:val="22"/>
          <w:szCs w:val="22"/>
          <w:shd w:fill="auto" w:val="clear"/>
        </w:rPr>
        <w:t xml:space="preserve">Ocorrências relacionadas a defeitos ou desconformidades deverão ser sanadas pela contratada no prazo máximo de </w:t>
      </w:r>
      <w:r>
        <w:rPr>
          <w:rStyle w:val="Strong"/>
          <w:rFonts w:cs="Arial" w:ascii="Arial" w:hAnsi="Arial"/>
          <w:color w:val="000000"/>
          <w:sz w:val="22"/>
          <w:szCs w:val="22"/>
          <w:shd w:fill="auto" w:val="clear"/>
        </w:rPr>
        <w:t>5 (cinco) dias úteis</w:t>
      </w:r>
      <w:r>
        <w:rPr>
          <w:rFonts w:cs="Arial" w:ascii="Arial" w:hAnsi="Arial"/>
          <w:color w:val="000000"/>
          <w:sz w:val="22"/>
          <w:szCs w:val="22"/>
          <w:shd w:fill="auto" w:val="clear"/>
        </w:rPr>
        <w:t>, incluindo recolhimento, substituição e entrega do item conforme especificações, sem ônus ao Município.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Relatórios e Encerramento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Gestor elaborará relatório conclusivo ao término da execução, atestando o cumprimento ou não das obrigações contratuais.</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O fornecimento será considerado </w:t>
      </w:r>
      <w:r>
        <w:rPr>
          <w:rStyle w:val="Strong"/>
          <w:rFonts w:cs="Arial" w:ascii="Arial" w:hAnsi="Arial"/>
          <w:b w:val="false"/>
          <w:bCs w:val="false"/>
          <w:color w:val="000000"/>
          <w:sz w:val="22"/>
          <w:szCs w:val="22"/>
          <w:shd w:fill="auto" w:val="clear"/>
        </w:rPr>
        <w:t>integralmente quitado</w:t>
      </w:r>
      <w:r>
        <w:rPr>
          <w:rFonts w:cs="Arial" w:ascii="Arial" w:hAnsi="Arial"/>
          <w:b w:val="false"/>
          <w:bCs w:val="false"/>
          <w:color w:val="000000"/>
          <w:sz w:val="22"/>
          <w:szCs w:val="22"/>
          <w:shd w:fill="auto" w:val="clear"/>
        </w:rPr>
        <w:t xml:space="preserve"> com o </w:t>
      </w:r>
      <w:r>
        <w:rPr>
          <w:rStyle w:val="Strong"/>
          <w:rFonts w:cs="Arial" w:ascii="Arial" w:hAnsi="Arial"/>
          <w:b w:val="false"/>
          <w:bCs w:val="false"/>
          <w:color w:val="000000"/>
          <w:sz w:val="22"/>
          <w:szCs w:val="22"/>
          <w:shd w:fill="auto" w:val="clear"/>
        </w:rPr>
        <w:t>recebimento definitivo dos materiais</w:t>
      </w:r>
      <w:r>
        <w:rPr>
          <w:rFonts w:cs="Arial" w:ascii="Arial" w:hAnsi="Arial"/>
          <w:b w:val="false"/>
          <w:bCs w:val="false"/>
          <w:color w:val="000000"/>
          <w:sz w:val="22"/>
          <w:szCs w:val="22"/>
          <w:shd w:fill="auto" w:val="clear"/>
        </w:rPr>
        <w:t xml:space="preserve">, a consequente </w:t>
      </w:r>
      <w:r>
        <w:rPr>
          <w:rStyle w:val="Strong"/>
          <w:rFonts w:cs="Arial" w:ascii="Arial" w:hAnsi="Arial"/>
          <w:b w:val="false"/>
          <w:bCs w:val="false"/>
          <w:color w:val="000000"/>
          <w:sz w:val="22"/>
          <w:szCs w:val="22"/>
          <w:shd w:fill="auto" w:val="clear"/>
        </w:rPr>
        <w:t>quitação de todas as obrigações contratuais</w:t>
      </w:r>
      <w:r>
        <w:rPr>
          <w:rFonts w:cs="Arial" w:ascii="Arial" w:hAnsi="Arial"/>
          <w:b w:val="false"/>
          <w:bCs w:val="false"/>
          <w:color w:val="000000"/>
          <w:sz w:val="22"/>
          <w:szCs w:val="22"/>
          <w:shd w:fill="auto" w:val="clear"/>
        </w:rPr>
        <w:t xml:space="preserve"> e o devido </w:t>
      </w:r>
      <w:r>
        <w:rPr>
          <w:rStyle w:val="Strong"/>
          <w:rFonts w:cs="Arial" w:ascii="Arial" w:hAnsi="Arial"/>
          <w:b w:val="false"/>
          <w:bCs w:val="false"/>
          <w:color w:val="000000"/>
          <w:sz w:val="22"/>
          <w:szCs w:val="22"/>
          <w:shd w:fill="auto" w:val="clear"/>
        </w:rPr>
        <w:t>arquivamento da documentação comprobatória</w:t>
      </w:r>
      <w:r>
        <w:rPr>
          <w:rFonts w:cs="Arial" w:ascii="Arial" w:hAnsi="Arial"/>
          <w:b w:val="false"/>
          <w:bCs w:val="false"/>
          <w:color w:val="000000"/>
          <w:sz w:val="22"/>
          <w:szCs w:val="22"/>
          <w:shd w:fill="auto" w:val="clear"/>
        </w:rPr>
        <w:t xml:space="preserve"> nos autos do processo administrativo. </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Os documentos comprobatórios referentes à quitação do fornecimento e ao recebimento definitivo poderão, em caso de necessidade, ser substituídos pela </w:t>
      </w:r>
      <w:r>
        <w:rPr>
          <w:rStyle w:val="Strong"/>
          <w:rFonts w:cs="Arial" w:ascii="Arial" w:hAnsi="Arial"/>
          <w:b w:val="false"/>
          <w:bCs w:val="false"/>
          <w:color w:val="000000"/>
          <w:sz w:val="22"/>
          <w:szCs w:val="22"/>
          <w:shd w:fill="auto" w:val="clear"/>
        </w:rPr>
        <w:t>ratificação do documento fiscal</w:t>
      </w:r>
      <w:r>
        <w:rPr>
          <w:rFonts w:cs="Arial" w:ascii="Arial" w:hAnsi="Arial"/>
          <w:b w:val="false"/>
          <w:bCs w:val="false"/>
          <w:color w:val="000000"/>
          <w:sz w:val="22"/>
          <w:szCs w:val="22"/>
          <w:shd w:fill="auto" w:val="clear"/>
        </w:rPr>
        <w:t xml:space="preserve"> emitido pela contratada, devendo este ser encaminhado ao setor responsável </w:t>
      </w:r>
      <w:r>
        <w:rPr>
          <w:rStyle w:val="Strong"/>
          <w:rFonts w:cs="Arial" w:ascii="Arial" w:hAnsi="Arial"/>
          <w:b w:val="false"/>
          <w:bCs w:val="false"/>
          <w:color w:val="000000"/>
          <w:sz w:val="22"/>
          <w:szCs w:val="22"/>
          <w:shd w:fill="auto" w:val="clear"/>
        </w:rPr>
        <w:t>imediatamente após o recebimento definitivo</w:t>
      </w:r>
      <w:r>
        <w:rPr>
          <w:rFonts w:cs="Arial" w:ascii="Arial" w:hAnsi="Arial"/>
          <w:b w:val="false"/>
          <w:bCs w:val="false"/>
          <w:color w:val="000000"/>
          <w:sz w:val="22"/>
          <w:szCs w:val="22"/>
          <w:shd w:fill="auto" w:val="clear"/>
        </w:rPr>
        <w:t xml:space="preserve">, para fins de liquidação e pagamento, observados os prazos e procedimentos estabelecidos neste Termo de Referência. </w:t>
      </w:r>
    </w:p>
    <w:p>
      <w:pPr>
        <w:pStyle w:val="Normal"/>
        <w:numPr>
          <w:ilvl w:val="1"/>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ab/>
      </w:r>
    </w:p>
    <w:p>
      <w:pPr>
        <w:pStyle w:val="Normal"/>
        <w:numPr>
          <w:ilvl w:val="0"/>
          <w:numId w:val="0"/>
        </w:numPr>
        <w:spacing w:lineRule="auto" w:line="276"/>
        <w:ind w:lef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 xml:space="preserve">Pretende-se, com o presente processo licitatório assegurar a seleção da proposta apta a gerar uma contratação vantajosa para o Município e justa para ambas as partes, mas, </w:t>
      </w:r>
      <w:r>
        <w:rPr>
          <w:rFonts w:cs="Arial" w:ascii="Arial" w:hAnsi="Arial"/>
          <w:b w:val="false"/>
          <w:bCs w:val="false"/>
          <w:strike w:val="false"/>
          <w:dstrike w:val="false"/>
          <w:color w:val="000000"/>
          <w:sz w:val="22"/>
          <w:szCs w:val="22"/>
          <w:u w:val="none"/>
          <w:shd w:fill="auto" w:val="clear"/>
        </w:rPr>
        <w:t>promovendo economia na aquisição, também, unificando e padronizando a gestão de documentos, dispensando a lentidão encontrada nos excessos burocráticos e repetitivos para administração dos processos.</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i w:val="false"/>
          <w:color w:val="000000"/>
          <w:sz w:val="22"/>
          <w:szCs w:val="22"/>
          <w:shd w:fill="auto" w:val="clear"/>
        </w:rPr>
        <w:t xml:space="preserve">Almeja-se, igualmente, assegurar tratamento isonômico entre os licitantes, bem como a imparcial competição, evitar contratação com sobrepreço ou com preço manifestamente inexequível e ou superfaturamento na execução do contrato.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i w:val="false"/>
          <w:color w:val="000000"/>
          <w:sz w:val="22"/>
          <w:szCs w:val="22"/>
          <w:shd w:fill="auto" w:val="clear"/>
        </w:rPr>
        <w:t>A contratação decorrente do presente processo licitatório exigirá da contratada o cumprimento das boas práticas de sustentabilidade, contribuindo para a racionalização e otimização do uso dos recursos, bem como para a redução dos impactos ambientais.</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ab/>
      </w:r>
      <w:r>
        <w:rPr>
          <w:rFonts w:cs="Arial" w:ascii="Arial" w:hAnsi="Arial"/>
          <w:b w:val="false"/>
          <w:bCs w:val="false"/>
          <w:i w:val="false"/>
          <w:color w:val="000000"/>
          <w:sz w:val="22"/>
          <w:szCs w:val="22"/>
          <w:shd w:fill="auto" w:val="clear"/>
        </w:rPr>
        <w:tab/>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6.2 FISCALIZAÇÃO e GESTÃO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gestão será realizada por </w:t>
      </w:r>
      <w:r>
        <w:rPr>
          <w:rStyle w:val="Strong"/>
          <w:rFonts w:cs="Arial" w:ascii="Arial" w:hAnsi="Arial"/>
          <w:color w:val="000000"/>
          <w:sz w:val="22"/>
          <w:szCs w:val="22"/>
          <w:shd w:fill="auto" w:val="clear"/>
        </w:rPr>
        <w:t>Gestor e Fiscal designados</w:t>
      </w:r>
      <w:r>
        <w:rPr>
          <w:rFonts w:cs="Arial" w:ascii="Arial" w:hAnsi="Arial"/>
          <w:b w:val="false"/>
          <w:bCs w:val="false"/>
          <w:color w:val="000000"/>
          <w:sz w:val="22"/>
          <w:szCs w:val="22"/>
          <w:shd w:fill="auto" w:val="clear"/>
        </w:rPr>
        <w:t>, que acompanharão: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solicitações de fornecimento;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recebimento provisório e definitivo das luminárias;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verificação de conformidade técnica e documental;</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cumprimento das obrigações de logística reversa e sustentabilidade.</w:t>
      </w:r>
    </w:p>
    <w:p>
      <w:pPr>
        <w:pStyle w:val="Normal"/>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Secretaria Municipal de OBRAS, SANEAMENTO e TRÂNSITO, responsável pela presente solicitação, indica para o gerenciamento deste instrumento, o Setor de Almoxarifado, e na fiscalização dos serviços, acompanhamento e quitação, os Srs. Samuel de Oliveira Mateus, responsável pelo setor de Almoxarifado, como Gestor, e o Sr </w:t>
      </w:r>
      <w:r>
        <w:rPr>
          <w:rStyle w:val="Strong"/>
          <w:rFonts w:cs="Arial" w:ascii="Arial" w:hAnsi="Arial"/>
          <w:color w:val="000000"/>
          <w:sz w:val="22"/>
          <w:szCs w:val="22"/>
          <w:shd w:fill="auto" w:val="clear"/>
        </w:rPr>
        <w:t>Aníbal Correa Filho</w:t>
      </w:r>
      <w:r>
        <w:rPr>
          <w:rFonts w:cs="Arial" w:ascii="Arial" w:hAnsi="Arial"/>
          <w:b w:val="false"/>
          <w:bCs w:val="false"/>
          <w:color w:val="000000"/>
          <w:sz w:val="22"/>
          <w:szCs w:val="22"/>
          <w:shd w:fill="auto" w:val="clear"/>
        </w:rPr>
        <w:t>, Instalador Hidroelétrico, como Fiscal.</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Fiscal do contrato acompanhará a entrega e a qualidade dos produtos fornecidos, realizando a conferência e registrando, de forma tempestiva, quaisquer inconformidades constatadas ou eventuais ocorrências, deverão ser comunicadas de imediato ao Gestor do contrato para que sejam adotadas as medidas cabíveis de acordo com a legislação e o instrumento contratual. </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objeto do contrato poderá ser rejeitado no todo ou em parte caso seja constatado desacordo com as especificações técnicas e condições estabelecidas no Anexo I e demais documentos que compõem o Processo Digital. Nessas hipóteses, a contratada deverá sanar as inconformidades apontadas, mediante substituição ou adequação dos itens no prazo máximo de 5 (cinco) dias úteis contados da notificação formal da Administração e sem quaisquer ônus adicionais ao Município. </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Ocorrendo o descumprimento desse prazo, poderá a Fornecedora sofrer a aplicação das penalidades previstas em Lei.</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Ressalta-se que, tanto o Fiscal quanto o Gestor são servidores efetivos do Município, atuando no exercício de suas atribuições formais, observando os deveres e responsabilidades inerentes aos respectivos cargos.</w:t>
      </w:r>
    </w:p>
    <w:p>
      <w:pPr>
        <w:pStyle w:val="Normal"/>
        <w:numPr>
          <w:ilvl w:val="0"/>
          <w:numId w:val="2"/>
        </w:numPr>
        <w:spacing w:lineRule="auto" w:line="276" w:before="0" w:after="0"/>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7. CRITÉRIOS DE PAGAMENTO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 pagamento será efetuado mediante </w:t>
      </w:r>
      <w:r>
        <w:rPr>
          <w:rStyle w:val="Strong"/>
          <w:rFonts w:cs="Arial" w:ascii="Arial" w:hAnsi="Arial"/>
          <w:b w:val="false"/>
          <w:bCs w:val="false"/>
          <w:color w:val="000000"/>
          <w:sz w:val="22"/>
          <w:szCs w:val="22"/>
          <w:shd w:fill="auto" w:val="clear"/>
        </w:rPr>
        <w:t>nota fiscal atestada</w:t>
      </w:r>
      <w:r>
        <w:rPr>
          <w:rFonts w:cs="Arial" w:ascii="Arial" w:hAnsi="Arial"/>
          <w:b w:val="false"/>
          <w:bCs w:val="false"/>
          <w:color w:val="000000"/>
          <w:sz w:val="22"/>
          <w:szCs w:val="22"/>
          <w:shd w:fill="auto" w:val="clear"/>
        </w:rPr>
        <w:t xml:space="preserve"> pelo Fiscal do Contrato, após o recebimento definitivo das luminárias;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Não haverá adiantamentos;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pagamento será proporcional às entregas realizadas e aceitas.</w:t>
      </w:r>
    </w:p>
    <w:p>
      <w:pPr>
        <w:pStyle w:val="Normal"/>
        <w:numPr>
          <w:ilvl w:val="0"/>
          <w:numId w:val="2"/>
        </w:numPr>
        <w:spacing w:lineRule="auto" w:line="276"/>
        <w:jc w:val="both"/>
        <w:rPr/>
      </w:pPr>
      <w:r>
        <w:rPr>
          <w:rFonts w:cs="Arial" w:ascii="Arial" w:hAnsi="Arial"/>
          <w:b w:val="false"/>
          <w:bCs w:val="false"/>
          <w:color w:val="000000"/>
          <w:sz w:val="22"/>
          <w:szCs w:val="22"/>
          <w:shd w:fill="auto" w:val="clear"/>
        </w:rPr>
        <w:t xml:space="preserve">O pagamento será realizado em </w:t>
      </w:r>
      <w:r>
        <w:rPr>
          <w:rStyle w:val="Strong"/>
          <w:rFonts w:cs="Arial" w:ascii="Arial" w:hAnsi="Arial"/>
          <w:b w:val="false"/>
          <w:bCs w:val="false"/>
          <w:color w:val="000000"/>
          <w:sz w:val="22"/>
          <w:szCs w:val="22"/>
          <w:shd w:fill="auto" w:val="clear"/>
        </w:rPr>
        <w:t>parcela única</w:t>
      </w:r>
      <w:r>
        <w:rPr>
          <w:rFonts w:cs="Arial" w:ascii="Arial" w:hAnsi="Arial"/>
          <w:b w:val="false"/>
          <w:bCs w:val="false"/>
          <w:color w:val="000000"/>
          <w:sz w:val="22"/>
          <w:szCs w:val="22"/>
          <w:shd w:fill="auto" w:val="clear"/>
        </w:rPr>
        <w:t xml:space="preserve">, no prazo máximo de </w:t>
      </w:r>
      <w:r>
        <w:rPr>
          <w:rStyle w:val="Strong"/>
          <w:rFonts w:cs="Arial" w:ascii="Arial" w:hAnsi="Arial"/>
          <w:b w:val="false"/>
          <w:bCs w:val="false"/>
          <w:color w:val="000000"/>
          <w:sz w:val="22"/>
          <w:szCs w:val="22"/>
          <w:shd w:fill="auto" w:val="clear"/>
        </w:rPr>
        <w:t>30 (trinta) dias</w:t>
      </w:r>
      <w:r>
        <w:rPr>
          <w:rFonts w:cs="Arial" w:ascii="Arial" w:hAnsi="Arial"/>
          <w:b w:val="false"/>
          <w:bCs w:val="false"/>
          <w:color w:val="000000"/>
          <w:sz w:val="22"/>
          <w:szCs w:val="22"/>
          <w:shd w:fill="auto" w:val="clear"/>
        </w:rPr>
        <w:t xml:space="preserve"> contados a partir da data do recebimento definitivo do objeto, devidamente atestado pelo Fiscal do contrato, com valor previamente empenhado, mediante apresentação pela contratada da nota fiscal ou documento equivalente.</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nota fiscal ou documento equivalente deverá ser encaminhado ao setor responsável, </w:t>
      </w:r>
      <w:r>
        <w:rPr>
          <w:rStyle w:val="Strong"/>
          <w:rFonts w:cs="Arial" w:ascii="Arial" w:hAnsi="Arial"/>
          <w:b w:val="false"/>
          <w:bCs w:val="false"/>
          <w:color w:val="000000"/>
          <w:sz w:val="22"/>
          <w:szCs w:val="22"/>
          <w:shd w:fill="auto" w:val="clear"/>
        </w:rPr>
        <w:t>ratificado pelo Fiscal do contrato</w:t>
      </w:r>
      <w:r>
        <w:rPr>
          <w:rFonts w:cs="Arial" w:ascii="Arial" w:hAnsi="Arial"/>
          <w:b w:val="false"/>
          <w:bCs w:val="false"/>
          <w:color w:val="000000"/>
          <w:sz w:val="22"/>
          <w:szCs w:val="22"/>
          <w:shd w:fill="auto" w:val="clear"/>
        </w:rPr>
        <w:t>, imediatamente após o recebimento definitivo, confirmando que o objeto atendeu integralmente a todos os critérios e especificações estabelecidos neste Termo de Referência, bem como no Anexo I e demais documentos integrantes do Processo Digital de Solicitação.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licitante vencedora deverá emitir a nota fiscal ou documento correspondente onde deverá constar, de forma clara e legível os seguintes dados:</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Número do empenho;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Destino da entrega;</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CNPJ da licitante;</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Número do processo administrativo;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Número do pregão eletrônico ou documento equivalente.</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Essas informações deverão estar dispostas em local de fácil visualização no documento fiscal, preferencialmente em “observações”, a fim de agilizar o trâmite de conferência, recebimento e liberação para pagamento.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Em caso de rejeição da nota fiscal ou fatura por erro ou incorreção, o prazo de pagamento de até 30 (trinta) dias será contado a partir da data da </w:t>
      </w:r>
      <w:r>
        <w:rPr>
          <w:rStyle w:val="Strong"/>
          <w:rFonts w:cs="Arial" w:ascii="Arial" w:hAnsi="Arial"/>
          <w:b w:val="false"/>
          <w:bCs w:val="false"/>
          <w:color w:val="000000"/>
          <w:sz w:val="22"/>
          <w:szCs w:val="22"/>
          <w:shd w:fill="auto" w:val="clear"/>
        </w:rPr>
        <w:t>reapresentação</w:t>
      </w:r>
      <w:r>
        <w:rPr>
          <w:rFonts w:cs="Arial" w:ascii="Arial" w:hAnsi="Arial"/>
          <w:b w:val="false"/>
          <w:bCs w:val="false"/>
          <w:color w:val="000000"/>
          <w:sz w:val="22"/>
          <w:szCs w:val="22"/>
          <w:shd w:fill="auto" w:val="clear"/>
        </w:rPr>
        <w:t xml:space="preserve"> devidamente corrigida.</w:t>
      </w:r>
    </w:p>
    <w:p>
      <w:pPr>
        <w:pStyle w:val="Corpodotexto"/>
        <w:numPr>
          <w:ilvl w:val="0"/>
          <w:numId w:val="2"/>
        </w:numPr>
        <w:spacing w:lineRule="auto" w:line="276" w:before="0" w:after="0"/>
        <w:jc w:val="both"/>
        <w:rPr/>
      </w:pPr>
      <w:r>
        <w:rPr>
          <w:rFonts w:cs="Arial" w:ascii="Arial" w:hAnsi="Arial"/>
          <w:color w:val="000000"/>
          <w:sz w:val="22"/>
          <w:szCs w:val="22"/>
          <w:shd w:fill="auto" w:val="clear"/>
        </w:rPr>
        <w:t xml:space="preserve">Na hipótese de atraso no pagamento por parte da Administração, os valores devidos serão corrigidos </w:t>
      </w:r>
      <w:r>
        <w:rPr>
          <w:rFonts w:cs="Arial" w:ascii="Arial" w:hAnsi="Arial"/>
          <w:b w:val="false"/>
          <w:bCs w:val="false"/>
          <w:color w:val="000000"/>
          <w:sz w:val="22"/>
          <w:szCs w:val="22"/>
          <w:shd w:fill="auto" w:val="clear"/>
        </w:rPr>
        <w:t xml:space="preserve">monetariamente pelo </w:t>
      </w:r>
      <w:r>
        <w:rPr>
          <w:rStyle w:val="Strong"/>
          <w:rFonts w:cs="Arial" w:ascii="Arial" w:hAnsi="Arial"/>
          <w:b w:val="false"/>
          <w:bCs w:val="false"/>
          <w:color w:val="000000"/>
          <w:sz w:val="22"/>
          <w:szCs w:val="22"/>
          <w:shd w:fill="auto" w:val="clear"/>
        </w:rPr>
        <w:t>IPCA</w:t>
      </w:r>
      <w:r>
        <w:rPr>
          <w:rFonts w:cs="Arial" w:ascii="Arial" w:hAnsi="Arial"/>
          <w:b w:val="false"/>
          <w:bCs w:val="false"/>
          <w:color w:val="000000"/>
          <w:sz w:val="22"/>
          <w:szCs w:val="22"/>
          <w:shd w:fill="auto" w:val="clear"/>
        </w:rPr>
        <w:t xml:space="preserve"> ou índice oficial que vier a substituí-lo, acrescidos de juros moratórios de </w:t>
      </w:r>
      <w:r>
        <w:rPr>
          <w:rStyle w:val="Strong"/>
          <w:rFonts w:cs="Arial" w:ascii="Arial" w:hAnsi="Arial"/>
          <w:b w:val="false"/>
          <w:bCs w:val="false"/>
          <w:color w:val="000000"/>
          <w:sz w:val="22"/>
          <w:szCs w:val="22"/>
          <w:shd w:fill="auto" w:val="clear"/>
        </w:rPr>
        <w:t>0,5% (meio por cento) ao mês</w:t>
      </w:r>
      <w:r>
        <w:rPr>
          <w:rFonts w:cs="Arial" w:ascii="Arial" w:hAnsi="Arial"/>
          <w:b w:val="false"/>
          <w:bCs w:val="false"/>
          <w:color w:val="000000"/>
          <w:sz w:val="22"/>
          <w:szCs w:val="22"/>
          <w:shd w:fill="auto" w:val="clear"/>
        </w:rPr>
        <w:t>, calculados pro rata die, a título de compensação à contratada.</w:t>
      </w:r>
    </w:p>
    <w:p>
      <w:pPr>
        <w:pStyle w:val="Corpodotexto"/>
        <w:numPr>
          <w:ilvl w:val="0"/>
          <w:numId w:val="2"/>
        </w:numPr>
        <w:spacing w:lineRule="auto" w:line="276"/>
        <w:jc w:val="both"/>
        <w:rPr>
          <w:rFonts w:ascii="Arial" w:hAnsi="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t>Havendo renovação contratual, a Prestadora fará jus as correções devidas baseadas no IPCA/IBGE para o período.</w:t>
        <w:tab/>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8. FORMA / CRITÉRIOS DE SELEÇÃO DO FORNECEDOR</w:t>
      </w:r>
    </w:p>
    <w:p>
      <w:pPr>
        <w:pStyle w:val="Corpodotexto"/>
        <w:widowControl/>
        <w:numPr>
          <w:ilvl w:val="0"/>
          <w:numId w:val="0"/>
        </w:numPr>
        <w:suppressAutoHyphens w:val="true"/>
        <w:overflowPunct w:val="true"/>
        <w:bidi w:val="0"/>
        <w:spacing w:lineRule="auto" w:line="276" w:before="0" w:after="0"/>
        <w:ind w:left="0" w:right="0" w:hanging="0"/>
        <w:jc w:val="both"/>
        <w:rPr/>
      </w:pPr>
      <w:r>
        <w:rPr>
          <w:rFonts w:cs="Arial" w:ascii="Arial" w:hAnsi="Arial"/>
          <w:b/>
          <w:bCs/>
          <w:color w:val="000000"/>
          <w:sz w:val="22"/>
          <w:szCs w:val="22"/>
          <w:shd w:fill="auto" w:val="clear"/>
        </w:rPr>
        <w:t xml:space="preserve">Modalidade: </w:t>
      </w:r>
      <w:r>
        <w:rPr>
          <w:rStyle w:val="Strong"/>
          <w:rFonts w:cs="Arial" w:ascii="Arial" w:hAnsi="Arial"/>
          <w:color w:val="000000"/>
          <w:sz w:val="22"/>
          <w:szCs w:val="22"/>
          <w:shd w:fill="auto" w:val="clear"/>
        </w:rPr>
        <w:t>Pregão Eletrônico</w:t>
      </w:r>
      <w:r>
        <w:rPr>
          <w:rFonts w:cs="Arial" w:ascii="Arial" w:hAnsi="Arial"/>
          <w:b/>
          <w:bCs/>
          <w:color w:val="000000"/>
          <w:sz w:val="22"/>
          <w:szCs w:val="22"/>
          <w:shd w:fill="auto" w:val="clear"/>
        </w:rPr>
        <w:t>;</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bCs/>
          <w:color w:val="000000"/>
          <w:sz w:val="22"/>
          <w:szCs w:val="22"/>
          <w:shd w:fill="auto" w:val="clear"/>
        </w:rPr>
        <w:t xml:space="preserve">Forma: </w:t>
      </w:r>
      <w:r>
        <w:rPr>
          <w:rStyle w:val="Strong"/>
          <w:rFonts w:cs="Arial" w:ascii="Arial" w:hAnsi="Arial"/>
          <w:color w:val="000000"/>
          <w:sz w:val="22"/>
          <w:szCs w:val="22"/>
          <w:shd w:fill="auto" w:val="clear"/>
        </w:rPr>
        <w:t>Registro de Preços</w:t>
      </w:r>
      <w:r>
        <w:rPr>
          <w:rFonts w:cs="Arial" w:ascii="Arial" w:hAnsi="Arial"/>
          <w:b/>
          <w:bCs/>
          <w:color w:val="000000"/>
          <w:sz w:val="22"/>
          <w:szCs w:val="22"/>
          <w:shd w:fill="auto" w:val="clear"/>
        </w:rPr>
        <w:t>;</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bCs/>
          <w:color w:val="000000"/>
          <w:sz w:val="22"/>
          <w:szCs w:val="22"/>
          <w:shd w:fill="auto" w:val="clear"/>
        </w:rPr>
        <w:t xml:space="preserve">Tipo de julgamento: </w:t>
      </w:r>
      <w:r>
        <w:rPr>
          <w:rStyle w:val="Strong"/>
          <w:rFonts w:cs="Arial" w:ascii="Arial" w:hAnsi="Arial"/>
          <w:color w:val="000000"/>
          <w:sz w:val="22"/>
          <w:szCs w:val="22"/>
          <w:shd w:fill="auto" w:val="clear"/>
        </w:rPr>
        <w:t>Menor Preço por Item</w:t>
      </w:r>
      <w:r>
        <w:rPr>
          <w:rFonts w:cs="Arial" w:ascii="Arial" w:hAnsi="Arial"/>
          <w:b/>
          <w:bCs/>
          <w:color w:val="000000"/>
          <w:sz w:val="22"/>
          <w:szCs w:val="22"/>
          <w:shd w:fill="auto" w:val="clear"/>
        </w:rPr>
        <w:t>;</w:t>
      </w:r>
    </w:p>
    <w:p>
      <w:pPr>
        <w:pStyle w:val="Corpodotexto"/>
        <w:numPr>
          <w:ilvl w:val="0"/>
          <w:numId w:val="2"/>
        </w:numPr>
        <w:tabs>
          <w:tab w:val="clear" w:pos="408"/>
          <w:tab w:val="left" w:pos="0" w:leader="none"/>
        </w:tabs>
        <w:spacing w:lineRule="auto" w:line="276" w:before="0" w:after="0"/>
        <w:ind w:right="0" w:hanging="0"/>
        <w:jc w:val="both"/>
        <w:rPr/>
      </w:pPr>
      <w:r>
        <w:rPr>
          <w:rFonts w:cs="Arial" w:ascii="Arial" w:hAnsi="Arial"/>
          <w:b/>
          <w:bCs/>
          <w:color w:val="000000"/>
          <w:sz w:val="22"/>
          <w:szCs w:val="22"/>
          <w:shd w:fill="auto" w:val="clear"/>
        </w:rPr>
        <w:t xml:space="preserve">Critério de aceitabilidade: </w:t>
      </w:r>
      <w:r>
        <w:rPr>
          <w:rStyle w:val="Strong"/>
          <w:rFonts w:cs="Arial" w:ascii="Arial" w:hAnsi="Arial"/>
          <w:color w:val="000000"/>
          <w:sz w:val="22"/>
          <w:szCs w:val="22"/>
          <w:shd w:fill="auto" w:val="clear"/>
        </w:rPr>
        <w:t>preços unitários máximos</w:t>
      </w:r>
      <w:r>
        <w:rPr>
          <w:rFonts w:cs="Arial" w:ascii="Arial" w:hAnsi="Arial"/>
          <w:b/>
          <w:bCs/>
          <w:color w:val="000000"/>
          <w:sz w:val="22"/>
          <w:szCs w:val="22"/>
          <w:shd w:fill="auto" w:val="clear"/>
        </w:rPr>
        <w:t xml:space="preserve"> fixados, vedada a aceitação de valores superiores;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Não será aplicada destinação exclusiva para ME/EPP, em razão da incompatibilidade do sistema e do fato de que dois itens superaram o limite legal de R$ 80.000,00.</w:t>
        <w:tab/>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contratação deverá ocorrer através de Processo Licitatório, na modalidade Pregão Eletrônico, por Item, com critério de julgamento por Menor Preço.</w:t>
      </w:r>
    </w:p>
    <w:p>
      <w:pPr>
        <w:pStyle w:val="Normal"/>
        <w:numPr>
          <w:ilvl w:val="0"/>
          <w:numId w:val="2"/>
        </w:numPr>
        <w:spacing w:lineRule="auto" w:line="276"/>
        <w:jc w:val="both"/>
        <w:rPr/>
      </w:pPr>
      <w:r>
        <w:rPr>
          <w:rFonts w:cs="Arial" w:ascii="Arial" w:hAnsi="Arial"/>
          <w:b w:val="false"/>
          <w:bCs w:val="false"/>
          <w:color w:val="000000"/>
          <w:sz w:val="22"/>
          <w:szCs w:val="22"/>
          <w:shd w:fill="auto" w:val="clear"/>
        </w:rPr>
        <w:t xml:space="preserve">A presente contratação enquadra-se como </w:t>
      </w:r>
      <w:r>
        <w:rPr>
          <w:rStyle w:val="Strong"/>
          <w:rFonts w:cs="Arial" w:ascii="Arial" w:hAnsi="Arial"/>
          <w:b w:val="false"/>
          <w:bCs w:val="false"/>
          <w:color w:val="000000"/>
          <w:sz w:val="22"/>
          <w:szCs w:val="22"/>
          <w:shd w:fill="auto" w:val="clear"/>
        </w:rPr>
        <w:t>bem comum</w:t>
      </w:r>
      <w:r>
        <w:rPr>
          <w:rFonts w:cs="Arial" w:ascii="Arial" w:hAnsi="Arial"/>
          <w:b w:val="false"/>
          <w:bCs w:val="false"/>
          <w:color w:val="000000"/>
          <w:sz w:val="22"/>
          <w:szCs w:val="22"/>
          <w:shd w:fill="auto" w:val="clear"/>
        </w:rPr>
        <w:t xml:space="preserve">, nos termos do art. 6º, inciso XIII, da Lei Federal nº 14.133/2021, por se tratar de objeto cujos padrões de desempenho e qualidade podem ser definidos de forma objetiva no edital. </w:t>
      </w:r>
    </w:p>
    <w:p>
      <w:pPr>
        <w:pStyle w:val="Normal"/>
        <w:numPr>
          <w:ilvl w:val="0"/>
          <w:numId w:val="2"/>
        </w:numPr>
        <w:spacing w:lineRule="auto" w:line="276"/>
        <w:jc w:val="both"/>
        <w:rPr/>
      </w:pPr>
      <w:r>
        <w:rPr>
          <w:rFonts w:cs="Arial" w:ascii="Arial" w:hAnsi="Arial"/>
          <w:b w:val="false"/>
          <w:bCs w:val="false"/>
          <w:color w:val="000000"/>
          <w:sz w:val="22"/>
          <w:szCs w:val="22"/>
          <w:shd w:fill="auto" w:val="clear"/>
        </w:rPr>
        <w:t xml:space="preserve">Trata-se de prestação a ser realizada durante a vigência da </w:t>
      </w:r>
      <w:r>
        <w:rPr>
          <w:rStyle w:val="Strong"/>
          <w:rFonts w:cs="Arial" w:ascii="Arial" w:hAnsi="Arial"/>
          <w:b w:val="false"/>
          <w:bCs w:val="false"/>
          <w:color w:val="000000"/>
          <w:sz w:val="22"/>
          <w:szCs w:val="22"/>
          <w:shd w:fill="auto" w:val="clear"/>
        </w:rPr>
        <w:t>Ata de Registro de Preços ou documento equivalente</w:t>
      </w:r>
      <w:r>
        <w:rPr>
          <w:rFonts w:cs="Arial" w:ascii="Arial" w:hAnsi="Arial"/>
          <w:b w:val="false"/>
          <w:bCs w:val="false"/>
          <w:color w:val="000000"/>
          <w:sz w:val="22"/>
          <w:szCs w:val="22"/>
          <w:shd w:fill="auto" w:val="clear"/>
        </w:rPr>
        <w:t xml:space="preserve">, sem caracterizar serviço contínuo e </w:t>
      </w:r>
      <w:r>
        <w:rPr>
          <w:rStyle w:val="Strong"/>
          <w:rFonts w:cs="Arial" w:ascii="Arial" w:hAnsi="Arial"/>
          <w:b w:val="false"/>
          <w:bCs w:val="false"/>
          <w:color w:val="000000"/>
          <w:sz w:val="22"/>
          <w:szCs w:val="22"/>
          <w:shd w:fill="auto" w:val="clear"/>
        </w:rPr>
        <w:t>sem dedicação exclusiva de mão de obra</w:t>
      </w:r>
      <w:r>
        <w:rPr>
          <w:rFonts w:cs="Arial" w:ascii="Arial" w:hAnsi="Arial"/>
          <w:b w:val="false"/>
          <w:bCs w:val="false"/>
          <w:color w:val="000000"/>
          <w:sz w:val="22"/>
          <w:szCs w:val="22"/>
          <w:shd w:fill="auto" w:val="clear"/>
        </w:rPr>
        <w:t xml:space="preserve">, o que confirma a adequação do procedimento licitatório adotado. </w:t>
        <w:tab/>
      </w:r>
    </w:p>
    <w:p>
      <w:pPr>
        <w:pStyle w:val="Normal"/>
        <w:numPr>
          <w:ilvl w:val="0"/>
          <w:numId w:val="2"/>
        </w:numPr>
        <w:spacing w:lineRule="auto" w:line="276"/>
        <w:jc w:val="both"/>
        <w:rPr>
          <w:rFonts w:ascii="Arial" w:hAnsi="Arial"/>
          <w:color w:val="000000"/>
          <w:sz w:val="22"/>
          <w:szCs w:val="22"/>
          <w:highlight w:val="none"/>
          <w:shd w:fill="auto" w:val="clear"/>
        </w:rPr>
      </w:pPr>
      <w:r>
        <w:rPr>
          <w:rFonts w:eastAsia="Times New Roman" w:cs="Arial" w:ascii="Arial" w:hAnsi="Arial"/>
          <w:b w:val="false"/>
          <w:bCs w:val="false"/>
          <w:color w:val="000000"/>
          <w:sz w:val="22"/>
          <w:szCs w:val="22"/>
          <w:shd w:fill="auto" w:val="clear"/>
        </w:rPr>
        <w:t>A contratação deverá observar integralmente as normas técnicas e regulamentações vigentes (ABNT, NBR, INMETRO,</w:t>
      </w:r>
      <w:r>
        <w:rPr>
          <w:rFonts w:cs="Arial" w:ascii="Arial" w:hAnsi="Arial"/>
          <w:b w:val="false"/>
          <w:bCs w:val="false"/>
          <w:color w:val="000000"/>
          <w:sz w:val="22"/>
          <w:szCs w:val="22"/>
          <w:shd w:fill="auto" w:val="clear"/>
        </w:rPr>
        <w:t xml:space="preserve"> portaria n° 62, de 17 de fevereiro 2022 </w:t>
      </w:r>
      <w:r>
        <w:rPr>
          <w:rFonts w:eastAsia="Times New Roman" w:cs="Arial" w:ascii="Arial" w:hAnsi="Arial"/>
          <w:b w:val="false"/>
          <w:bCs w:val="false"/>
          <w:color w:val="000000"/>
          <w:sz w:val="22"/>
          <w:szCs w:val="22"/>
          <w:shd w:fill="auto" w:val="clear"/>
        </w:rPr>
        <w:t>e correlatas), assegurando padronização, qualidade, eficiência energética e compatibilidade com os sistemas já existentes, de modo a garantir a segurança, a confiabilidade e a continuidade dos serviços públicos essenciais.</w:t>
      </w:r>
    </w:p>
    <w:p>
      <w:pPr>
        <w:pStyle w:val="Normal"/>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empresa licitante classificada em primeiro lugar deverá comprovar, mediante apresentação de </w:t>
      </w:r>
      <w:r>
        <w:rPr>
          <w:rStyle w:val="Strong"/>
          <w:rFonts w:cs="Arial" w:ascii="Arial" w:hAnsi="Arial"/>
          <w:b w:val="false"/>
          <w:bCs w:val="false"/>
          <w:color w:val="000000"/>
          <w:sz w:val="22"/>
          <w:szCs w:val="22"/>
          <w:shd w:fill="auto" w:val="clear"/>
        </w:rPr>
        <w:t>documentos fiscais ou contratuais</w:t>
      </w:r>
      <w:r>
        <w:rPr>
          <w:rFonts w:cs="Arial" w:ascii="Arial" w:hAnsi="Arial"/>
          <w:b w:val="false"/>
          <w:bCs w:val="false"/>
          <w:color w:val="000000"/>
          <w:sz w:val="22"/>
          <w:szCs w:val="22"/>
          <w:shd w:fill="auto" w:val="clear"/>
        </w:rPr>
        <w:t>, que exerce atividade compatível com o ramo de fornecimento do objeto licitado.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Fica </w:t>
      </w:r>
      <w:r>
        <w:rPr>
          <w:rStyle w:val="Strong"/>
          <w:rFonts w:cs="Arial" w:ascii="Arial" w:hAnsi="Arial"/>
          <w:b w:val="false"/>
          <w:bCs w:val="false"/>
          <w:color w:val="000000"/>
          <w:sz w:val="22"/>
          <w:szCs w:val="22"/>
          <w:shd w:fill="auto" w:val="clear"/>
        </w:rPr>
        <w:t>dispensada a apresentação de amostras físicas</w:t>
      </w:r>
      <w:r>
        <w:rPr>
          <w:rFonts w:cs="Arial" w:ascii="Arial" w:hAnsi="Arial"/>
          <w:b w:val="false"/>
          <w:bCs w:val="false"/>
          <w:color w:val="000000"/>
          <w:sz w:val="22"/>
          <w:szCs w:val="22"/>
          <w:shd w:fill="auto" w:val="clear"/>
        </w:rPr>
        <w:t xml:space="preserve"> pelas empresas licitantes, uma vez que a conformidade dos materiais será aferida mediante a análise da </w:t>
      </w:r>
      <w:r>
        <w:rPr>
          <w:rStyle w:val="Strong"/>
          <w:rFonts w:cs="Arial" w:ascii="Arial" w:hAnsi="Arial"/>
          <w:b w:val="false"/>
          <w:bCs w:val="false"/>
          <w:color w:val="000000"/>
          <w:sz w:val="22"/>
          <w:szCs w:val="22"/>
          <w:shd w:fill="auto" w:val="clear"/>
        </w:rPr>
        <w:t>documentação técnica exigida</w:t>
      </w:r>
      <w:r>
        <w:rPr>
          <w:rFonts w:cs="Arial" w:ascii="Arial" w:hAnsi="Arial"/>
          <w:b w:val="false"/>
          <w:bCs w:val="false"/>
          <w:color w:val="000000"/>
          <w:sz w:val="22"/>
          <w:szCs w:val="22"/>
          <w:shd w:fill="auto" w:val="clear"/>
        </w:rPr>
        <w:t xml:space="preserve"> (catálogos, fichas técnicas e declarações de conformidade), bem como pela </w:t>
      </w:r>
      <w:r>
        <w:rPr>
          <w:rStyle w:val="Strong"/>
          <w:rFonts w:cs="Arial" w:ascii="Arial" w:hAnsi="Arial"/>
          <w:b w:val="false"/>
          <w:bCs w:val="false"/>
          <w:color w:val="000000"/>
          <w:sz w:val="22"/>
          <w:szCs w:val="22"/>
          <w:shd w:fill="auto" w:val="clear"/>
        </w:rPr>
        <w:t>verificação no ato do recebimento provisório e definitivo</w:t>
      </w:r>
      <w:r>
        <w:rPr>
          <w:rFonts w:cs="Arial" w:ascii="Arial" w:hAnsi="Arial"/>
          <w:b w:val="false"/>
          <w:bCs w:val="false"/>
          <w:color w:val="000000"/>
          <w:sz w:val="22"/>
          <w:szCs w:val="22"/>
          <w:shd w:fill="auto" w:val="clear"/>
        </w:rPr>
        <w:t>, realizada pelo Fiscal designado.</w:t>
      </w:r>
    </w:p>
    <w:p>
      <w:pPr>
        <w:pStyle w:val="Corpodotexto"/>
        <w:numPr>
          <w:ilvl w:val="0"/>
          <w:numId w:val="2"/>
        </w:numPr>
        <w:spacing w:lineRule="auto" w:line="276"/>
        <w:jc w:val="both"/>
        <w:rPr/>
      </w:pPr>
      <w:r>
        <w:rPr>
          <w:rFonts w:cs="Arial" w:ascii="Arial" w:hAnsi="Arial"/>
          <w:b w:val="false"/>
          <w:bCs w:val="false"/>
          <w:color w:val="000000"/>
          <w:sz w:val="22"/>
          <w:szCs w:val="22"/>
          <w:shd w:fill="auto" w:val="clear"/>
        </w:rPr>
        <w:t xml:space="preserve">A Administração reserva-se o direito de </w:t>
      </w:r>
      <w:r>
        <w:rPr>
          <w:rStyle w:val="Strong"/>
          <w:rFonts w:cs="Arial" w:ascii="Arial" w:hAnsi="Arial"/>
          <w:b w:val="false"/>
          <w:bCs w:val="false"/>
          <w:color w:val="000000"/>
          <w:sz w:val="22"/>
          <w:szCs w:val="22"/>
          <w:shd w:fill="auto" w:val="clear"/>
        </w:rPr>
        <w:t>rejeitar quaisquer produtos que não atendam integralmente às especificações técnicas previstas</w:t>
      </w:r>
      <w:r>
        <w:rPr>
          <w:rFonts w:cs="Arial" w:ascii="Arial" w:hAnsi="Arial"/>
          <w:b w:val="false"/>
          <w:bCs w:val="false"/>
          <w:color w:val="000000"/>
          <w:sz w:val="22"/>
          <w:szCs w:val="22"/>
          <w:shd w:fill="auto" w:val="clear"/>
        </w:rPr>
        <w:t xml:space="preserve"> neste Termo de Referência e no edital, hipótese em que a contratada ficará obrigada a providenciar a substituição </w:t>
      </w:r>
      <w:r>
        <w:rPr>
          <w:rFonts w:cs="Arial" w:ascii="Arial" w:hAnsi="Arial"/>
          <w:color w:val="000000"/>
          <w:sz w:val="22"/>
          <w:szCs w:val="22"/>
          <w:shd w:fill="auto" w:val="clear"/>
        </w:rPr>
        <w:t xml:space="preserve">no prazo máximo de </w:t>
      </w:r>
      <w:r>
        <w:rPr>
          <w:rStyle w:val="Strong"/>
          <w:rFonts w:cs="Arial" w:ascii="Arial" w:hAnsi="Arial"/>
          <w:color w:val="000000"/>
          <w:sz w:val="22"/>
          <w:szCs w:val="22"/>
          <w:shd w:fill="auto" w:val="clear"/>
        </w:rPr>
        <w:t>5 (cinco) dias úteis</w:t>
      </w:r>
      <w:r>
        <w:rPr>
          <w:rFonts w:cs="Arial" w:ascii="Arial" w:hAnsi="Arial"/>
          <w:color w:val="000000"/>
          <w:sz w:val="22"/>
          <w:szCs w:val="22"/>
          <w:shd w:fill="auto" w:val="clear"/>
        </w:rPr>
        <w:t>, sem qualquer ônus adicional ao Município.</w:t>
      </w:r>
    </w:p>
    <w:p>
      <w:pPr>
        <w:pStyle w:val="Ttulo3"/>
        <w:numPr>
          <w:ilvl w:val="2"/>
          <w:numId w:val="2"/>
        </w:numPr>
        <w:spacing w:lineRule="auto" w:line="276" w:before="0" w:after="0"/>
        <w:ind w:left="0" w:right="0" w:hanging="0"/>
        <w:jc w:val="both"/>
        <w:rPr/>
      </w:pPr>
      <w:r>
        <w:rPr>
          <w:rStyle w:val="Strong"/>
          <w:rFonts w:eastAsia="Times New Roman" w:cs="Arial" w:ascii="Arial" w:hAnsi="Arial"/>
          <w:b/>
          <w:bCs/>
          <w:color w:val="000000"/>
          <w:sz w:val="22"/>
          <w:szCs w:val="22"/>
          <w:shd w:fill="auto" w:val="clear"/>
        </w:rPr>
        <w:t>8.1 Classificação do Objeto</w:t>
      </w:r>
    </w:p>
    <w:p>
      <w:pPr>
        <w:pStyle w:val="Corpodotexto"/>
        <w:numPr>
          <w:ilvl w:val="0"/>
          <w:numId w:val="2"/>
        </w:numPr>
        <w:spacing w:lineRule="auto" w:line="276" w:before="0" w:after="26"/>
        <w:jc w:val="both"/>
        <w:rPr/>
      </w:pPr>
      <w:r>
        <w:rPr>
          <w:rFonts w:cs="Arial" w:ascii="Arial" w:hAnsi="Arial"/>
          <w:color w:val="000000"/>
          <w:sz w:val="22"/>
          <w:szCs w:val="22"/>
          <w:shd w:fill="auto" w:val="clear"/>
        </w:rPr>
        <w:t xml:space="preserve">O objeto em questão é classificado como </w:t>
      </w:r>
      <w:r>
        <w:rPr>
          <w:rStyle w:val="Strong"/>
          <w:rFonts w:cs="Arial" w:ascii="Arial" w:hAnsi="Arial"/>
          <w:color w:val="000000"/>
          <w:sz w:val="22"/>
          <w:szCs w:val="22"/>
          <w:shd w:fill="auto" w:val="clear"/>
        </w:rPr>
        <w:t>bem comum</w:t>
      </w:r>
      <w:r>
        <w:rPr>
          <w:rFonts w:cs="Arial" w:ascii="Arial" w:hAnsi="Arial"/>
          <w:color w:val="000000"/>
          <w:sz w:val="22"/>
          <w:szCs w:val="22"/>
          <w:shd w:fill="auto" w:val="clear"/>
        </w:rPr>
        <w:t>, nos termos do art. 6º, inciso XIII, da Lei Federal nº 14.133/2021, por possuir padrões de desempenho e qualidade que podem ser definidos de forma objetiva no edital, mediante especificações usuais no mercado.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Ressalta-se que </w:t>
      </w:r>
      <w:r>
        <w:rPr>
          <w:rStyle w:val="Strong"/>
          <w:rFonts w:cs="Arial" w:ascii="Arial" w:hAnsi="Arial"/>
          <w:b w:val="false"/>
          <w:bCs w:val="false"/>
          <w:color w:val="000000"/>
          <w:sz w:val="22"/>
          <w:szCs w:val="22"/>
          <w:shd w:fill="auto" w:val="clear"/>
        </w:rPr>
        <w:t>não se trata de serviço contínuo</w:t>
      </w:r>
      <w:r>
        <w:rPr>
          <w:rFonts w:cs="Arial" w:ascii="Arial" w:hAnsi="Arial"/>
          <w:b w:val="false"/>
          <w:bCs w:val="false"/>
          <w:color w:val="000000"/>
          <w:sz w:val="22"/>
          <w:szCs w:val="22"/>
          <w:shd w:fill="auto" w:val="clear"/>
        </w:rPr>
        <w:t xml:space="preserve"> e tampouco envolve </w:t>
      </w:r>
      <w:r>
        <w:rPr>
          <w:rStyle w:val="Strong"/>
          <w:rFonts w:cs="Arial" w:ascii="Arial" w:hAnsi="Arial"/>
          <w:b w:val="false"/>
          <w:bCs w:val="false"/>
          <w:color w:val="000000"/>
          <w:sz w:val="22"/>
          <w:szCs w:val="22"/>
          <w:shd w:fill="auto" w:val="clear"/>
        </w:rPr>
        <w:t>dedicação exclusiva de mão de obra</w:t>
      </w:r>
      <w:r>
        <w:rPr>
          <w:rFonts w:cs="Arial" w:ascii="Arial" w:hAnsi="Arial"/>
          <w:b w:val="false"/>
          <w:bCs w:val="false"/>
          <w:color w:val="000000"/>
          <w:sz w:val="22"/>
          <w:szCs w:val="22"/>
          <w:shd w:fill="auto" w:val="clear"/>
        </w:rPr>
        <w:t xml:space="preserve">, circunstâncias que reforçam a adequação da presente contratação ao procedimento licitatório escolhido, na modalidade </w:t>
      </w:r>
      <w:r>
        <w:rPr>
          <w:rStyle w:val="Strong"/>
          <w:rFonts w:cs="Arial" w:ascii="Arial" w:hAnsi="Arial"/>
          <w:b w:val="false"/>
          <w:bCs w:val="false"/>
          <w:color w:val="000000"/>
          <w:sz w:val="22"/>
          <w:szCs w:val="22"/>
          <w:shd w:fill="auto" w:val="clear"/>
        </w:rPr>
        <w:t>Pregão Eletrônico para Registro de Preços</w:t>
      </w:r>
      <w:r>
        <w:rPr>
          <w:rFonts w:cs="Arial" w:ascii="Arial" w:hAnsi="Arial"/>
          <w:b w:val="false"/>
          <w:bCs w:val="false"/>
          <w:color w:val="000000"/>
          <w:sz w:val="22"/>
          <w:szCs w:val="22"/>
          <w:shd w:fill="auto" w:val="clear"/>
        </w:rPr>
        <w:t>, com critério de julgamento pelo menor preço, em conformidade com a legislação vigente.</w:t>
      </w:r>
      <w:r>
        <w:rPr>
          <w:rFonts w:eastAsia="Times New Roman" w:cs="Arial" w:ascii="Arial" w:hAnsi="Arial"/>
          <w:b w:val="false"/>
          <w:bCs w:val="false"/>
          <w:color w:val="000000"/>
          <w:sz w:val="22"/>
          <w:szCs w:val="22"/>
          <w:shd w:fill="auto" w:val="clear"/>
        </w:rPr>
        <w:tab/>
        <w:tab/>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O não atendimento a estas exigências no prazo estabelecido poderá ensejar a desclassificação da proposta, sem prejuízo das demais sanções previstas em lei e no instrumento convocatório.</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8.2 Do Prazo de Entrega</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A entrega do objeto deverá ocorrer no prazo máximo de 30 (trinta)</w:t>
      </w:r>
      <w:r>
        <w:rPr>
          <w:rStyle w:val="Strong"/>
          <w:rFonts w:cs="Arial" w:ascii="Arial" w:hAnsi="Arial"/>
          <w:b w:val="false"/>
          <w:bCs w:val="false"/>
          <w:color w:val="000000"/>
          <w:sz w:val="22"/>
          <w:szCs w:val="22"/>
          <w:shd w:fill="auto" w:val="clear"/>
        </w:rPr>
        <w:t xml:space="preserve"> dias corridos</w:t>
      </w:r>
      <w:r>
        <w:rPr>
          <w:rFonts w:cs="Arial" w:ascii="Arial" w:hAnsi="Arial"/>
          <w:b w:val="false"/>
          <w:bCs w:val="false"/>
          <w:color w:val="000000"/>
          <w:sz w:val="22"/>
          <w:szCs w:val="22"/>
          <w:shd w:fill="auto" w:val="clear"/>
        </w:rPr>
        <w:t>, contados a partir da solicitação formal emitida pela Administração, por meio dos canais oficiais disponibilizados pela contratada. Considera-se como solicitação formal aquela devidamente registrada e encaminhada nos meios previamente definidos pela fornecedora,</w:t>
      </w:r>
      <w:r>
        <w:rPr>
          <w:rFonts w:cs="Arial" w:ascii="Arial" w:hAnsi="Arial"/>
          <w:color w:val="000000"/>
          <w:sz w:val="22"/>
          <w:szCs w:val="22"/>
          <w:shd w:fill="auto" w:val="clear"/>
        </w:rPr>
        <w:t xml:space="preserve"> </w:t>
      </w:r>
      <w:r>
        <w:rPr>
          <w:rStyle w:val="Strong"/>
          <w:rFonts w:cs="Arial" w:ascii="Arial" w:hAnsi="Arial"/>
          <w:b w:val="false"/>
          <w:bCs w:val="false"/>
          <w:color w:val="000000"/>
          <w:sz w:val="22"/>
          <w:szCs w:val="22"/>
          <w:shd w:fill="auto" w:val="clear"/>
        </w:rPr>
        <w:t>sendo considerada recebida, para todos os fins, com ou sem confirmação por parte desta</w:t>
      </w:r>
      <w:r>
        <w:rPr>
          <w:rFonts w:cs="Arial" w:ascii="Arial" w:hAnsi="Arial"/>
          <w:b w:val="false"/>
          <w:bCs w:val="false"/>
          <w:color w:val="000000"/>
          <w:sz w:val="22"/>
          <w:szCs w:val="22"/>
          <w:shd w:fill="auto" w:val="clear"/>
        </w:rPr>
        <w:t>.</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A fornecedora deverá manter seus canais de contato permanentemente atualizados e declara, desde já, que acessará diariamente tais meios, a fim de garantir o recebimento tempestivo das comunicações da Administração.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O descumprimento do prazo estabelecido poderá acarretar a aplicação das penalidades previstas em lei e no contrato, sem prejuízo da adoção de medidas adicionais necessárias à garantia do interesse público.</w:t>
      </w:r>
      <w:r>
        <w:rPr>
          <w:rFonts w:cs="Arial" w:ascii="Arial" w:hAnsi="Arial"/>
          <w:b w:val="false"/>
          <w:bCs w:val="false"/>
          <w:color w:val="000000"/>
          <w:sz w:val="22"/>
          <w:szCs w:val="22"/>
          <w:shd w:fill="auto" w:val="clear"/>
        </w:rPr>
        <w:tab/>
      </w:r>
    </w:p>
    <w:p>
      <w:pPr>
        <w:pStyle w:val="Normal"/>
        <w:widowControl/>
        <w:numPr>
          <w:ilvl w:val="0"/>
          <w:numId w:val="2"/>
        </w:numPr>
        <w:suppressAutoHyphens w:val="true"/>
        <w:overflowPunct w:val="true"/>
        <w:bidi w:val="0"/>
        <w:spacing w:lineRule="auto" w:line="276" w:before="0" w:after="0"/>
        <w:ind w:right="0" w:hanging="0"/>
        <w:jc w:val="both"/>
        <w:rPr>
          <w:rFonts w:ascii="Arial" w:hAnsi="Arial"/>
          <w:color w:val="000000"/>
          <w:sz w:val="22"/>
          <w:szCs w:val="22"/>
          <w:highlight w:val="none"/>
          <w:shd w:fill="auto" w:val="clear"/>
        </w:rPr>
      </w:pPr>
      <w:r>
        <w:rPr>
          <w:rFonts w:eastAsia="Arial" w:cs="Arial" w:ascii="Arial" w:hAnsi="Arial"/>
          <w:b w:val="false"/>
          <w:bCs w:val="false"/>
          <w:color w:val="000000"/>
          <w:sz w:val="22"/>
          <w:szCs w:val="22"/>
          <w:shd w:fill="auto" w:val="clear"/>
        </w:rPr>
        <w:t>Todas as custas inerentes ao futuro Fornecimento e a Prestação dos Serviços solicitados ficarão a cargo da Empresa contratada.</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8.3 Justificativa para não destinação exclusiva</w:t>
      </w:r>
    </w:p>
    <w:p>
      <w:pPr>
        <w:pStyle w:val="Corpodotexto"/>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Em atendimento ao disposto no art. 48, inciso I, da Lei Complementar nº 123/2006, que prevê a destinação exclusiva de participação para Microempresas (ME) e Empresas de Pequeno Porte (EPP) em contratações de bens, serviços e obras de valor até R$ 80.000,00 (oitenta mil reais) por item ou lote, justifica-se a não aplicação dessa reserva para determinados Itens do presente certame, pelos seguintes motivos:</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Extrapolação do limite legal por Item</w:t>
      </w:r>
    </w:p>
    <w:p>
      <w:pPr>
        <w:pStyle w:val="Corpodotexto"/>
        <w:numPr>
          <w:ilvl w:val="0"/>
          <w:numId w:val="0"/>
        </w:numPr>
        <w:spacing w:lineRule="auto" w:line="276"/>
        <w:ind w:right="0" w:hanging="0"/>
        <w:jc w:val="both"/>
        <w:rPr/>
      </w:pPr>
      <w:r>
        <w:rPr>
          <w:rFonts w:cs="Arial" w:ascii="Arial" w:hAnsi="Arial"/>
          <w:b w:val="false"/>
          <w:bCs w:val="false"/>
          <w:color w:val="000000"/>
          <w:sz w:val="22"/>
          <w:szCs w:val="22"/>
          <w:shd w:fill="auto" w:val="clear"/>
        </w:rPr>
        <w:t xml:space="preserve">Foi constatado, a partir da estimativa de preços, que </w:t>
      </w:r>
      <w:r>
        <w:rPr>
          <w:rStyle w:val="Strong"/>
          <w:rFonts w:cs="Arial" w:ascii="Arial" w:hAnsi="Arial"/>
          <w:b w:val="false"/>
          <w:bCs w:val="false"/>
          <w:color w:val="000000"/>
          <w:sz w:val="22"/>
          <w:szCs w:val="22"/>
          <w:shd w:fill="auto" w:val="clear"/>
        </w:rPr>
        <w:t>dois Itens apresentam valores superiores ao limite de R$ 80.000,00</w:t>
      </w:r>
      <w:r>
        <w:rPr>
          <w:rFonts w:cs="Arial" w:ascii="Arial" w:hAnsi="Arial"/>
          <w:b w:val="false"/>
          <w:bCs w:val="false"/>
          <w:color w:val="000000"/>
          <w:sz w:val="22"/>
          <w:szCs w:val="22"/>
          <w:shd w:fill="auto" w:val="clear"/>
        </w:rPr>
        <w:t>, inviabilizando sua destinação exclusiva a ME/EPP, em razão de afronta direta ao teto legal estabelecido.</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Incompatibilidade técnica do sistema para execução simultânea</w:t>
      </w:r>
    </w:p>
    <w:p>
      <w:pPr>
        <w:pStyle w:val="Corpodotexto"/>
        <w:numPr>
          <w:ilvl w:val="0"/>
          <w:numId w:val="0"/>
        </w:numPr>
        <w:spacing w:lineRule="auto" w:line="276"/>
        <w:ind w:right="0" w:hanging="0"/>
        <w:jc w:val="both"/>
        <w:rPr/>
      </w:pPr>
      <w:r>
        <w:rPr>
          <w:rFonts w:cs="Arial" w:ascii="Arial" w:hAnsi="Arial"/>
          <w:b w:val="false"/>
          <w:bCs w:val="false"/>
          <w:color w:val="000000"/>
          <w:sz w:val="22"/>
          <w:szCs w:val="22"/>
          <w:shd w:fill="auto" w:val="clear"/>
        </w:rPr>
        <w:t xml:space="preserve">O sistema eletrônico utilizado para a realização do certame </w:t>
      </w:r>
      <w:r>
        <w:rPr>
          <w:rStyle w:val="Strong"/>
          <w:rFonts w:cs="Arial" w:ascii="Arial" w:hAnsi="Arial"/>
          <w:b w:val="false"/>
          <w:bCs w:val="false"/>
          <w:color w:val="000000"/>
          <w:sz w:val="22"/>
          <w:szCs w:val="22"/>
          <w:shd w:fill="auto" w:val="clear"/>
        </w:rPr>
        <w:t>não possibilita, de forma simultânea e dentro do mesmo processo licitatório, a configuração de Itens exclusivos e não exclusivos</w:t>
      </w:r>
      <w:r>
        <w:rPr>
          <w:rFonts w:cs="Arial" w:ascii="Arial" w:hAnsi="Arial"/>
          <w:b w:val="false"/>
          <w:bCs w:val="false"/>
          <w:color w:val="000000"/>
          <w:sz w:val="22"/>
          <w:szCs w:val="22"/>
          <w:shd w:fill="auto" w:val="clear"/>
        </w:rPr>
        <w:t>, o que impede a manutenção de um procedimento único com participação restrita em parte e ampla em outra, sem fracionamento indevido da licitação.</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Risco de prejuízo à competitividade e ao interesse público</w:t>
      </w:r>
    </w:p>
    <w:p>
      <w:pPr>
        <w:pStyle w:val="Corpodotexto"/>
        <w:numPr>
          <w:ilvl w:val="0"/>
          <w:numId w:val="0"/>
        </w:numPr>
        <w:spacing w:lineRule="auto" w:line="276" w:before="0" w:after="0"/>
        <w:ind w:right="0" w:hanging="0"/>
        <w:jc w:val="both"/>
        <w:rPr/>
      </w:pPr>
      <w:r>
        <w:rPr>
          <w:rFonts w:cs="Arial" w:ascii="Arial" w:hAnsi="Arial"/>
          <w:b w:val="false"/>
          <w:bCs w:val="false"/>
          <w:color w:val="000000"/>
          <w:sz w:val="22"/>
          <w:szCs w:val="22"/>
          <w:shd w:fill="auto" w:val="clear"/>
        </w:rPr>
        <w:t xml:space="preserve">A tentativa de segmentar o processo em dois certames distintos para atender à exclusividade de alguns Itens poderia implicar </w:t>
      </w:r>
      <w:r>
        <w:rPr>
          <w:rStyle w:val="Strong"/>
          <w:rFonts w:cs="Arial" w:ascii="Arial" w:hAnsi="Arial"/>
          <w:b w:val="false"/>
          <w:bCs w:val="false"/>
          <w:color w:val="000000"/>
          <w:sz w:val="22"/>
          <w:szCs w:val="22"/>
          <w:shd w:fill="auto" w:val="clear"/>
        </w:rPr>
        <w:t>perda de economia de escala, aumento de custos operacionais e alongamento de prazos</w:t>
      </w:r>
      <w:r>
        <w:rPr>
          <w:rFonts w:cs="Arial" w:ascii="Arial" w:hAnsi="Arial"/>
          <w:b w:val="false"/>
          <w:bCs w:val="false"/>
          <w:color w:val="000000"/>
          <w:sz w:val="22"/>
          <w:szCs w:val="22"/>
          <w:shd w:fill="auto" w:val="clear"/>
        </w:rPr>
        <w:t>, contrariando os princípios da eficiência e economicidade.</w:t>
      </w:r>
    </w:p>
    <w:p>
      <w:pPr>
        <w:pStyle w:val="Corpodotexto"/>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Dessa forma, a não adoção da reserva exclusiva para ME/EPP, especificamente para os Itens com valor estimado superior ao limite legal e diante da limitação técnica do sistema, encontra respaldo na legislação vigente e na busca pela melhor solução para a Administração, resguardando a ampla competitividade, a regularidade do certame e a observância aos princípios da isonomia, economicidade e interesse público.</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8.4 MÉDIA DE PREÇOS - Metodologia de Estimativa de Preços</w:t>
      </w:r>
    </w:p>
    <w:p>
      <w:pPr>
        <w:pStyle w:val="Corpodotexto"/>
        <w:numPr>
          <w:ilvl w:val="0"/>
          <w:numId w:val="2"/>
        </w:numPr>
        <w:spacing w:lineRule="auto" w:line="276" w:before="0" w:after="0"/>
        <w:jc w:val="both"/>
        <w:rPr/>
      </w:pPr>
      <w:r>
        <w:rPr>
          <w:rFonts w:cs="Arial" w:ascii="Arial" w:hAnsi="Arial"/>
          <w:color w:val="000000"/>
          <w:sz w:val="22"/>
          <w:szCs w:val="22"/>
          <w:shd w:fill="auto" w:val="clear"/>
        </w:rPr>
        <w:t xml:space="preserve">Adotou-se a metodologia prevista no </w:t>
      </w:r>
      <w:r>
        <w:rPr>
          <w:rStyle w:val="Strong"/>
          <w:rFonts w:cs="Arial" w:ascii="Arial" w:hAnsi="Arial"/>
          <w:color w:val="000000"/>
          <w:sz w:val="22"/>
          <w:szCs w:val="22"/>
          <w:shd w:fill="auto" w:val="clear"/>
        </w:rPr>
        <w:t>art. 18, inciso IV, da Lei nº 14.133/2021</w:t>
      </w:r>
      <w:r>
        <w:rPr>
          <w:rFonts w:cs="Arial" w:ascii="Arial" w:hAnsi="Arial"/>
          <w:color w:val="000000"/>
          <w:sz w:val="22"/>
          <w:szCs w:val="22"/>
          <w:shd w:fill="auto" w:val="clear"/>
        </w:rPr>
        <w:t>, consistente na obtenção de composições e levantamentos de preços diretamente junto a Empresas especializadas do setor, devidamente estabelecidas e atuantes no mercado, de forma a refletir valores praticados em condições reais de contratação.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 levantamento considerou as </w:t>
      </w:r>
      <w:r>
        <w:rPr>
          <w:rStyle w:val="Strong"/>
          <w:rFonts w:cs="Arial" w:ascii="Arial" w:hAnsi="Arial"/>
          <w:b w:val="false"/>
          <w:bCs w:val="false"/>
          <w:color w:val="000000"/>
          <w:sz w:val="22"/>
          <w:szCs w:val="22"/>
          <w:shd w:fill="auto" w:val="clear"/>
        </w:rPr>
        <w:t>peculiaridades locais</w:t>
      </w:r>
      <w:r>
        <w:rPr>
          <w:rFonts w:cs="Arial" w:ascii="Arial" w:hAnsi="Arial"/>
          <w:b w:val="false"/>
          <w:bCs w:val="false"/>
          <w:color w:val="000000"/>
          <w:sz w:val="22"/>
          <w:szCs w:val="22"/>
          <w:shd w:fill="auto" w:val="clear"/>
        </w:rPr>
        <w:t>, abrangendo, logística, disponibilidade de estoque, capacidade técnica dos fornecedores, escala de fornecimento e prazos médios de entrega, garantindo maior precisão na estimativa de custos e adequação às necessidades operacionais do Município.</w:t>
      </w:r>
    </w:p>
    <w:p>
      <w:pPr>
        <w:pStyle w:val="Corpodotexto"/>
        <w:numPr>
          <w:ilvl w:val="0"/>
          <w:numId w:val="2"/>
        </w:numPr>
        <w:spacing w:lineRule="auto" w:line="276"/>
        <w:jc w:val="both"/>
        <w:rPr/>
      </w:pPr>
      <w:r>
        <w:rPr>
          <w:rFonts w:cs="Arial" w:ascii="Arial" w:hAnsi="Arial"/>
          <w:b w:val="false"/>
          <w:bCs w:val="false"/>
          <w:color w:val="000000"/>
          <w:sz w:val="22"/>
          <w:szCs w:val="22"/>
          <w:shd w:fill="auto" w:val="clear"/>
        </w:rPr>
        <w:t xml:space="preserve">Complementarmente, foram utilizados </w:t>
      </w:r>
      <w:r>
        <w:rPr>
          <w:rStyle w:val="Strong"/>
          <w:rFonts w:cs="Arial" w:ascii="Arial" w:hAnsi="Arial"/>
          <w:b w:val="false"/>
          <w:bCs w:val="false"/>
          <w:color w:val="000000"/>
          <w:sz w:val="22"/>
          <w:szCs w:val="22"/>
          <w:shd w:fill="auto" w:val="clear"/>
        </w:rPr>
        <w:t>valores obtidos a partir de licitações publicadas no Portal de Compras do Governo Federal</w:t>
      </w:r>
      <w:r>
        <w:rPr>
          <w:rFonts w:cs="Arial" w:ascii="Arial" w:hAnsi="Arial"/>
          <w:b w:val="false"/>
          <w:bCs w:val="false"/>
          <w:color w:val="000000"/>
          <w:sz w:val="22"/>
          <w:szCs w:val="22"/>
          <w:shd w:fill="auto" w:val="clear"/>
        </w:rPr>
        <w:t xml:space="preserve"> e em S</w:t>
      </w:r>
      <w:r>
        <w:rPr>
          <w:rStyle w:val="Strong"/>
          <w:rFonts w:cs="Arial" w:ascii="Arial" w:hAnsi="Arial"/>
          <w:b w:val="false"/>
          <w:bCs w:val="false"/>
          <w:color w:val="000000"/>
          <w:sz w:val="22"/>
          <w:szCs w:val="22"/>
          <w:shd w:fill="auto" w:val="clear"/>
        </w:rPr>
        <w:t>ites especializados na pesquisa de preços públicos</w:t>
      </w:r>
      <w:r>
        <w:rPr>
          <w:rFonts w:cs="Arial" w:ascii="Arial" w:hAnsi="Arial"/>
          <w:b w:val="false"/>
          <w:bCs w:val="false"/>
          <w:color w:val="000000"/>
          <w:sz w:val="22"/>
          <w:szCs w:val="22"/>
          <w:shd w:fill="auto" w:val="clear"/>
        </w:rPr>
        <w:t>, possibilitando uma composição de valores mais representativa e alinhada às práticas de mercado, atendendo aos princípios da economicidade, eficiência e transparência que norteiam o processo licitatório.</w:t>
      </w:r>
    </w:p>
    <w:p>
      <w:pPr>
        <w:pStyle w:val="Corpodotexto"/>
        <w:numPr>
          <w:ilvl w:val="0"/>
          <w:numId w:val="2"/>
        </w:numPr>
        <w:spacing w:lineRule="auto" w:line="276" w:before="0" w:after="0"/>
        <w:ind w:right="-454" w:hanging="0"/>
        <w:jc w:val="both"/>
        <w:rPr>
          <w:rStyle w:val="Strong"/>
          <w:rFonts w:ascii="Arial" w:hAnsi="Arial" w:cs="Arial"/>
          <w:color w:val="000000"/>
          <w:sz w:val="22"/>
          <w:szCs w:val="22"/>
          <w:highlight w:val="none"/>
          <w:shd w:fill="auto" w:val="clear"/>
        </w:rPr>
      </w:pPr>
      <w:r>
        <w:rPr/>
      </w:r>
    </w:p>
    <w:p>
      <w:pPr>
        <w:pStyle w:val="Corpodotexto"/>
        <w:numPr>
          <w:ilvl w:val="0"/>
          <w:numId w:val="2"/>
        </w:numPr>
        <w:spacing w:lineRule="auto" w:line="276" w:before="0" w:after="0"/>
        <w:ind w:right="-454" w:hanging="0"/>
        <w:jc w:val="both"/>
        <w:rPr/>
      </w:pPr>
      <w:r>
        <w:rPr>
          <w:rStyle w:val="Strong"/>
          <w:rFonts w:cs="Arial" w:ascii="Arial" w:hAnsi="Arial"/>
          <w:color w:val="000000"/>
          <w:sz w:val="22"/>
          <w:szCs w:val="22"/>
          <w:shd w:fill="auto" w:val="clear"/>
        </w:rPr>
        <w:t>8.5 REGULARIDADE</w:t>
      </w:r>
    </w:p>
    <w:p>
      <w:pPr>
        <w:pStyle w:val="Corpodotexto"/>
        <w:widowControl/>
        <w:numPr>
          <w:ilvl w:val="0"/>
          <w:numId w:val="2"/>
        </w:numPr>
        <w:suppressAutoHyphens w:val="true"/>
        <w:bidi w:val="0"/>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Em conformidade com o art. 62 da Lei nº 14.133/2021, a regularidade fiscal e trabalhista será exigida, incluindo:</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Certidão do FGTS – CEF;</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Certidão Negativa Municipal;</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Certidão Negativa Estadual;</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Certidão Negativa Federal (Receita Federal e PGFN);</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Certidão Negativa de Débitos Trabalhistas – CNDT;</w:t>
      </w:r>
    </w:p>
    <w:p>
      <w:pPr>
        <w:pStyle w:val="Corpodotexto"/>
        <w:numPr>
          <w:ilvl w:val="0"/>
          <w:numId w:val="0"/>
        </w:numPr>
        <w:spacing w:lineRule="auto" w:line="276" w:before="0" w:after="0"/>
        <w:ind w:right="-454"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Declaração de conformidade com práticas sustentáveis e legislação ambiental vigente.</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Declaração simples</w:t>
      </w:r>
      <w:r>
        <w:rPr>
          <w:rFonts w:cs="Arial" w:ascii="Arial" w:hAnsi="Arial"/>
          <w:b w:val="false"/>
          <w:bCs w:val="false"/>
          <w:color w:val="000000"/>
          <w:sz w:val="22"/>
          <w:szCs w:val="22"/>
          <w:shd w:fill="auto" w:val="clear"/>
        </w:rPr>
        <w:t xml:space="preserve"> acerca de sua estrutura operacional, logística e de pessoal, compatível com o objeto contratado.</w:t>
      </w:r>
      <w:r>
        <w:rPr>
          <w:rFonts w:cs="Arial" w:ascii="Arial" w:hAnsi="Arial"/>
          <w:color w:val="000000"/>
          <w:sz w:val="22"/>
          <w:szCs w:val="22"/>
          <w:shd w:fill="auto" w:val="clear"/>
        </w:rPr>
        <w:tab/>
      </w:r>
      <w:r>
        <w:rPr>
          <w:rFonts w:cs="Arial" w:ascii="Arial" w:hAnsi="Arial"/>
          <w:b w:val="false"/>
          <w:bCs w:val="false"/>
          <w:color w:val="000000"/>
          <w:sz w:val="22"/>
          <w:szCs w:val="22"/>
          <w:shd w:fill="auto" w:val="clear"/>
        </w:rPr>
        <w:tab/>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Todos os itens especificados deverão atender rigorosamente às normas técnicas da ABNT/NBR pertinentes, possuir certificação de conformidade pelo INMETRO – P</w:t>
      </w:r>
      <w:r>
        <w:rPr>
          <w:rFonts w:ascii="Arial" w:hAnsi="Arial"/>
          <w:color w:val="000000"/>
          <w:sz w:val="22"/>
          <w:szCs w:val="22"/>
          <w:shd w:fill="auto" w:val="clear"/>
        </w:rPr>
        <w:t xml:space="preserve">ortaria n° 62, de 17 de fevereiro 2022 </w:t>
      </w:r>
      <w:r>
        <w:rPr>
          <w:rFonts w:cs="Arial" w:ascii="Arial" w:hAnsi="Arial"/>
          <w:color w:val="000000"/>
          <w:sz w:val="22"/>
          <w:szCs w:val="22"/>
          <w:shd w:fill="auto" w:val="clear"/>
        </w:rPr>
        <w:t>e ser entregues em unidades compatíveis com os padrões operacionais da municipalidade, conforme quantitativos indicados individualmente para cada item no respectivo documento técnico que integra este Estudo.</w:t>
      </w:r>
    </w:p>
    <w:p>
      <w:pPr>
        <w:pStyle w:val="Corpodotexto"/>
        <w:widowControl/>
        <w:numPr>
          <w:ilvl w:val="0"/>
          <w:numId w:val="2"/>
        </w:numPr>
        <w:suppressAutoHyphens w:val="true"/>
        <w:bidi w:val="0"/>
        <w:spacing w:lineRule="auto" w:line="276" w:before="0" w:after="0"/>
        <w:ind w:right="0" w:hanging="0"/>
        <w:jc w:val="both"/>
        <w:rPr/>
      </w:pPr>
      <w:r>
        <w:rPr>
          <w:rFonts w:cs="Arial" w:ascii="Arial" w:hAnsi="Arial"/>
          <w:b w:val="false"/>
          <w:bCs w:val="false"/>
          <w:color w:val="000000"/>
          <w:sz w:val="22"/>
          <w:szCs w:val="22"/>
          <w:shd w:fill="auto" w:val="clear"/>
        </w:rPr>
        <w:t xml:space="preserve">A empresa contratada </w:t>
      </w:r>
      <w:r>
        <w:rPr>
          <w:rStyle w:val="Strong"/>
          <w:rFonts w:cs="Arial" w:ascii="Arial" w:hAnsi="Arial"/>
          <w:b w:val="false"/>
          <w:bCs w:val="false"/>
          <w:color w:val="000000"/>
          <w:sz w:val="22"/>
          <w:szCs w:val="22"/>
          <w:shd w:fill="auto" w:val="clear"/>
        </w:rPr>
        <w:t>não poderá estabelecer limites mínimos ou máximos para o fornecimento</w:t>
      </w:r>
      <w:r>
        <w:rPr>
          <w:rFonts w:cs="Arial" w:ascii="Arial" w:hAnsi="Arial"/>
          <w:b w:val="false"/>
          <w:bCs w:val="false"/>
          <w:color w:val="000000"/>
          <w:sz w:val="22"/>
          <w:szCs w:val="22"/>
          <w:shd w:fill="auto" w:val="clear"/>
        </w:rPr>
        <w:t>, devendo atender integralmente às quantidades demandadas pelo requisitante e de acordo com as necessidades operacionais do Município.</w:t>
      </w:r>
    </w:p>
    <w:p>
      <w:pPr>
        <w:pStyle w:val="Corpodotexto"/>
        <w:numPr>
          <w:ilvl w:val="0"/>
          <w:numId w:val="2"/>
        </w:numPr>
        <w:spacing w:lineRule="auto" w:line="276" w:before="0" w:after="0"/>
        <w:jc w:val="both"/>
        <w:rPr/>
      </w:pPr>
      <w:r>
        <w:rPr>
          <w:rFonts w:cs="Arial" w:ascii="Arial" w:hAnsi="Arial"/>
          <w:color w:val="000000"/>
          <w:sz w:val="22"/>
          <w:szCs w:val="22"/>
          <w:shd w:fill="auto" w:val="clear"/>
        </w:rPr>
        <w:t>Tal exigência se justifica pela naturez</w:t>
      </w:r>
      <w:r>
        <w:rPr>
          <w:rFonts w:cs="Arial" w:ascii="Arial" w:hAnsi="Arial"/>
          <w:b w:val="false"/>
          <w:bCs w:val="false"/>
          <w:color w:val="000000"/>
          <w:sz w:val="22"/>
          <w:szCs w:val="22"/>
          <w:shd w:fill="auto" w:val="clear"/>
        </w:rPr>
        <w:t xml:space="preserve">a </w:t>
      </w:r>
      <w:r>
        <w:rPr>
          <w:rStyle w:val="Strong"/>
          <w:rFonts w:cs="Arial" w:ascii="Arial" w:hAnsi="Arial"/>
          <w:b w:val="false"/>
          <w:bCs w:val="false"/>
          <w:color w:val="000000"/>
          <w:sz w:val="22"/>
          <w:szCs w:val="22"/>
          <w:shd w:fill="auto" w:val="clear"/>
        </w:rPr>
        <w:t>contínua e variável</w:t>
      </w:r>
      <w:r>
        <w:rPr>
          <w:rFonts w:cs="Arial" w:ascii="Arial" w:hAnsi="Arial"/>
          <w:b w:val="false"/>
          <w:bCs w:val="false"/>
          <w:color w:val="000000"/>
          <w:sz w:val="22"/>
          <w:szCs w:val="22"/>
          <w:shd w:fill="auto" w:val="clear"/>
        </w:rPr>
        <w:t xml:space="preserve"> do</w:t>
      </w:r>
      <w:r>
        <w:rPr>
          <w:rFonts w:cs="Arial" w:ascii="Arial" w:hAnsi="Arial"/>
          <w:color w:val="000000"/>
          <w:sz w:val="22"/>
          <w:szCs w:val="22"/>
          <w:shd w:fill="auto" w:val="clear"/>
        </w:rPr>
        <w:t xml:space="preserve"> consumo de materiais elétricos, cuja demanda está diretamente vinculada à execução de serviços essenciais, como, a manutenção e expansão da iluminação pública, reparos emergenciais e adequações nas </w:t>
      </w:r>
      <w:r>
        <w:rPr>
          <w:rFonts w:cs="Arial" w:ascii="Arial" w:hAnsi="Arial"/>
          <w:b w:val="false"/>
          <w:bCs w:val="false"/>
          <w:color w:val="000000"/>
          <w:sz w:val="22"/>
          <w:szCs w:val="22"/>
          <w:shd w:fill="auto" w:val="clear"/>
        </w:rPr>
        <w:t xml:space="preserve">redes elétricas, restrições de quantidade podem comprometer a </w:t>
      </w:r>
      <w:r>
        <w:rPr>
          <w:rStyle w:val="Strong"/>
          <w:rFonts w:cs="Arial" w:ascii="Arial" w:hAnsi="Arial"/>
          <w:b w:val="false"/>
          <w:bCs w:val="false"/>
          <w:color w:val="000000"/>
          <w:sz w:val="22"/>
          <w:szCs w:val="22"/>
          <w:shd w:fill="auto" w:val="clear"/>
        </w:rPr>
        <w:t>eficiência, a economicidade e a tempestividade</w:t>
      </w:r>
      <w:r>
        <w:rPr>
          <w:rFonts w:cs="Arial" w:ascii="Arial" w:hAnsi="Arial"/>
          <w:b w:val="false"/>
          <w:bCs w:val="false"/>
          <w:color w:val="000000"/>
          <w:sz w:val="22"/>
          <w:szCs w:val="22"/>
          <w:shd w:fill="auto" w:val="clear"/>
        </w:rPr>
        <w:t xml:space="preserve"> n</w:t>
      </w:r>
      <w:r>
        <w:rPr>
          <w:rFonts w:cs="Arial" w:ascii="Arial" w:hAnsi="Arial"/>
          <w:color w:val="000000"/>
          <w:sz w:val="22"/>
          <w:szCs w:val="22"/>
          <w:shd w:fill="auto" w:val="clear"/>
        </w:rPr>
        <w:t xml:space="preserve">a execução dos serviços, podendo gerar atrasos e dificultar a continuidade das atividades essenciais, dessa forma, o atendimento deverá ocorrer exatamente conforme solicitado, observando-se as especificações técnicas e os prazos estabelecidos, independentemente do volume requisitado, sob pena de aplicação das sanções previstas no contrato. </w:t>
      </w:r>
    </w:p>
    <w:p>
      <w:pPr>
        <w:pStyle w:val="Corpodotexto"/>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8.6 DESCRIÇÕES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Os itens deverão </w:t>
      </w:r>
      <w:r>
        <w:rPr>
          <w:rStyle w:val="Strong"/>
          <w:rFonts w:cs="Arial" w:ascii="Arial" w:hAnsi="Arial"/>
          <w:b w:val="false"/>
          <w:bCs w:val="false"/>
          <w:color w:val="000000"/>
          <w:sz w:val="22"/>
          <w:szCs w:val="22"/>
          <w:shd w:fill="auto" w:val="clear"/>
        </w:rPr>
        <w:t>obrigatoriamente atender às descrições técnicas constantes no ANEXO I e no Termo de Referência</w:t>
      </w:r>
      <w:r>
        <w:rPr>
          <w:rFonts w:cs="Arial" w:ascii="Arial" w:hAnsi="Arial"/>
          <w:b w:val="false"/>
          <w:bCs w:val="false"/>
          <w:color w:val="000000"/>
          <w:sz w:val="22"/>
          <w:szCs w:val="22"/>
          <w:shd w:fill="auto" w:val="clear"/>
        </w:rPr>
        <w:t>, observando-se rigorosamente as especificações, unidades de fornecimento e padrões de qualidade estabelecidos.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Caso ocorram divergências entre as descrições contidas nestes documentos e aquelas eventualmente apresentadas em outros anexos, documentos de apoio ou registros do </w:t>
      </w:r>
      <w:r>
        <w:rPr>
          <w:rStyle w:val="Strong"/>
          <w:rFonts w:cs="Arial" w:ascii="Arial" w:hAnsi="Arial"/>
          <w:b w:val="false"/>
          <w:bCs w:val="false"/>
          <w:color w:val="000000"/>
          <w:sz w:val="22"/>
          <w:szCs w:val="22"/>
          <w:shd w:fill="auto" w:val="clear"/>
        </w:rPr>
        <w:t>CATMAT</w:t>
      </w:r>
      <w:r>
        <w:rPr>
          <w:rFonts w:cs="Arial" w:ascii="Arial" w:hAnsi="Arial"/>
          <w:b w:val="false"/>
          <w:bCs w:val="false"/>
          <w:color w:val="000000"/>
          <w:sz w:val="22"/>
          <w:szCs w:val="22"/>
          <w:shd w:fill="auto" w:val="clear"/>
        </w:rPr>
        <w:t xml:space="preserve"> (se existentes), </w:t>
      </w:r>
      <w:r>
        <w:rPr>
          <w:rStyle w:val="Strong"/>
          <w:rFonts w:cs="Arial" w:ascii="Arial" w:hAnsi="Arial"/>
          <w:b w:val="false"/>
          <w:bCs w:val="false"/>
          <w:color w:val="000000"/>
          <w:sz w:val="22"/>
          <w:szCs w:val="22"/>
          <w:shd w:fill="auto" w:val="clear"/>
        </w:rPr>
        <w:t xml:space="preserve">prevalecerá sempre os dispostos no Anexo I e no Termo de Referência por tratar-se </w:t>
      </w:r>
      <w:r>
        <w:rPr>
          <w:rFonts w:cs="Arial" w:ascii="Arial" w:hAnsi="Arial"/>
          <w:b w:val="false"/>
          <w:bCs w:val="false"/>
          <w:color w:val="000000"/>
          <w:sz w:val="22"/>
          <w:szCs w:val="22"/>
          <w:shd w:fill="auto" w:val="clear"/>
        </w:rPr>
        <w:t>do documento oficial que norteia a presente contratação.</w:t>
      </w:r>
    </w:p>
    <w:p>
      <w:pPr>
        <w:pStyle w:val="Corpodotexto"/>
        <w:numPr>
          <w:ilvl w:val="0"/>
          <w:numId w:val="2"/>
        </w:numPr>
        <w:spacing w:lineRule="auto" w:line="276" w:before="0" w:after="26"/>
        <w:jc w:val="both"/>
        <w:rPr/>
      </w:pPr>
      <w:r>
        <w:rPr>
          <w:rFonts w:cs="Arial" w:ascii="Arial" w:hAnsi="Arial"/>
          <w:b w:val="false"/>
          <w:bCs w:val="false"/>
          <w:color w:val="000000"/>
          <w:sz w:val="22"/>
          <w:szCs w:val="22"/>
          <w:shd w:fill="auto" w:val="clear"/>
        </w:rPr>
        <w:t xml:space="preserve">Tal diretriz visa assegurar a </w:t>
      </w:r>
      <w:r>
        <w:rPr>
          <w:rStyle w:val="Strong"/>
          <w:rFonts w:cs="Arial" w:ascii="Arial" w:hAnsi="Arial"/>
          <w:b w:val="false"/>
          <w:bCs w:val="false"/>
          <w:color w:val="000000"/>
          <w:sz w:val="22"/>
          <w:szCs w:val="22"/>
          <w:shd w:fill="auto" w:val="clear"/>
        </w:rPr>
        <w:t>padronização, a clareza e a uniformidade técnica</w:t>
      </w:r>
      <w:r>
        <w:rPr>
          <w:rFonts w:cs="Arial" w:ascii="Arial" w:hAnsi="Arial"/>
          <w:b w:val="false"/>
          <w:bCs w:val="false"/>
          <w:color w:val="000000"/>
          <w:sz w:val="22"/>
          <w:szCs w:val="22"/>
          <w:shd w:fill="auto" w:val="clear"/>
        </w:rPr>
        <w:t xml:space="preserve"> na execução contratual, evitando interpretações equivocadas ou fornecimentos em desacordo com as reais necessidades do Município.</w:t>
      </w:r>
    </w:p>
    <w:p>
      <w:pPr>
        <w:pStyle w:val="Corpodotexto"/>
        <w:numPr>
          <w:ilvl w:val="0"/>
          <w:numId w:val="2"/>
        </w:numPr>
        <w:spacing w:lineRule="auto" w:line="276" w:before="0" w:after="26"/>
        <w:jc w:val="both"/>
        <w:rPr>
          <w:rFonts w:cs="Arial"/>
          <w:b w:val="false"/>
          <w:bCs w:val="false"/>
        </w:rPr>
      </w:pPr>
      <w:r>
        <w:rPr>
          <w:rFonts w:ascii="Arial" w:hAnsi="Arial"/>
          <w:color w:val="000000"/>
          <w:sz w:val="22"/>
          <w:szCs w:val="22"/>
          <w:shd w:fill="auto" w:val="clear"/>
        </w:rPr>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Black" w:ascii="Arial" w:hAnsi="Arial"/>
          <w:b/>
          <w:bCs/>
          <w:color w:val="000000"/>
          <w:sz w:val="22"/>
          <w:szCs w:val="22"/>
          <w:shd w:fill="auto" w:val="clear"/>
        </w:rPr>
        <w:t>ANEXO I</w:t>
      </w:r>
    </w:p>
    <w:tbl>
      <w:tblPr>
        <w:tblW w:w="10318" w:type="dxa"/>
        <w:jc w:val="left"/>
        <w:tblInd w:w="56" w:type="dxa"/>
        <w:tblLayout w:type="fixed"/>
        <w:tblCellMar>
          <w:top w:w="55" w:type="dxa"/>
          <w:left w:w="55" w:type="dxa"/>
          <w:bottom w:w="55" w:type="dxa"/>
          <w:right w:w="55" w:type="dxa"/>
        </w:tblCellMar>
      </w:tblPr>
      <w:tblGrid>
        <w:gridCol w:w="1103"/>
        <w:gridCol w:w="6775"/>
        <w:gridCol w:w="1128"/>
        <w:gridCol w:w="1312"/>
      </w:tblGrid>
      <w:tr>
        <w:trPr/>
        <w:tc>
          <w:tcPr>
            <w:tcW w:w="1103" w:type="dxa"/>
            <w:tcBorders>
              <w:top w:val="single" w:sz="6" w:space="0" w:color="000000"/>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ITEM</w:t>
            </w:r>
          </w:p>
        </w:tc>
        <w:tc>
          <w:tcPr>
            <w:tcW w:w="6775" w:type="dxa"/>
            <w:tcBorders>
              <w:top w:val="single" w:sz="6" w:space="0" w:color="000000"/>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DESCRIÇÃO</w:t>
            </w:r>
          </w:p>
        </w:tc>
        <w:tc>
          <w:tcPr>
            <w:tcW w:w="1128" w:type="dxa"/>
            <w:tcBorders>
              <w:top w:val="single" w:sz="4" w:space="0" w:color="000000"/>
              <w:left w:val="single" w:sz="4" w:space="0" w:color="000000"/>
              <w:bottom w:val="single" w:sz="4"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UNID.</w:t>
            </w:r>
          </w:p>
        </w:tc>
        <w:tc>
          <w:tcPr>
            <w:tcW w:w="1312" w:type="dxa"/>
            <w:tcBorders>
              <w:top w:val="single" w:sz="6" w:space="0" w:color="000000"/>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QUANT</w:t>
            </w:r>
          </w:p>
        </w:tc>
      </w:tr>
      <w:tr>
        <w:trPr/>
        <w:tc>
          <w:tcPr>
            <w:tcW w:w="110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jc w:val="center"/>
              <w:rPr>
                <w:rFonts w:ascii="Arial" w:hAnsi="Arial" w:cs="Arial"/>
                <w:color w:val="000000"/>
                <w:sz w:val="18"/>
                <w:szCs w:val="18"/>
                <w:highlight w:val="none"/>
                <w:shd w:fill="auto" w:val="clear"/>
              </w:rPr>
            </w:pPr>
            <w:r>
              <w:rPr>
                <w:rFonts w:cs="Arial" w:ascii="Arial" w:hAnsi="Arial"/>
                <w:color w:val="000000"/>
                <w:sz w:val="18"/>
                <w:szCs w:val="18"/>
                <w:shd w:fill="auto" w:val="clear"/>
              </w:rPr>
            </w:r>
          </w:p>
        </w:tc>
        <w:tc>
          <w:tcPr>
            <w:tcW w:w="6775"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 xml:space="preserve">Luminária LED com potência nominal de </w:t>
            </w:r>
            <w:r>
              <w:rPr>
                <w:rFonts w:cs="Arial" w:ascii="Arial" w:hAnsi="Arial"/>
                <w:color w:val="000000"/>
                <w:sz w:val="18"/>
                <w:szCs w:val="18"/>
                <w:shd w:fill="auto" w:val="clear"/>
              </w:rPr>
              <w:t xml:space="preserve">≤ </w:t>
            </w:r>
            <w:r>
              <w:rPr>
                <w:rFonts w:cs="Arial" w:ascii="Arial" w:hAnsi="Arial"/>
                <w:b/>
                <w:bCs/>
                <w:color w:val="000000"/>
                <w:sz w:val="18"/>
                <w:szCs w:val="18"/>
                <w:shd w:fill="auto" w:val="clear"/>
              </w:rPr>
              <w:t xml:space="preserve"> 50 W:</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1128"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1312"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150</w:t>
            </w:r>
          </w:p>
        </w:tc>
      </w:tr>
      <w:tr>
        <w:trPr/>
        <w:tc>
          <w:tcPr>
            <w:tcW w:w="110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jc w:val="center"/>
              <w:rPr>
                <w:rFonts w:ascii="Arial" w:hAnsi="Arial" w:cs="Arial"/>
                <w:color w:val="000000"/>
                <w:sz w:val="18"/>
                <w:szCs w:val="18"/>
                <w:highlight w:val="none"/>
                <w:shd w:fill="auto" w:val="clear"/>
              </w:rPr>
            </w:pPr>
            <w:r>
              <w:rPr>
                <w:rFonts w:cs="Arial" w:ascii="Arial" w:hAnsi="Arial"/>
                <w:color w:val="000000"/>
                <w:sz w:val="18"/>
                <w:szCs w:val="18"/>
                <w:shd w:fill="auto" w:val="clear"/>
              </w:rPr>
            </w:r>
          </w:p>
        </w:tc>
        <w:tc>
          <w:tcPr>
            <w:tcW w:w="6775"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 xml:space="preserve">Luminária LED com potência nominal de </w:t>
            </w:r>
            <w:r>
              <w:rPr>
                <w:rFonts w:cs="Arial" w:ascii="Arial" w:hAnsi="Arial"/>
                <w:color w:val="000000"/>
                <w:sz w:val="18"/>
                <w:szCs w:val="18"/>
                <w:shd w:fill="auto" w:val="clear"/>
              </w:rPr>
              <w:t xml:space="preserve">≤ </w:t>
            </w:r>
            <w:r>
              <w:rPr>
                <w:rFonts w:cs="Arial" w:ascii="Arial" w:hAnsi="Arial"/>
                <w:b/>
                <w:bCs/>
                <w:color w:val="000000"/>
                <w:sz w:val="18"/>
                <w:szCs w:val="18"/>
                <w:shd w:fill="auto" w:val="clear"/>
              </w:rPr>
              <w:t xml:space="preserve"> 70 W</w:t>
            </w:r>
            <w:r>
              <w:rPr>
                <w:rFonts w:eastAsia="Liberation Serif;Times New Roman" w:cs="Arial" w:ascii="Arial" w:hAnsi="Arial"/>
                <w:b/>
                <w:bCs/>
                <w:color w:val="000000"/>
                <w:sz w:val="18"/>
                <w:szCs w:val="18"/>
                <w:shd w:fill="auto" w:val="clear"/>
              </w:rPr>
              <w:t>:</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1128"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1312"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150</w:t>
            </w:r>
          </w:p>
        </w:tc>
      </w:tr>
      <w:tr>
        <w:trPr/>
        <w:tc>
          <w:tcPr>
            <w:tcW w:w="110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jc w:val="center"/>
              <w:rPr>
                <w:rFonts w:ascii="Arial" w:hAnsi="Arial" w:cs="Arial"/>
                <w:color w:val="000000"/>
                <w:sz w:val="18"/>
                <w:szCs w:val="18"/>
                <w:highlight w:val="none"/>
                <w:shd w:fill="auto" w:val="clear"/>
              </w:rPr>
            </w:pPr>
            <w:r>
              <w:rPr>
                <w:rFonts w:cs="Arial" w:ascii="Arial" w:hAnsi="Arial"/>
                <w:color w:val="000000"/>
                <w:sz w:val="18"/>
                <w:szCs w:val="18"/>
                <w:shd w:fill="auto" w:val="clear"/>
              </w:rPr>
            </w:r>
          </w:p>
        </w:tc>
        <w:tc>
          <w:tcPr>
            <w:tcW w:w="6775"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 xml:space="preserve">Luminária LED com potência nominal de </w:t>
            </w:r>
            <w:r>
              <w:rPr>
                <w:rFonts w:cs="Arial" w:ascii="Arial" w:hAnsi="Arial"/>
                <w:color w:val="000000"/>
                <w:sz w:val="18"/>
                <w:szCs w:val="18"/>
                <w:shd w:fill="auto" w:val="clear"/>
              </w:rPr>
              <w:t xml:space="preserve">≤ </w:t>
            </w:r>
            <w:r>
              <w:rPr>
                <w:rFonts w:cs="Arial" w:ascii="Arial" w:hAnsi="Arial"/>
                <w:b/>
                <w:bCs/>
                <w:color w:val="000000"/>
                <w:sz w:val="18"/>
                <w:szCs w:val="18"/>
                <w:shd w:fill="auto" w:val="clear"/>
              </w:rPr>
              <w:t xml:space="preserve">  120 W</w:t>
            </w:r>
            <w:r>
              <w:rPr>
                <w:rFonts w:eastAsia="Liberation Serif;Times New Roman" w:cs="Arial" w:ascii="Arial" w:hAnsi="Arial"/>
                <w:b/>
                <w:bCs/>
                <w:color w:val="000000"/>
                <w:sz w:val="18"/>
                <w:szCs w:val="18"/>
                <w:shd w:fill="auto" w:val="clear"/>
              </w:rPr>
              <w:t>:</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1128"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1312" w:type="dxa"/>
            <w:tcBorders>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500</w:t>
            </w:r>
          </w:p>
        </w:tc>
      </w:tr>
      <w:tr>
        <w:trPr/>
        <w:tc>
          <w:tcPr>
            <w:tcW w:w="110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jc w:val="center"/>
              <w:rPr>
                <w:rFonts w:ascii="Arial" w:hAnsi="Arial" w:cs="Arial"/>
                <w:color w:val="000000"/>
                <w:sz w:val="18"/>
                <w:szCs w:val="18"/>
                <w:highlight w:val="none"/>
                <w:shd w:fill="auto" w:val="clear"/>
              </w:rPr>
            </w:pPr>
            <w:r>
              <w:rPr>
                <w:rFonts w:cs="Arial" w:ascii="Arial" w:hAnsi="Arial"/>
                <w:color w:val="000000"/>
                <w:sz w:val="18"/>
                <w:szCs w:val="18"/>
                <w:shd w:fill="auto" w:val="clear"/>
              </w:rPr>
            </w:r>
          </w:p>
        </w:tc>
        <w:tc>
          <w:tcPr>
            <w:tcW w:w="6775"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Luminária LED com potência nominal de</w:t>
            </w:r>
            <w:r>
              <w:rPr>
                <w:rFonts w:cs="Arial" w:ascii="Arial" w:hAnsi="Arial"/>
                <w:color w:val="000000"/>
                <w:sz w:val="18"/>
                <w:szCs w:val="18"/>
                <w:shd w:fill="auto" w:val="clear"/>
              </w:rPr>
              <w:t xml:space="preserve">≤  </w:t>
            </w:r>
            <w:r>
              <w:rPr>
                <w:rFonts w:cs="Arial" w:ascii="Arial" w:hAnsi="Arial"/>
                <w:b/>
                <w:bCs/>
                <w:color w:val="000000"/>
                <w:sz w:val="18"/>
                <w:szCs w:val="18"/>
                <w:shd w:fill="auto" w:val="clear"/>
              </w:rPr>
              <w:t xml:space="preserve"> 150 W:</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1128" w:type="dxa"/>
            <w:tcBorders>
              <w:left w:val="single" w:sz="6" w:space="0" w:color="000000"/>
              <w:bottom w:val="single" w:sz="6"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1312" w:type="dxa"/>
            <w:tcBorders>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500</w:t>
            </w:r>
          </w:p>
        </w:tc>
      </w:tr>
    </w:tbl>
    <w:p>
      <w:pPr>
        <w:pStyle w:val="Normal"/>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pPr>
      <w:r>
        <w:rPr>
          <w:rStyle w:val="Strong"/>
          <w:rFonts w:cs="Arial" w:ascii="Arial" w:hAnsi="Arial"/>
          <w:color w:val="000000"/>
          <w:sz w:val="22"/>
          <w:szCs w:val="22"/>
          <w:shd w:fill="auto" w:val="clear"/>
        </w:rPr>
        <w:t>8.6 Apresentação de amostras</w:t>
      </w:r>
    </w:p>
    <w:p>
      <w:pPr>
        <w:pStyle w:val="Corpodotexto"/>
        <w:numPr>
          <w:ilvl w:val="0"/>
          <w:numId w:val="2"/>
        </w:numPr>
        <w:spacing w:lineRule="auto" w:line="276" w:before="0" w:after="0"/>
        <w:jc w:val="both"/>
        <w:rPr/>
      </w:pPr>
      <w:r>
        <w:rPr>
          <w:rStyle w:val="Strong"/>
          <w:rFonts w:eastAsia="Times New Roman" w:cs="Arial" w:ascii="Arial" w:hAnsi="Arial"/>
          <w:b w:val="false"/>
          <w:bCs w:val="false"/>
          <w:color w:val="000000"/>
          <w:sz w:val="22"/>
          <w:szCs w:val="22"/>
          <w:shd w:fill="auto" w:val="clear"/>
        </w:rPr>
        <w:t>Fica dispensada a apresentação de amostras físicas pelas empresas licitantes, uma vez que a conformidade dos materiais será aferida mediante análise da documentação técnica exigida (catálogos, fichas técnicas e declarações de conformidade), bem como pela verificação no ato do recebimento provisório e definitivo, realizada pelo Fiscal designado.</w:t>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A Administração reserva-se o direito de rejeitar quaisquer produtos que não atendam integralmente às especificações técnicas previstas no Termo de Referência e no edital, hipótese em que a contratada ficará obrigada a providenciar a substituição, no prazo máximo de 5 (cinco) dias úteis, sem ônus adicionais ao Município.</w:t>
      </w:r>
    </w:p>
    <w:p>
      <w:pPr>
        <w:pStyle w:val="Corpodotexto"/>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pPr>
      <w:r>
        <w:rPr>
          <w:rStyle w:val="Strong"/>
          <w:rFonts w:cs="Arial" w:ascii="Arial" w:hAnsi="Arial"/>
          <w:b w:val="false"/>
          <w:bCs w:val="false"/>
          <w:color w:val="000000"/>
          <w:sz w:val="22"/>
          <w:szCs w:val="22"/>
          <w:shd w:fill="auto" w:val="clear"/>
        </w:rPr>
        <w:t xml:space="preserve">8.7 </w:t>
      </w:r>
      <w:r>
        <w:rPr>
          <w:rStyle w:val="Strong"/>
          <w:rFonts w:eastAsia="Times New Roman" w:cs="Arial" w:ascii="Arial" w:hAnsi="Arial"/>
          <w:color w:val="000000"/>
          <w:sz w:val="22"/>
          <w:szCs w:val="22"/>
          <w:shd w:fill="auto" w:val="clear"/>
        </w:rPr>
        <w:t>Obrigações das Partes</w:t>
      </w:r>
    </w:p>
    <w:p>
      <w:pPr>
        <w:pStyle w:val="Ttulo3"/>
        <w:numPr>
          <w:ilvl w:val="2"/>
          <w:numId w:val="2"/>
        </w:numPr>
        <w:tabs>
          <w:tab w:val="clear" w:pos="408"/>
          <w:tab w:val="left" w:pos="224" w:leader="none"/>
        </w:tabs>
        <w:spacing w:lineRule="auto" w:line="276" w:before="0" w:after="0"/>
        <w:ind w:left="0" w:right="0" w:hanging="0"/>
        <w:jc w:val="both"/>
        <w:rPr/>
      </w:pPr>
      <w:r>
        <w:rPr>
          <w:rStyle w:val="Strong"/>
          <w:rFonts w:eastAsia="Times New Roman" w:cs="Arial" w:ascii="Arial" w:hAnsi="Arial"/>
          <w:b/>
          <w:bCs/>
          <w:color w:val="000000"/>
          <w:sz w:val="22"/>
          <w:szCs w:val="22"/>
          <w:shd w:fill="auto" w:val="clear"/>
        </w:rPr>
        <w:t>a) Da Contratada</w:t>
      </w:r>
    </w:p>
    <w:p>
      <w:pPr>
        <w:pStyle w:val="Corpodotexto"/>
        <w:numPr>
          <w:ilvl w:val="0"/>
          <w:numId w:val="2"/>
        </w:numPr>
        <w:tabs>
          <w:tab w:val="clear" w:pos="408"/>
          <w:tab w:val="left" w:pos="224" w:leader="none"/>
        </w:tabs>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A empresa vencedora do certame deverá, além de cumprir as disposições legais, contratuais e as especificações constantes deste Termo de Referência e de seu Anexo I, observar as seguintes obrigações específicas:</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 </w:t>
      </w:r>
      <w:r>
        <w:rPr>
          <w:rStyle w:val="Strong"/>
          <w:rFonts w:cs="Arial" w:ascii="Arial" w:hAnsi="Arial"/>
          <w:color w:val="000000"/>
          <w:sz w:val="22"/>
          <w:szCs w:val="22"/>
          <w:shd w:fill="auto" w:val="clear"/>
        </w:rPr>
        <w:t>Comunicação:</w:t>
      </w:r>
      <w:r>
        <w:rPr>
          <w:rFonts w:cs="Arial" w:ascii="Arial" w:hAnsi="Arial"/>
          <w:color w:val="000000"/>
          <w:sz w:val="22"/>
          <w:szCs w:val="22"/>
          <w:shd w:fill="auto" w:val="clear"/>
        </w:rPr>
        <w:t xml:space="preserve"> manter permanentemente atualizados e acessíveis os seus canais de comunicação oficiais, de modo a possibilitar a pronta resposta às solicitações e determinações emitidas pela Administração;</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II. </w:t>
      </w:r>
      <w:r>
        <w:rPr>
          <w:rStyle w:val="Strong"/>
          <w:rFonts w:cs="Arial" w:ascii="Arial" w:hAnsi="Arial"/>
          <w:color w:val="000000"/>
          <w:sz w:val="22"/>
          <w:szCs w:val="22"/>
          <w:shd w:fill="auto" w:val="clear"/>
        </w:rPr>
        <w:t>Custos operacionais:</w:t>
      </w:r>
      <w:r>
        <w:rPr>
          <w:rFonts w:cs="Arial" w:ascii="Arial" w:hAnsi="Arial"/>
          <w:color w:val="000000"/>
          <w:sz w:val="22"/>
          <w:szCs w:val="22"/>
          <w:shd w:fill="auto" w:val="clear"/>
        </w:rPr>
        <w:t xml:space="preserve"> responder integralmente por todas as despesas de logística, transporte, embalagens, carga, descarga, mão de obra, insumos e demais encargos necessários ao cumprimento da garantia e à adequada execução contratual, sem ônus adicional ao Município;</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III. </w:t>
      </w:r>
      <w:r>
        <w:rPr>
          <w:rStyle w:val="Strong"/>
          <w:rFonts w:cs="Arial" w:ascii="Arial" w:hAnsi="Arial"/>
          <w:color w:val="000000"/>
          <w:sz w:val="22"/>
          <w:szCs w:val="22"/>
          <w:shd w:fill="auto" w:val="clear"/>
        </w:rPr>
        <w:t>Rastreabilidade:</w:t>
      </w:r>
      <w:r>
        <w:rPr>
          <w:rFonts w:cs="Arial" w:ascii="Arial" w:hAnsi="Arial"/>
          <w:color w:val="000000"/>
          <w:sz w:val="22"/>
          <w:szCs w:val="22"/>
          <w:shd w:fill="auto" w:val="clear"/>
        </w:rPr>
        <w:t xml:space="preserve"> assegurar a rastreabilidade dos produtos substituídos, mantendo registro atualizado das trocas realizadas, o qual deverá ser apresentado ao setor de fiscalização sempre que solicitado, para fins de acompanhamento e comprovação da conformidade do fornecimento;</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IV. </w:t>
      </w:r>
      <w:r>
        <w:rPr>
          <w:rStyle w:val="Strong"/>
          <w:rFonts w:cs="Arial" w:ascii="Arial" w:hAnsi="Arial"/>
          <w:color w:val="000000"/>
          <w:sz w:val="22"/>
          <w:szCs w:val="22"/>
          <w:shd w:fill="auto" w:val="clear"/>
        </w:rPr>
        <w:t>Regularidade legal:</w:t>
      </w:r>
      <w:r>
        <w:rPr>
          <w:rFonts w:cs="Arial" w:ascii="Arial" w:hAnsi="Arial"/>
          <w:color w:val="000000"/>
          <w:sz w:val="22"/>
          <w:szCs w:val="22"/>
          <w:shd w:fill="auto" w:val="clear"/>
        </w:rPr>
        <w:t xml:space="preserve"> manter, durante toda a vigência contratual, a regularidade fiscal, trabalhista e previdenciária, bem como o atendimento às normas de segurança do trabalho e às disposições ambientais vigentes, inclusive quanto à logística reversa prevista na Lei nº 12.305/2010.</w:t>
      </w:r>
    </w:p>
    <w:p>
      <w:pPr>
        <w:pStyle w:val="Ttulo3"/>
        <w:numPr>
          <w:ilvl w:val="2"/>
          <w:numId w:val="2"/>
        </w:numPr>
        <w:tabs>
          <w:tab w:val="clear" w:pos="408"/>
          <w:tab w:val="left" w:pos="224" w:leader="none"/>
        </w:tabs>
        <w:spacing w:lineRule="auto" w:line="276" w:before="0" w:after="0"/>
        <w:ind w:left="0" w:right="0" w:hanging="0"/>
        <w:jc w:val="both"/>
        <w:rPr/>
      </w:pPr>
      <w:r>
        <w:rPr>
          <w:rStyle w:val="Strong"/>
          <w:rFonts w:eastAsia="Times New Roman" w:cs="Arial" w:ascii="Arial" w:hAnsi="Arial"/>
          <w:b/>
          <w:bCs/>
          <w:color w:val="000000"/>
          <w:sz w:val="22"/>
          <w:szCs w:val="22"/>
          <w:shd w:fill="auto" w:val="clear"/>
        </w:rPr>
        <w:t>b) Da Administração</w:t>
      </w:r>
    </w:p>
    <w:p>
      <w:pPr>
        <w:pStyle w:val="Corpodotexto"/>
        <w:numPr>
          <w:ilvl w:val="0"/>
          <w:numId w:val="2"/>
        </w:numPr>
        <w:tabs>
          <w:tab w:val="clear" w:pos="408"/>
          <w:tab w:val="left" w:pos="224" w:leader="none"/>
        </w:tabs>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Compete à Administração Municipal, no âmbito da execução contratual, o cumprimento das seguintes obrigações:</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 </w:t>
      </w:r>
      <w:r>
        <w:rPr>
          <w:rStyle w:val="Strong"/>
          <w:rFonts w:cs="Arial" w:ascii="Arial" w:hAnsi="Arial"/>
          <w:color w:val="000000"/>
          <w:sz w:val="22"/>
          <w:szCs w:val="22"/>
          <w:shd w:fill="auto" w:val="clear"/>
        </w:rPr>
        <w:t>Gestão e fiscalização:</w:t>
      </w:r>
      <w:r>
        <w:rPr>
          <w:rFonts w:cs="Arial" w:ascii="Arial" w:hAnsi="Arial"/>
          <w:color w:val="000000"/>
          <w:sz w:val="22"/>
          <w:szCs w:val="22"/>
          <w:shd w:fill="auto" w:val="clear"/>
        </w:rPr>
        <w:t xml:space="preserve"> designar formalmente Gestor e Fiscal do contrato, responsáveis por acompanhar a execução do objeto, verificar a conformidade das entregas e adotar as providências necessárias para sanar eventuais irregularidades;</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II. </w:t>
      </w:r>
      <w:r>
        <w:rPr>
          <w:rStyle w:val="Strong"/>
          <w:rFonts w:cs="Arial" w:ascii="Arial" w:hAnsi="Arial"/>
          <w:color w:val="000000"/>
          <w:sz w:val="22"/>
          <w:szCs w:val="22"/>
          <w:shd w:fill="auto" w:val="clear"/>
        </w:rPr>
        <w:t>Solicitações formais:</w:t>
      </w:r>
      <w:r>
        <w:rPr>
          <w:rFonts w:cs="Arial" w:ascii="Arial" w:hAnsi="Arial"/>
          <w:color w:val="000000"/>
          <w:sz w:val="22"/>
          <w:szCs w:val="22"/>
          <w:shd w:fill="auto" w:val="clear"/>
        </w:rPr>
        <w:t xml:space="preserve"> encaminhar, pelos canais oficiais, as solicitações de fornecimento dos materiais, observando os prazos, condições e limites quantitativos estabelecidos na Ata de Registro de Preços ou documento equivalente;</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III. </w:t>
      </w:r>
      <w:r>
        <w:rPr>
          <w:rStyle w:val="Strong"/>
          <w:rFonts w:cs="Arial" w:ascii="Arial" w:hAnsi="Arial"/>
          <w:color w:val="000000"/>
          <w:sz w:val="22"/>
          <w:szCs w:val="22"/>
          <w:shd w:fill="auto" w:val="clear"/>
        </w:rPr>
        <w:t>Recebimento:</w:t>
      </w:r>
      <w:r>
        <w:rPr>
          <w:rFonts w:cs="Arial" w:ascii="Arial" w:hAnsi="Arial"/>
          <w:color w:val="000000"/>
          <w:sz w:val="22"/>
          <w:szCs w:val="22"/>
          <w:shd w:fill="auto" w:val="clear"/>
        </w:rPr>
        <w:t xml:space="preserve"> realizar o recebimento provisório e definitivo dos materiais, após conferência quantitativa e qualitativa, lavrando os devidos termos de recebimento ou rejeição, quando for o caso;</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IV. </w:t>
      </w:r>
      <w:r>
        <w:rPr>
          <w:rStyle w:val="Strong"/>
          <w:rFonts w:cs="Arial" w:ascii="Arial" w:hAnsi="Arial"/>
          <w:color w:val="000000"/>
          <w:sz w:val="22"/>
          <w:szCs w:val="22"/>
          <w:shd w:fill="auto" w:val="clear"/>
        </w:rPr>
        <w:t>Pagamentos:</w:t>
      </w:r>
      <w:r>
        <w:rPr>
          <w:rFonts w:cs="Arial" w:ascii="Arial" w:hAnsi="Arial"/>
          <w:color w:val="000000"/>
          <w:sz w:val="22"/>
          <w:szCs w:val="22"/>
          <w:shd w:fill="auto" w:val="clear"/>
        </w:rPr>
        <w:t xml:space="preserve"> efetuar os pagamentos devidos à contratada, de acordo com os prazos, condições e critérios estabelecidos no edital, na Ata ou no contrato, condicionados à comprovação da entrega regular dos materiais e à inexistência de pendências fiscais ou trabalhistas impeditivas;</w:t>
      </w:r>
    </w:p>
    <w:p>
      <w:pPr>
        <w:pStyle w:val="Corpodotexto"/>
        <w:numPr>
          <w:ilvl w:val="0"/>
          <w:numId w:val="2"/>
        </w:numPr>
        <w:tabs>
          <w:tab w:val="clear" w:pos="408"/>
          <w:tab w:val="left" w:pos="224" w:leader="none"/>
        </w:tabs>
        <w:spacing w:lineRule="auto" w:line="276" w:before="0" w:after="0"/>
        <w:jc w:val="both"/>
        <w:rPr/>
      </w:pPr>
      <w:r>
        <w:rPr>
          <w:rFonts w:cs="Arial" w:ascii="Arial" w:hAnsi="Arial"/>
          <w:color w:val="000000"/>
          <w:sz w:val="22"/>
          <w:szCs w:val="22"/>
          <w:shd w:fill="auto" w:val="clear"/>
        </w:rPr>
        <w:t xml:space="preserve">V. </w:t>
      </w:r>
      <w:r>
        <w:rPr>
          <w:rStyle w:val="Strong"/>
          <w:rFonts w:cs="Arial" w:ascii="Arial" w:hAnsi="Arial"/>
          <w:color w:val="000000"/>
          <w:sz w:val="22"/>
          <w:szCs w:val="22"/>
          <w:shd w:fill="auto" w:val="clear"/>
        </w:rPr>
        <w:t>Apoio à fiscalização ambiental e legal:</w:t>
      </w:r>
      <w:r>
        <w:rPr>
          <w:rFonts w:cs="Arial" w:ascii="Arial" w:hAnsi="Arial"/>
          <w:color w:val="000000"/>
          <w:sz w:val="22"/>
          <w:szCs w:val="22"/>
          <w:shd w:fill="auto" w:val="clear"/>
        </w:rPr>
        <w:t xml:space="preserve"> zelar pelo cumprimento das normas ambientais, de saúde e de segurança, comunicando à contratada eventuais irregularidades observadas e exigindo a adoção das medidas corretivas cabíveis.</w:t>
      </w:r>
    </w:p>
    <w:p>
      <w:pPr>
        <w:pStyle w:val="Corpodotexto"/>
        <w:numPr>
          <w:ilvl w:val="0"/>
          <w:numId w:val="2"/>
        </w:numPr>
        <w:spacing w:lineRule="auto" w:line="276" w:before="0" w:after="0"/>
        <w:jc w:val="both"/>
        <w:rPr>
          <w:rStyle w:val="Strong"/>
          <w:rFonts w:ascii="Arial" w:hAnsi="Arial" w:cs="Arial"/>
          <w:color w:val="000000"/>
          <w:sz w:val="22"/>
          <w:szCs w:val="22"/>
          <w:highlight w:val="none"/>
          <w:shd w:fill="auto" w:val="clear"/>
        </w:rPr>
      </w:pPr>
      <w:r>
        <w:rPr/>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9.0 ESTIMATIVA DO VALOR DA CONTRATAÇÃO</w:t>
      </w:r>
    </w:p>
    <w:p>
      <w:pPr>
        <w:pStyle w:val="Corpodotexto"/>
        <w:numPr>
          <w:ilvl w:val="0"/>
          <w:numId w:val="0"/>
        </w:numPr>
        <w:spacing w:lineRule="auto" w:line="276" w:before="0" w:after="0"/>
        <w:ind w:left="0" w:hanging="0"/>
        <w:jc w:val="both"/>
        <w:rPr/>
      </w:pPr>
      <w:r>
        <w:rPr>
          <w:rStyle w:val="Strong"/>
          <w:rFonts w:cs="Arial" w:ascii="Arial" w:hAnsi="Arial"/>
          <w:color w:val="000000"/>
          <w:sz w:val="22"/>
          <w:szCs w:val="22"/>
          <w:shd w:fill="auto" w:val="clear"/>
        </w:rPr>
        <w:t>O valor estimado foi apurado com base em:</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b/>
          <w:bCs/>
          <w:color w:val="000000"/>
          <w:sz w:val="22"/>
          <w:szCs w:val="22"/>
          <w:shd w:fill="auto" w:val="clear"/>
        </w:rPr>
        <w:t>3 (três) orçamentos diretos</w:t>
      </w:r>
      <w:r>
        <w:rPr>
          <w:rFonts w:cs="Arial" w:ascii="Arial" w:hAnsi="Arial"/>
          <w:b/>
          <w:bCs/>
          <w:color w:val="000000"/>
          <w:sz w:val="22"/>
          <w:szCs w:val="22"/>
          <w:shd w:fill="auto" w:val="clear"/>
        </w:rPr>
        <w:t xml:space="preserve"> junto a empresas especializadas;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b/>
          <w:bCs/>
          <w:color w:val="000000"/>
          <w:sz w:val="22"/>
          <w:szCs w:val="22"/>
          <w:shd w:fill="auto" w:val="clear"/>
        </w:rPr>
        <w:t>Consulta ao Portal de Compras Públicas</w:t>
      </w:r>
      <w:r>
        <w:rPr>
          <w:rFonts w:cs="Arial" w:ascii="Arial" w:hAnsi="Arial"/>
          <w:b/>
          <w:bCs/>
          <w:color w:val="000000"/>
          <w:sz w:val="22"/>
          <w:szCs w:val="22"/>
          <w:shd w:fill="auto" w:val="clear"/>
        </w:rPr>
        <w:t>;</w:t>
      </w:r>
    </w:p>
    <w:p>
      <w:pPr>
        <w:pStyle w:val="Corpodotexto"/>
        <w:numPr>
          <w:ilvl w:val="0"/>
          <w:numId w:val="0"/>
        </w:numPr>
        <w:tabs>
          <w:tab w:val="clear" w:pos="408"/>
          <w:tab w:val="left" w:pos="0" w:leader="none"/>
        </w:tabs>
        <w:spacing w:lineRule="auto" w:line="276"/>
        <w:ind w:right="0" w:hanging="0"/>
        <w:jc w:val="both"/>
        <w:rPr/>
      </w:pPr>
      <w:r>
        <w:rPr>
          <w:rStyle w:val="Strong"/>
          <w:rFonts w:cs="Arial" w:ascii="Arial" w:hAnsi="Arial"/>
          <w:b/>
          <w:bCs/>
          <w:color w:val="000000"/>
          <w:sz w:val="22"/>
          <w:szCs w:val="22"/>
          <w:shd w:fill="auto" w:val="clear"/>
        </w:rPr>
        <w:t>Levantamento em sites de empresas fornecedoras</w:t>
      </w:r>
      <w:r>
        <w:rPr>
          <w:rFonts w:cs="Arial" w:ascii="Arial" w:hAnsi="Arial"/>
          <w:b/>
          <w:bCs/>
          <w:color w:val="000000"/>
          <w:sz w:val="22"/>
          <w:szCs w:val="22"/>
          <w:shd w:fill="auto" w:val="clear"/>
        </w:rPr>
        <w:t>.</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Adotou-se como parâmetro para o valor referencial o calculo por </w:t>
      </w:r>
      <w:r>
        <w:rPr>
          <w:rStyle w:val="Strong"/>
          <w:rFonts w:cs="Arial" w:ascii="Arial" w:hAnsi="Arial"/>
          <w:b w:val="false"/>
          <w:bCs w:val="false"/>
          <w:color w:val="000000"/>
          <w:sz w:val="22"/>
          <w:szCs w:val="22"/>
          <w:shd w:fill="auto" w:val="clear"/>
        </w:rPr>
        <w:t>mediana dos valores pesquisados</w:t>
      </w:r>
      <w:r>
        <w:rPr>
          <w:rFonts w:cs="Arial" w:ascii="Arial" w:hAnsi="Arial"/>
          <w:b w:val="false"/>
          <w:bCs w:val="false"/>
          <w:color w:val="000000"/>
          <w:sz w:val="22"/>
          <w:szCs w:val="22"/>
          <w:shd w:fill="auto" w:val="clear"/>
        </w:rPr>
        <w:t>, tendo em vista a grande variação entre os menores e maiores preços, o que, garante representatividade e evita o risco de licitação deserta.</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Os valores unitários referenciais, memórias de cálculo e documentos de suporte constam em </w:t>
      </w:r>
      <w:r>
        <w:rPr>
          <w:rStyle w:val="Strong"/>
          <w:rFonts w:cs="Arial" w:ascii="Arial" w:hAnsi="Arial"/>
          <w:b w:val="false"/>
          <w:bCs w:val="false"/>
          <w:color w:val="000000"/>
          <w:sz w:val="22"/>
          <w:szCs w:val="22"/>
          <w:shd w:fill="auto" w:val="clear"/>
        </w:rPr>
        <w:t>planilha separada, anexa ao processo eletrônico</w:t>
      </w:r>
      <w:r>
        <w:rPr>
          <w:rFonts w:cs="Arial" w:ascii="Arial" w:hAnsi="Arial"/>
          <w:b w:val="false"/>
          <w:bCs w:val="false"/>
          <w:color w:val="000000"/>
          <w:sz w:val="22"/>
          <w:szCs w:val="22"/>
          <w:shd w:fill="auto" w:val="clear"/>
        </w:rPr>
        <w:t>.</w:t>
      </w:r>
      <w:r>
        <w:rPr>
          <w:rStyle w:val="Strong"/>
          <w:rFonts w:cs="Arial" w:ascii="Arial" w:hAnsi="Arial"/>
          <w:b w:val="false"/>
          <w:bCs w:val="false"/>
          <w:color w:val="000000"/>
          <w:sz w:val="22"/>
          <w:szCs w:val="22"/>
          <w:shd w:fill="auto" w:val="clear"/>
        </w:rPr>
        <w:tab/>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 valor estimado para a contratação é de R$ </w:t>
      </w:r>
      <w:r>
        <w:rPr>
          <w:rStyle w:val="Strong"/>
          <w:rFonts w:cs="Arial" w:ascii="Arial" w:hAnsi="Arial"/>
          <w:b w:val="false"/>
          <w:bCs w:val="false"/>
          <w:color w:val="000000"/>
          <w:sz w:val="22"/>
          <w:szCs w:val="22"/>
          <w:shd w:fill="auto" w:val="clear"/>
        </w:rPr>
        <w:t>432.989,50 (quatrocentos e trinta e dois mil, novecentos e oitenta e nove reais e cinquenta centavos)</w:t>
      </w:r>
      <w:r>
        <w:rPr>
          <w:rFonts w:cs="Arial" w:ascii="Arial" w:hAnsi="Arial"/>
          <w:b w:val="false"/>
          <w:bCs w:val="false"/>
          <w:color w:val="000000"/>
          <w:sz w:val="22"/>
          <w:szCs w:val="22"/>
          <w:shd w:fill="auto" w:val="clear"/>
        </w:rPr>
        <w:t xml:space="preserve"> e foi definido a partir do </w:t>
      </w:r>
      <w:r>
        <w:rPr>
          <w:rStyle w:val="Strong"/>
          <w:rFonts w:cs="Arial" w:ascii="Arial" w:hAnsi="Arial"/>
          <w:b w:val="false"/>
          <w:bCs w:val="false"/>
          <w:color w:val="000000"/>
          <w:sz w:val="22"/>
          <w:szCs w:val="22"/>
          <w:shd w:fill="auto" w:val="clear"/>
        </w:rPr>
        <w:t>valor mediano</w:t>
      </w:r>
      <w:r>
        <w:rPr>
          <w:rFonts w:cs="Arial" w:ascii="Arial" w:hAnsi="Arial"/>
          <w:b w:val="false"/>
          <w:bCs w:val="false"/>
          <w:color w:val="000000"/>
          <w:sz w:val="22"/>
          <w:szCs w:val="22"/>
          <w:shd w:fill="auto" w:val="clear"/>
        </w:rPr>
        <w:t xml:space="preserve"> entre as cotações obtidas, considerando análise comparativa e a exclusão de valores manifestamente desproporcionais em relação à média praticada no mercado, calculado pelo sistema eletrônico DFD e demonstrado conforme Planilha anexada ao Processo Eletrônico.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Para a composição do valor estimado, foram considerados </w:t>
      </w:r>
      <w:r>
        <w:rPr>
          <w:rStyle w:val="Strong"/>
          <w:rFonts w:cs="Arial" w:ascii="Arial" w:hAnsi="Arial"/>
          <w:b w:val="false"/>
          <w:bCs w:val="false"/>
          <w:color w:val="000000"/>
          <w:sz w:val="22"/>
          <w:szCs w:val="22"/>
          <w:shd w:fill="auto" w:val="clear"/>
        </w:rPr>
        <w:t>3 (três) orçamentos obtidos diretamente junto a empresas especializadas</w:t>
      </w:r>
      <w:r>
        <w:rPr>
          <w:rFonts w:cs="Arial" w:ascii="Arial" w:hAnsi="Arial"/>
          <w:b w:val="false"/>
          <w:bCs w:val="false"/>
          <w:color w:val="000000"/>
          <w:sz w:val="22"/>
          <w:szCs w:val="22"/>
          <w:shd w:fill="auto" w:val="clear"/>
        </w:rPr>
        <w:t xml:space="preserve">, complementados por pesquisa realizada no </w:t>
      </w:r>
      <w:r>
        <w:rPr>
          <w:rStyle w:val="Strong"/>
          <w:rFonts w:cs="Arial" w:ascii="Arial" w:hAnsi="Arial"/>
          <w:b w:val="false"/>
          <w:bCs w:val="false"/>
          <w:color w:val="000000"/>
          <w:sz w:val="22"/>
          <w:szCs w:val="22"/>
          <w:shd w:fill="auto" w:val="clear"/>
        </w:rPr>
        <w:t>Portal de Compras Públicas</w:t>
      </w:r>
      <w:r>
        <w:rPr>
          <w:rFonts w:cs="Arial" w:ascii="Arial" w:hAnsi="Arial"/>
          <w:b w:val="false"/>
          <w:bCs w:val="false"/>
          <w:color w:val="000000"/>
          <w:sz w:val="22"/>
          <w:szCs w:val="22"/>
          <w:shd w:fill="auto" w:val="clear"/>
        </w:rPr>
        <w:t xml:space="preserve"> e em </w:t>
      </w:r>
      <w:r>
        <w:rPr>
          <w:rStyle w:val="Strong"/>
          <w:rFonts w:cs="Arial" w:ascii="Arial" w:hAnsi="Arial"/>
          <w:b w:val="false"/>
          <w:bCs w:val="false"/>
          <w:color w:val="000000"/>
          <w:sz w:val="22"/>
          <w:szCs w:val="22"/>
          <w:shd w:fill="auto" w:val="clear"/>
        </w:rPr>
        <w:t>sites especializados</w:t>
      </w:r>
      <w:r>
        <w:rPr>
          <w:rFonts w:cs="Arial" w:ascii="Arial" w:hAnsi="Arial"/>
          <w:b w:val="false"/>
          <w:bCs w:val="false"/>
          <w:color w:val="000000"/>
          <w:sz w:val="22"/>
          <w:szCs w:val="22"/>
          <w:shd w:fill="auto" w:val="clear"/>
        </w:rPr>
        <w:t xml:space="preserve">. Os documentos correspondentes encontram-se devidamente anexados ao </w:t>
      </w:r>
      <w:r>
        <w:rPr>
          <w:rStyle w:val="Strong"/>
          <w:rFonts w:cs="Arial" w:ascii="Arial" w:hAnsi="Arial"/>
          <w:b w:val="false"/>
          <w:bCs w:val="false"/>
          <w:color w:val="000000"/>
          <w:sz w:val="22"/>
          <w:szCs w:val="22"/>
          <w:shd w:fill="auto" w:val="clear"/>
        </w:rPr>
        <w:t>processo digital</w:t>
      </w:r>
      <w:r>
        <w:rPr>
          <w:rFonts w:cs="Arial" w:ascii="Arial" w:hAnsi="Arial"/>
          <w:b w:val="false"/>
          <w:bCs w:val="false"/>
          <w:color w:val="000000"/>
          <w:sz w:val="22"/>
          <w:szCs w:val="22"/>
          <w:shd w:fill="auto" w:val="clear"/>
        </w:rPr>
        <w:t xml:space="preserve">, integrando-o para fins de comprovação e validação da metodologia adotada. </w:t>
        <w:tab/>
      </w:r>
      <w:r>
        <w:rPr>
          <w:rFonts w:cs="Arial" w:ascii="Arial" w:hAnsi="Arial"/>
          <w:color w:val="000000"/>
          <w:sz w:val="22"/>
          <w:szCs w:val="22"/>
          <w:shd w:fill="auto" w:val="clear"/>
        </w:rPr>
        <w:tab/>
      </w:r>
    </w:p>
    <w:p>
      <w:pPr>
        <w:pStyle w:val="Corpodotexto"/>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9.1 DESCRIÇÃO DAS QUANTIDADES, VALORES E ITENS</w:t>
      </w:r>
    </w:p>
    <w:p>
      <w:pPr>
        <w:pStyle w:val="Normal"/>
        <w:numPr>
          <w:ilvl w:val="0"/>
          <w:numId w:val="2"/>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quantidades e valores estão de acordo com os orçamentos apresentados e seguem conforme relação abaixo:</w:t>
      </w:r>
    </w:p>
    <w:p>
      <w:pPr>
        <w:pStyle w:val="Corpodotexto"/>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10318" w:type="dxa"/>
        <w:jc w:val="left"/>
        <w:tblInd w:w="54" w:type="dxa"/>
        <w:tblLayout w:type="fixed"/>
        <w:tblCellMar>
          <w:top w:w="55" w:type="dxa"/>
          <w:left w:w="55" w:type="dxa"/>
          <w:bottom w:w="55" w:type="dxa"/>
          <w:right w:w="55" w:type="dxa"/>
        </w:tblCellMar>
      </w:tblPr>
      <w:tblGrid>
        <w:gridCol w:w="793"/>
        <w:gridCol w:w="5839"/>
        <w:gridCol w:w="735"/>
        <w:gridCol w:w="966"/>
        <w:gridCol w:w="950"/>
        <w:gridCol w:w="1035"/>
      </w:tblGrid>
      <w:tr>
        <w:trPr/>
        <w:tc>
          <w:tcPr>
            <w:tcW w:w="793" w:type="dxa"/>
            <w:tcBorders>
              <w:top w:val="single" w:sz="6" w:space="0" w:color="000000"/>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ITEM</w:t>
            </w:r>
          </w:p>
        </w:tc>
        <w:tc>
          <w:tcPr>
            <w:tcW w:w="5839" w:type="dxa"/>
            <w:tcBorders>
              <w:top w:val="single" w:sz="6" w:space="0" w:color="000000"/>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DESCRIÇÃO</w:t>
            </w:r>
          </w:p>
        </w:tc>
        <w:tc>
          <w:tcPr>
            <w:tcW w:w="735" w:type="dxa"/>
            <w:tcBorders>
              <w:top w:val="single" w:sz="4" w:space="0" w:color="000000"/>
              <w:left w:val="single" w:sz="4" w:space="0" w:color="000000"/>
              <w:bottom w:val="single" w:sz="4"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UNID.</w:t>
            </w:r>
          </w:p>
        </w:tc>
        <w:tc>
          <w:tcPr>
            <w:tcW w:w="966" w:type="dxa"/>
            <w:tcBorders>
              <w:top w:val="single" w:sz="6" w:space="0" w:color="000000"/>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QUANT</w:t>
            </w:r>
          </w:p>
        </w:tc>
        <w:tc>
          <w:tcPr>
            <w:tcW w:w="950" w:type="dxa"/>
            <w:tcBorders>
              <w:top w:val="single" w:sz="6" w:space="0" w:color="000000"/>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VALOR UNIT</w:t>
            </w:r>
          </w:p>
        </w:tc>
        <w:tc>
          <w:tcPr>
            <w:tcW w:w="1035" w:type="dxa"/>
            <w:tcBorders>
              <w:top w:val="single" w:sz="6" w:space="0" w:color="000000"/>
              <w:left w:val="single" w:sz="6" w:space="0" w:color="000000"/>
              <w:bottom w:val="single" w:sz="6" w:space="0" w:color="000000"/>
              <w:right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color w:val="000000"/>
                <w:sz w:val="18"/>
                <w:szCs w:val="18"/>
                <w:shd w:fill="auto" w:val="clear"/>
              </w:rPr>
              <w:t>VALOR TOTAL</w:t>
            </w:r>
          </w:p>
        </w:tc>
      </w:tr>
      <w:tr>
        <w:trPr/>
        <w:tc>
          <w:tcPr>
            <w:tcW w:w="79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ind w:left="680" w:right="227" w:hanging="567"/>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w:t>
            </w:r>
          </w:p>
        </w:tc>
        <w:tc>
          <w:tcPr>
            <w:tcW w:w="5839"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Luminária LED com potência nominal de ≤   50 W</w:t>
            </w:r>
            <w:r>
              <w:rPr>
                <w:rFonts w:eastAsia="Liberation Serif;Times New Roman" w:cs="Arial" w:ascii="Arial" w:hAnsi="Arial"/>
                <w:b/>
                <w:bCs/>
                <w:color w:val="000000"/>
                <w:sz w:val="18"/>
                <w:szCs w:val="18"/>
                <w:shd w:fill="auto" w:val="clear"/>
              </w:rPr>
              <w:t>:</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735"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966"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150</w:t>
            </w:r>
          </w:p>
        </w:tc>
        <w:tc>
          <w:tcPr>
            <w:tcW w:w="950"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200,78</w:t>
            </w:r>
          </w:p>
        </w:tc>
        <w:tc>
          <w:tcPr>
            <w:tcW w:w="1035"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30.117,00</w:t>
            </w:r>
          </w:p>
        </w:tc>
      </w:tr>
      <w:tr>
        <w:trPr/>
        <w:tc>
          <w:tcPr>
            <w:tcW w:w="79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ind w:left="680" w:right="227" w:hanging="567"/>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2</w:t>
            </w:r>
          </w:p>
        </w:tc>
        <w:tc>
          <w:tcPr>
            <w:tcW w:w="5839"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Luminária LED com potência nominal de  ≤   70 W:</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735"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966" w:type="dxa"/>
            <w:tcBorders>
              <w:left w:val="single" w:sz="6" w:space="0" w:color="000000"/>
              <w:bottom w:val="single" w:sz="6"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150</w:t>
            </w:r>
          </w:p>
        </w:tc>
        <w:tc>
          <w:tcPr>
            <w:tcW w:w="950"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343,75</w:t>
            </w:r>
          </w:p>
        </w:tc>
        <w:tc>
          <w:tcPr>
            <w:tcW w:w="1035"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51.562,</w:t>
            </w:r>
            <w:r>
              <w:rPr>
                <w:rFonts w:cs="Arial" w:ascii="Arial" w:hAnsi="Arial"/>
                <w:b/>
                <w:bCs/>
                <w:color w:val="000000"/>
                <w:sz w:val="18"/>
                <w:szCs w:val="18"/>
                <w:shd w:fill="auto" w:val="clear"/>
              </w:rPr>
              <w:t>0</w:t>
            </w:r>
            <w:r>
              <w:rPr>
                <w:rFonts w:cs="Arial" w:ascii="Arial" w:hAnsi="Arial"/>
                <w:b/>
                <w:bCs/>
                <w:color w:val="000000"/>
                <w:sz w:val="18"/>
                <w:szCs w:val="18"/>
                <w:shd w:fill="auto" w:val="clear"/>
              </w:rPr>
              <w:t>0</w:t>
            </w:r>
          </w:p>
        </w:tc>
      </w:tr>
      <w:tr>
        <w:trPr/>
        <w:tc>
          <w:tcPr>
            <w:tcW w:w="79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ind w:left="680" w:right="227" w:hanging="567"/>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3</w:t>
            </w:r>
          </w:p>
        </w:tc>
        <w:tc>
          <w:tcPr>
            <w:tcW w:w="5839"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Luminária LED com potência nominal de ≤  120 W:</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735" w:type="dxa"/>
            <w:tcBorders>
              <w:left w:val="single" w:sz="4" w:space="0" w:color="000000"/>
              <w:bottom w:val="single" w:sz="4"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966" w:type="dxa"/>
            <w:tcBorders>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500</w:t>
            </w:r>
          </w:p>
        </w:tc>
        <w:tc>
          <w:tcPr>
            <w:tcW w:w="950"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383,32</w:t>
            </w:r>
          </w:p>
        </w:tc>
        <w:tc>
          <w:tcPr>
            <w:tcW w:w="1035"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191.660,00</w:t>
            </w:r>
          </w:p>
        </w:tc>
      </w:tr>
      <w:tr>
        <w:trPr/>
        <w:tc>
          <w:tcPr>
            <w:tcW w:w="793"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true"/>
              <w:bidi w:val="0"/>
              <w:snapToGrid w:val="false"/>
              <w:spacing w:lineRule="auto" w:line="276" w:before="0" w:after="160"/>
              <w:ind w:left="680" w:right="227" w:hanging="567"/>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4</w:t>
            </w:r>
          </w:p>
        </w:tc>
        <w:tc>
          <w:tcPr>
            <w:tcW w:w="5839" w:type="dxa"/>
            <w:tcBorders>
              <w:left w:val="single" w:sz="6" w:space="0" w:color="000000"/>
              <w:bottom w:val="single" w:sz="6" w:space="0" w:color="000000"/>
              <w:right w:val="single" w:sz="6" w:space="0" w:color="000000"/>
            </w:tcBorders>
          </w:tcPr>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Luminária LED com potência nominal de  ≤   150 W:</w:t>
            </w:r>
          </w:p>
          <w:p>
            <w:pPr>
              <w:pStyle w:val="Normal"/>
              <w:widowControl w:val="false"/>
              <w:numPr>
                <w:ilvl w:val="0"/>
                <w:numId w:val="2"/>
              </w:numPr>
              <w:suppressAutoHyphens w:val="true"/>
              <w:overflowPunct w:val="false"/>
              <w:bidi w:val="0"/>
              <w:spacing w:lineRule="auto" w:line="276"/>
              <w:ind w:right="0" w:hanging="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Demais características citadas nas especificações técnicas do Anexo I.</w:t>
            </w:r>
          </w:p>
        </w:tc>
        <w:tc>
          <w:tcPr>
            <w:tcW w:w="735" w:type="dxa"/>
            <w:tcBorders>
              <w:left w:val="single" w:sz="4" w:space="0" w:color="000000"/>
              <w:bottom w:val="single" w:sz="6" w:space="0" w:color="000000"/>
            </w:tcBorders>
            <w:vAlign w:val="center"/>
          </w:tcPr>
          <w:p>
            <w:pPr>
              <w:pStyle w:val="Normal"/>
              <w:widowControl w:val="false"/>
              <w:numPr>
                <w:ilvl w:val="0"/>
                <w:numId w:val="2"/>
              </w:numPr>
              <w:suppressAutoHyphens w:val="true"/>
              <w:spacing w:lineRule="auto" w:line="276"/>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Peças</w:t>
            </w:r>
          </w:p>
        </w:tc>
        <w:tc>
          <w:tcPr>
            <w:tcW w:w="966" w:type="dxa"/>
            <w:tcBorders>
              <w:left w:val="single" w:sz="6" w:space="0" w:color="000000"/>
              <w:bottom w:val="single" w:sz="6" w:space="0" w:color="000000"/>
            </w:tcBorders>
            <w:vAlign w:val="center"/>
          </w:tcPr>
          <w:p>
            <w:pPr>
              <w:pStyle w:val="Contedodatabela"/>
              <w:widowControl w:val="false"/>
              <w:numPr>
                <w:ilvl w:val="0"/>
                <w:numId w:val="2"/>
              </w:numPr>
              <w:spacing w:lineRule="auto" w:line="276" w:before="0" w:after="16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500</w:t>
            </w:r>
          </w:p>
        </w:tc>
        <w:tc>
          <w:tcPr>
            <w:tcW w:w="950" w:type="dxa"/>
            <w:tcBorders>
              <w:left w:val="single" w:sz="6" w:space="0" w:color="000000"/>
              <w:bottom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319,30</w:t>
            </w:r>
          </w:p>
        </w:tc>
        <w:tc>
          <w:tcPr>
            <w:tcW w:w="1035" w:type="dxa"/>
            <w:tcBorders>
              <w:left w:val="single" w:sz="6" w:space="0" w:color="000000"/>
              <w:bottom w:val="single" w:sz="6" w:space="0" w:color="000000"/>
              <w:right w:val="single" w:sz="6" w:space="0" w:color="000000"/>
            </w:tcBorders>
            <w:vAlign w:val="center"/>
          </w:tcPr>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R$</w:t>
            </w:r>
          </w:p>
          <w:p>
            <w:pPr>
              <w:pStyle w:val="Normal"/>
              <w:widowControl w:val="false"/>
              <w:numPr>
                <w:ilvl w:val="0"/>
                <w:numId w:val="2"/>
              </w:numPr>
              <w:suppressAutoHyphens w:val="true"/>
              <w:overflowPunct w:val="false"/>
              <w:bidi w:val="0"/>
              <w:spacing w:lineRule="auto" w:line="276"/>
              <w:ind w:left="850" w:right="57" w:hanging="850"/>
              <w:jc w:val="center"/>
              <w:rPr>
                <w:rFonts w:ascii="Arial" w:hAnsi="Arial"/>
                <w:color w:val="000000"/>
                <w:sz w:val="18"/>
                <w:szCs w:val="18"/>
                <w:highlight w:val="none"/>
                <w:shd w:fill="auto" w:val="clear"/>
              </w:rPr>
            </w:pPr>
            <w:r>
              <w:rPr>
                <w:rFonts w:cs="Arial" w:ascii="Arial" w:hAnsi="Arial"/>
                <w:b/>
                <w:bCs/>
                <w:color w:val="000000"/>
                <w:sz w:val="18"/>
                <w:szCs w:val="18"/>
                <w:shd w:fill="auto" w:val="clear"/>
              </w:rPr>
              <w:t>159.650,00</w:t>
            </w:r>
          </w:p>
        </w:tc>
      </w:tr>
    </w:tbl>
    <w:tbl>
      <w:tblPr>
        <w:tblW w:w="4307" w:type="dxa"/>
        <w:jc w:val="left"/>
        <w:tblInd w:w="5681" w:type="dxa"/>
        <w:tblLayout w:type="fixed"/>
        <w:tblCellMar>
          <w:top w:w="55" w:type="dxa"/>
          <w:left w:w="55" w:type="dxa"/>
          <w:bottom w:w="55" w:type="dxa"/>
          <w:right w:w="55" w:type="dxa"/>
        </w:tblCellMar>
      </w:tblPr>
      <w:tblGrid>
        <w:gridCol w:w="4307"/>
      </w:tblGrid>
      <w:tr>
        <w:trPr>
          <w:trHeight w:val="507" w:hRule="atLeast"/>
        </w:trPr>
        <w:tc>
          <w:tcPr>
            <w:tcW w:w="4307" w:type="dxa"/>
            <w:tcBorders>
              <w:top w:val="single" w:sz="6" w:space="0" w:color="000000"/>
              <w:left w:val="single" w:sz="6" w:space="0" w:color="000000"/>
              <w:bottom w:val="single" w:sz="6" w:space="0" w:color="000000"/>
              <w:right w:val="single" w:sz="6" w:space="0" w:color="000000"/>
            </w:tcBorders>
          </w:tcPr>
          <w:p>
            <w:pPr>
              <w:pStyle w:val="Contedodatabela"/>
              <w:widowControl w:val="false"/>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TOTAL R$ 432.989,50</w:t>
            </w:r>
          </w:p>
        </w:tc>
      </w:tr>
    </w:tbl>
    <w:p>
      <w:pPr>
        <w:pStyle w:val="Normal"/>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Os documentos necessários para a comprovação das informações apresentadas encontram-se devidamente anexados ao processo digital, compreendendo os </w:t>
      </w:r>
      <w:r>
        <w:rPr>
          <w:rStyle w:val="Strong"/>
          <w:rFonts w:cs="Arial" w:ascii="Arial" w:hAnsi="Arial"/>
          <w:b w:val="false"/>
          <w:bCs w:val="false"/>
          <w:color w:val="000000"/>
          <w:sz w:val="22"/>
          <w:szCs w:val="22"/>
          <w:shd w:fill="auto" w:val="clear"/>
        </w:rPr>
        <w:t>orçamentos e registros de pesquisa que serviram de base para a estimativa de valores</w:t>
      </w:r>
      <w:r>
        <w:rPr>
          <w:rFonts w:cs="Arial" w:ascii="Arial" w:hAnsi="Arial"/>
          <w:b w:val="false"/>
          <w:bCs w:val="false"/>
          <w:color w:val="000000"/>
          <w:sz w:val="22"/>
          <w:szCs w:val="22"/>
          <w:shd w:fill="auto" w:val="clear"/>
        </w:rPr>
        <w:t xml:space="preserve">, os quais estão consolidados no </w:t>
      </w:r>
      <w:r>
        <w:rPr>
          <w:rStyle w:val="Strong"/>
          <w:rFonts w:cs="Arial" w:ascii="Arial" w:hAnsi="Arial"/>
          <w:b w:val="false"/>
          <w:bCs w:val="false"/>
          <w:color w:val="000000"/>
          <w:sz w:val="22"/>
          <w:szCs w:val="22"/>
          <w:shd w:fill="auto" w:val="clear"/>
        </w:rPr>
        <w:t>Anexo I</w:t>
      </w:r>
      <w:r>
        <w:rPr>
          <w:rFonts w:cs="Arial" w:ascii="Arial" w:hAnsi="Arial"/>
          <w:b w:val="false"/>
          <w:bCs w:val="false"/>
          <w:color w:val="000000"/>
          <w:sz w:val="22"/>
          <w:szCs w:val="22"/>
          <w:shd w:fill="auto" w:val="clear"/>
        </w:rPr>
        <w:t xml:space="preserve"> deste Termo de Referência.</w:t>
      </w:r>
    </w:p>
    <w:p>
      <w:pPr>
        <w:pStyle w:val="Corpodotexto"/>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widowControl/>
        <w:numPr>
          <w:ilvl w:val="0"/>
          <w:numId w:val="2"/>
        </w:numPr>
        <w:suppressAutoHyphens w:val="true"/>
        <w:overflowPunct w:val="true"/>
        <w:bidi w:val="0"/>
        <w:spacing w:lineRule="auto" w:line="276" w:before="0" w:after="0"/>
        <w:ind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10. JUSTIFICATIVA para o PARCELAMENTO ou NÃO da CONTRATAÇÃO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contratação será realizada </w:t>
      </w:r>
      <w:r>
        <w:rPr>
          <w:rStyle w:val="Strong"/>
          <w:rFonts w:cs="Arial" w:ascii="Arial" w:hAnsi="Arial"/>
          <w:b w:val="false"/>
          <w:bCs w:val="false"/>
          <w:color w:val="000000"/>
          <w:sz w:val="22"/>
          <w:szCs w:val="22"/>
          <w:shd w:fill="auto" w:val="clear"/>
        </w:rPr>
        <w:t>por Item</w:t>
      </w:r>
      <w:r>
        <w:rPr>
          <w:rFonts w:cs="Arial" w:ascii="Arial" w:hAnsi="Arial"/>
          <w:b w:val="false"/>
          <w:bCs w:val="false"/>
          <w:color w:val="000000"/>
          <w:sz w:val="22"/>
          <w:szCs w:val="22"/>
          <w:shd w:fill="auto" w:val="clear"/>
        </w:rPr>
        <w:t>, considerando que cada especificação de luminária LED apresenta características técnicas próprias, relacionadas à potência, aplicação e finalidade distintas.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Essa forma de estruturação tem por objetivo </w:t>
      </w:r>
      <w:r>
        <w:rPr>
          <w:rStyle w:val="Strong"/>
          <w:rFonts w:cs="Arial" w:ascii="Arial" w:hAnsi="Arial"/>
          <w:b w:val="false"/>
          <w:bCs w:val="false"/>
          <w:color w:val="000000"/>
          <w:sz w:val="22"/>
          <w:szCs w:val="22"/>
          <w:shd w:fill="auto" w:val="clear"/>
        </w:rPr>
        <w:t>assegurar maior competitividade</w:t>
      </w:r>
      <w:r>
        <w:rPr>
          <w:rFonts w:cs="Arial" w:ascii="Arial" w:hAnsi="Arial"/>
          <w:b w:val="false"/>
          <w:bCs w:val="false"/>
          <w:color w:val="000000"/>
          <w:sz w:val="22"/>
          <w:szCs w:val="22"/>
          <w:shd w:fill="auto" w:val="clear"/>
        </w:rPr>
        <w:t xml:space="preserve">, permitindo que fornecedores apresentem propostas específicas conforme sua capacidade técnica e de fornecimento, além de garantir </w:t>
      </w:r>
      <w:r>
        <w:rPr>
          <w:rStyle w:val="Strong"/>
          <w:rFonts w:cs="Arial" w:ascii="Arial" w:hAnsi="Arial"/>
          <w:b w:val="false"/>
          <w:bCs w:val="false"/>
          <w:color w:val="000000"/>
          <w:sz w:val="22"/>
          <w:szCs w:val="22"/>
          <w:shd w:fill="auto" w:val="clear"/>
        </w:rPr>
        <w:t>transparência e vantajosidade</w:t>
      </w:r>
      <w:r>
        <w:rPr>
          <w:rFonts w:cs="Arial" w:ascii="Arial" w:hAnsi="Arial"/>
          <w:b w:val="false"/>
          <w:bCs w:val="false"/>
          <w:color w:val="000000"/>
          <w:sz w:val="22"/>
          <w:szCs w:val="22"/>
          <w:shd w:fill="auto" w:val="clear"/>
        </w:rPr>
        <w:t xml:space="preserve"> no processo licitatório.</w:t>
      </w:r>
    </w:p>
    <w:p>
      <w:pPr>
        <w:pStyle w:val="Ttulo3"/>
        <w:numPr>
          <w:ilvl w:val="2"/>
          <w:numId w:val="2"/>
        </w:numPr>
        <w:spacing w:lineRule="auto" w:line="276" w:before="0" w:after="0"/>
        <w:ind w:left="0" w:right="0" w:hanging="0"/>
        <w:jc w:val="both"/>
        <w:rPr/>
      </w:pPr>
      <w:r>
        <w:rPr>
          <w:rStyle w:val="Strong"/>
          <w:rFonts w:eastAsia="Times New Roman" w:cs="Arial" w:ascii="Arial" w:hAnsi="Arial"/>
          <w:b/>
          <w:bCs/>
          <w:color w:val="000000"/>
          <w:sz w:val="22"/>
          <w:szCs w:val="22"/>
          <w:shd w:fill="auto" w:val="clear"/>
        </w:rPr>
        <w:t>10.1 DAS JUSTIFICATIVAS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A adoção da </w:t>
      </w:r>
      <w:r>
        <w:rPr>
          <w:rStyle w:val="Strong"/>
          <w:rFonts w:cs="Arial" w:ascii="Arial" w:hAnsi="Arial"/>
          <w:b w:val="false"/>
          <w:bCs w:val="false"/>
          <w:color w:val="000000"/>
          <w:sz w:val="22"/>
          <w:szCs w:val="22"/>
          <w:shd w:fill="auto" w:val="clear"/>
        </w:rPr>
        <w:t>contratação por Item</w:t>
      </w:r>
      <w:r>
        <w:rPr>
          <w:rFonts w:cs="Arial" w:ascii="Arial" w:hAnsi="Arial"/>
          <w:b w:val="false"/>
          <w:bCs w:val="false"/>
          <w:color w:val="000000"/>
          <w:sz w:val="22"/>
          <w:szCs w:val="22"/>
          <w:shd w:fill="auto" w:val="clear"/>
        </w:rPr>
        <w:t xml:space="preserve"> justifica-se pelos seguintes fatores: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b w:val="false"/>
          <w:bCs w:val="false"/>
          <w:color w:val="000000"/>
          <w:sz w:val="22"/>
          <w:szCs w:val="22"/>
          <w:shd w:fill="auto" w:val="clear"/>
        </w:rPr>
        <w:t>Especificidades técnicas das luminárias</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Cada item corresponde a uma </w:t>
      </w:r>
      <w:r>
        <w:rPr>
          <w:rStyle w:val="Strong"/>
          <w:rFonts w:cs="Arial" w:ascii="Arial" w:hAnsi="Arial"/>
          <w:b w:val="false"/>
          <w:bCs w:val="false"/>
          <w:color w:val="000000"/>
          <w:sz w:val="22"/>
          <w:szCs w:val="22"/>
          <w:shd w:fill="auto" w:val="clear"/>
        </w:rPr>
        <w:t>luminária de potência distinta (150 W, 120 W, 70 W e 50 W)</w:t>
      </w:r>
      <w:r>
        <w:rPr>
          <w:rFonts w:cs="Arial" w:ascii="Arial" w:hAnsi="Arial"/>
          <w:b w:val="false"/>
          <w:bCs w:val="false"/>
          <w:color w:val="000000"/>
          <w:sz w:val="22"/>
          <w:szCs w:val="22"/>
          <w:shd w:fill="auto" w:val="clear"/>
        </w:rPr>
        <w:t>, voltada a finalidades diferentes, como vias de grande fluxo, áreas residenciais, praças ou espaços públicos de menor porte.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A separação por item evita a vinculação de produtos heterogêneos, garantindo que a Administração receba equipamento</w:t>
      </w:r>
      <w:r>
        <w:rPr>
          <w:rFonts w:cs="Arial" w:ascii="Arial" w:hAnsi="Arial"/>
          <w:color w:val="000000"/>
          <w:sz w:val="22"/>
          <w:szCs w:val="22"/>
          <w:shd w:fill="auto" w:val="clear"/>
        </w:rPr>
        <w:t>s adequados a cada realidade de aplicação.</w:t>
      </w:r>
    </w:p>
    <w:p>
      <w:pPr>
        <w:pStyle w:val="Corpodotexto"/>
        <w:numPr>
          <w:ilvl w:val="0"/>
          <w:numId w:val="0"/>
        </w:numPr>
        <w:tabs>
          <w:tab w:val="clear" w:pos="408"/>
          <w:tab w:val="left" w:pos="0" w:leader="none"/>
        </w:tabs>
        <w:spacing w:lineRule="auto" w:line="276" w:before="0" w:after="26"/>
        <w:ind w:right="0" w:hanging="0"/>
        <w:jc w:val="both"/>
        <w:rPr/>
      </w:pPr>
      <w:r>
        <w:rPr>
          <w:rStyle w:val="Strong"/>
          <w:rFonts w:cs="Arial" w:ascii="Arial" w:hAnsi="Arial"/>
          <w:color w:val="000000"/>
          <w:sz w:val="22"/>
          <w:szCs w:val="22"/>
          <w:shd w:fill="auto" w:val="clear"/>
        </w:rPr>
        <w:t>Competitividade e economicidade</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contratação por item amplia a participação de fornecedores especializados, que poderão ofertar propostas para os itens em que possuam melhores condições de fornecimento.</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Isso contribui para a </w:t>
      </w:r>
      <w:r>
        <w:rPr>
          <w:rStyle w:val="Strong"/>
          <w:rFonts w:cs="Arial" w:ascii="Arial" w:hAnsi="Arial"/>
          <w:b w:val="false"/>
          <w:bCs w:val="false"/>
          <w:color w:val="000000"/>
          <w:sz w:val="22"/>
          <w:szCs w:val="22"/>
          <w:shd w:fill="auto" w:val="clear"/>
        </w:rPr>
        <w:t>ampliação da concorrência, neste caso, sem prejuízo a administração</w:t>
      </w:r>
      <w:r>
        <w:rPr>
          <w:rFonts w:cs="Arial" w:ascii="Arial" w:hAnsi="Arial"/>
          <w:b w:val="false"/>
          <w:bCs w:val="false"/>
          <w:color w:val="000000"/>
          <w:sz w:val="22"/>
          <w:szCs w:val="22"/>
          <w:shd w:fill="auto" w:val="clear"/>
        </w:rPr>
        <w:t xml:space="preserve"> e a obtenção de </w:t>
      </w:r>
      <w:r>
        <w:rPr>
          <w:rStyle w:val="Strong"/>
          <w:rFonts w:cs="Arial" w:ascii="Arial" w:hAnsi="Arial"/>
          <w:b w:val="false"/>
          <w:bCs w:val="false"/>
          <w:color w:val="000000"/>
          <w:sz w:val="22"/>
          <w:szCs w:val="22"/>
          <w:shd w:fill="auto" w:val="clear"/>
        </w:rPr>
        <w:t>preços mais vantajosos</w:t>
      </w:r>
      <w:r>
        <w:rPr>
          <w:rFonts w:cs="Arial" w:ascii="Arial" w:hAnsi="Arial"/>
          <w:b w:val="false"/>
          <w:bCs w:val="false"/>
          <w:color w:val="000000"/>
          <w:sz w:val="22"/>
          <w:szCs w:val="22"/>
          <w:shd w:fill="auto" w:val="clear"/>
        </w:rPr>
        <w:t>, evitando a concentração do objeto em um único fornecedor.</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Padronização e fiscalização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Reduz riscos de divergências de especificações, falhas operacionais e custos adicionais de manutenção.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de desabastecimento e fracasso parcial</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O fracionamento por item diminui a possibilidade de </w:t>
      </w:r>
      <w:r>
        <w:rPr>
          <w:rStyle w:val="Strong"/>
          <w:rFonts w:cs="Arial" w:ascii="Arial" w:hAnsi="Arial"/>
          <w:b w:val="false"/>
          <w:bCs w:val="false"/>
          <w:color w:val="000000"/>
          <w:sz w:val="22"/>
          <w:szCs w:val="22"/>
          <w:shd w:fill="auto" w:val="clear"/>
        </w:rPr>
        <w:t>fracasso parcial do certame</w:t>
      </w:r>
      <w:r>
        <w:rPr>
          <w:rFonts w:cs="Arial" w:ascii="Arial" w:hAnsi="Arial"/>
          <w:b w:val="false"/>
          <w:bCs w:val="false"/>
          <w:color w:val="000000"/>
          <w:sz w:val="22"/>
          <w:szCs w:val="22"/>
          <w:shd w:fill="auto" w:val="clear"/>
        </w:rPr>
        <w:t>, já que a ausência de propostas em um item não inviabiliza os demais.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Essa estratégia garante que a Administração não fique desatendida em suas necessidades, assegurando a continuidade dos serviços essenciais de iluminação pública.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Eficiência administrativa</w:t>
      </w:r>
    </w:p>
    <w:p>
      <w:pPr>
        <w:pStyle w:val="Corpodotexto"/>
        <w:numPr>
          <w:ilvl w:val="0"/>
          <w:numId w:val="0"/>
        </w:numPr>
        <w:tabs>
          <w:tab w:val="clear" w:pos="408"/>
          <w:tab w:val="left" w:pos="0" w:leader="none"/>
        </w:tabs>
        <w:spacing w:lineRule="auto" w:line="276" w:before="0" w:after="0"/>
        <w:ind w:right="0" w:hanging="0"/>
        <w:jc w:val="both"/>
        <w:rPr/>
      </w:pPr>
      <w:r>
        <w:rPr>
          <w:rFonts w:cs="Arial" w:ascii="Arial" w:hAnsi="Arial"/>
          <w:b w:val="false"/>
          <w:bCs w:val="false"/>
          <w:color w:val="000000"/>
          <w:sz w:val="22"/>
          <w:szCs w:val="22"/>
          <w:shd w:fill="auto" w:val="clear"/>
        </w:rPr>
        <w:t xml:space="preserve">Embora o Município disponha de quadro de pessoal limitado para a gestão e fiscalização contratual, o </w:t>
      </w:r>
      <w:r>
        <w:rPr>
          <w:rStyle w:val="Strong"/>
          <w:rFonts w:cs="Arial" w:ascii="Arial" w:hAnsi="Arial"/>
          <w:b w:val="false"/>
          <w:bCs w:val="false"/>
          <w:color w:val="000000"/>
          <w:sz w:val="22"/>
          <w:szCs w:val="22"/>
          <w:shd w:fill="auto" w:val="clear"/>
        </w:rPr>
        <w:t>reduzido número de itens,</w:t>
      </w:r>
      <w:r>
        <w:rPr>
          <w:rFonts w:cs="Arial" w:ascii="Arial" w:hAnsi="Arial"/>
          <w:b w:val="false"/>
          <w:bCs w:val="false"/>
          <w:color w:val="000000"/>
          <w:sz w:val="22"/>
          <w:szCs w:val="22"/>
          <w:shd w:fill="auto" w:val="clear"/>
        </w:rPr>
        <w:t xml:space="preserve"> objeto da presente contratação, </w:t>
      </w:r>
      <w:r>
        <w:rPr>
          <w:rStyle w:val="Strong"/>
          <w:rFonts w:cs="Arial" w:ascii="Arial" w:hAnsi="Arial"/>
          <w:b w:val="false"/>
          <w:bCs w:val="false"/>
          <w:color w:val="000000"/>
          <w:sz w:val="22"/>
          <w:szCs w:val="22"/>
          <w:shd w:fill="auto" w:val="clear"/>
        </w:rPr>
        <w:t>não compromete a boa execução da gestão</w:t>
      </w:r>
      <w:r>
        <w:rPr>
          <w:rFonts w:cs="Arial" w:ascii="Arial" w:hAnsi="Arial"/>
          <w:b w:val="false"/>
          <w:bCs w:val="false"/>
          <w:color w:val="000000"/>
          <w:sz w:val="22"/>
          <w:szCs w:val="22"/>
          <w:shd w:fill="auto" w:val="clear"/>
        </w:rPr>
        <w:t>, permitindo adequado acompanhamento, recebimento e controle da execução contratual.</w:t>
      </w:r>
    </w:p>
    <w:p>
      <w:pPr>
        <w:pStyle w:val="Corpodotexto"/>
        <w:numPr>
          <w:ilvl w:val="0"/>
          <w:numId w:val="0"/>
        </w:numPr>
        <w:spacing w:lineRule="auto" w:line="276" w:before="0" w:after="0"/>
        <w:ind w:left="0" w:hanging="0"/>
        <w:jc w:val="both"/>
        <w:rPr/>
      </w:pPr>
      <w:r>
        <w:rPr>
          <w:rFonts w:cs="Arial" w:ascii="Arial" w:hAnsi="Arial"/>
          <w:b w:val="false"/>
          <w:bCs w:val="false"/>
          <w:color w:val="000000"/>
          <w:sz w:val="22"/>
          <w:szCs w:val="22"/>
          <w:shd w:fill="auto" w:val="clear"/>
        </w:rPr>
        <w:t xml:space="preserve">Dessa forma, a adoção do modelo de </w:t>
      </w:r>
      <w:r>
        <w:rPr>
          <w:rStyle w:val="Strong"/>
          <w:rFonts w:cs="Arial" w:ascii="Arial" w:hAnsi="Arial"/>
          <w:b w:val="false"/>
          <w:bCs w:val="false"/>
          <w:color w:val="000000"/>
          <w:sz w:val="22"/>
          <w:szCs w:val="22"/>
          <w:shd w:fill="auto" w:val="clear"/>
        </w:rPr>
        <w:t>contratação por Item</w:t>
      </w:r>
      <w:r>
        <w:rPr>
          <w:rFonts w:cs="Arial" w:ascii="Arial" w:hAnsi="Arial"/>
          <w:b w:val="false"/>
          <w:bCs w:val="false"/>
          <w:color w:val="000000"/>
          <w:sz w:val="22"/>
          <w:szCs w:val="22"/>
          <w:shd w:fill="auto" w:val="clear"/>
        </w:rPr>
        <w:t xml:space="preserve"> mostra-se a solução mais adequada na presente solicitação, pois </w:t>
      </w:r>
      <w:r>
        <w:rPr>
          <w:rStyle w:val="Strong"/>
          <w:rFonts w:cs="Arial" w:ascii="Arial" w:hAnsi="Arial"/>
          <w:b w:val="false"/>
          <w:bCs w:val="false"/>
          <w:color w:val="000000"/>
          <w:sz w:val="22"/>
          <w:szCs w:val="22"/>
          <w:shd w:fill="auto" w:val="clear"/>
        </w:rPr>
        <w:t>equilibra competitividade, eficiência e qualidade</w:t>
      </w:r>
      <w:r>
        <w:rPr>
          <w:rFonts w:cs="Arial" w:ascii="Arial" w:hAnsi="Arial"/>
          <w:b w:val="false"/>
          <w:bCs w:val="false"/>
          <w:color w:val="000000"/>
          <w:sz w:val="22"/>
          <w:szCs w:val="22"/>
          <w:shd w:fill="auto" w:val="clear"/>
        </w:rPr>
        <w:t>, além de garantir maior efetividade na aplicação dos recursos públicos, com atendimento mais amplo e transparente ao interesse coletivo.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Por fim, mitiga-se o risco de contratação desproporcional ao retorno esperado, garantindo maior efetividade na aplicação dos recursos públicos e atendimento mais amplo ao interesse coletivo.</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lang w:eastAsia="hi-IN"/>
        </w:rPr>
        <w:t>10 IMPACTOS AMBIENTAIS</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lang w:eastAsia="hi-IN"/>
        </w:rPr>
        <w:t xml:space="preserve">A contratação para fornecimento de luminárias LED para a modernização e expansão da rede de iluminação pública do Município de Vera Cruz – RS envolve impactos ambientais inerentes ao ciclo de vida dos equipamentos. Esses impactos, contudo, podem ser mitigados por meio de medidas preventivas e compensatórias, em conformidade com a </w:t>
      </w:r>
      <w:r>
        <w:rPr>
          <w:rStyle w:val="Strong"/>
          <w:rFonts w:cs="Arial" w:ascii="Arial" w:hAnsi="Arial"/>
          <w:b w:val="false"/>
          <w:bCs w:val="false"/>
          <w:color w:val="000000"/>
          <w:sz w:val="22"/>
          <w:szCs w:val="22"/>
          <w:shd w:fill="auto" w:val="clear"/>
          <w:lang w:eastAsia="hi-IN"/>
        </w:rPr>
        <w:t>Política Nacional de Resíduos Sólidos (Lei nº 12.305/2010)</w:t>
      </w:r>
      <w:r>
        <w:rPr>
          <w:rFonts w:cs="Arial" w:ascii="Arial" w:hAnsi="Arial"/>
          <w:b w:val="false"/>
          <w:bCs w:val="false"/>
          <w:color w:val="000000"/>
          <w:sz w:val="22"/>
          <w:szCs w:val="22"/>
          <w:shd w:fill="auto" w:val="clear"/>
          <w:lang w:eastAsia="hi-IN"/>
        </w:rPr>
        <w:t xml:space="preserve"> e demais normas ambientais aplicáveis.</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lang w:eastAsia="hi-IN"/>
        </w:rPr>
        <w:t>a) Impactos Ambientais Potenciais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Geração de resíduos sólidos</w:t>
      </w:r>
      <w:r>
        <w:rPr>
          <w:rFonts w:cs="Arial" w:ascii="Arial" w:hAnsi="Arial"/>
          <w:b/>
          <w:bCs/>
          <w:color w:val="000000"/>
          <w:sz w:val="22"/>
          <w:szCs w:val="22"/>
          <w:shd w:fill="auto" w:val="clear"/>
          <w:lang w:eastAsia="hi-IN"/>
        </w:rPr>
        <w:t>:</w:t>
      </w:r>
    </w:p>
    <w:p>
      <w:pPr>
        <w:pStyle w:val="Corpodotexto"/>
        <w:numPr>
          <w:ilvl w:val="0"/>
          <w:numId w:val="2"/>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Descarte das luminárias antigas (vapor de sódio e mercúrio), consideradas ineficientes e potencialmente poluentes;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Consumo de recursos naturais</w:t>
      </w:r>
      <w:r>
        <w:rPr>
          <w:rFonts w:cs="Arial" w:ascii="Arial" w:hAnsi="Arial"/>
          <w:b/>
          <w:bCs/>
          <w:color w:val="000000"/>
          <w:sz w:val="22"/>
          <w:szCs w:val="22"/>
          <w:shd w:fill="auto" w:val="clear"/>
          <w:lang w:eastAsia="hi-IN"/>
        </w:rPr>
        <w:t xml:space="preserve">: </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Utilização de metais, plásticos e componentes eletrônicos na fabricação das luminárias;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Emissão de gases poluentes</w:t>
      </w:r>
      <w:r>
        <w:rPr>
          <w:rFonts w:cs="Arial" w:ascii="Arial" w:hAnsi="Arial"/>
          <w:b/>
          <w:bCs/>
          <w:color w:val="000000"/>
          <w:sz w:val="22"/>
          <w:szCs w:val="22"/>
          <w:shd w:fill="auto" w:val="clear"/>
          <w:lang w:eastAsia="hi-IN"/>
        </w:rPr>
        <w:t>:</w:t>
      </w:r>
    </w:p>
    <w:p>
      <w:pPr>
        <w:pStyle w:val="Corpodotexto"/>
        <w:numPr>
          <w:ilvl w:val="0"/>
          <w:numId w:val="2"/>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Decorrente de processos de transporte e produção;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Risco de descarte inadequado</w:t>
      </w:r>
      <w:r>
        <w:rPr>
          <w:rFonts w:cs="Arial" w:ascii="Arial" w:hAnsi="Arial"/>
          <w:b/>
          <w:bCs/>
          <w:color w:val="000000"/>
          <w:sz w:val="22"/>
          <w:szCs w:val="22"/>
          <w:shd w:fill="auto" w:val="clear"/>
          <w:lang w:eastAsia="hi-IN"/>
        </w:rPr>
        <w:t>:</w:t>
      </w:r>
    </w:p>
    <w:p>
      <w:pPr>
        <w:pStyle w:val="Corpodotexto"/>
        <w:numPr>
          <w:ilvl w:val="0"/>
          <w:numId w:val="2"/>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Possibilidade de contaminação do solo e da água caso as luminárias inservíveis não tenham destinação ambientalmente adequada.</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lang w:eastAsia="hi-IN"/>
        </w:rPr>
        <w:t>b) Medidas de Mitigação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Logística reversa obrigatória</w:t>
      </w:r>
      <w:r>
        <w:rPr>
          <w:rFonts w:cs="Arial" w:ascii="Arial" w:hAnsi="Arial"/>
          <w:b/>
          <w:bCs/>
          <w:color w:val="000000"/>
          <w:sz w:val="22"/>
          <w:szCs w:val="22"/>
          <w:shd w:fill="auto" w:val="clear"/>
          <w:lang w:eastAsia="hi-IN"/>
        </w:rPr>
        <w:t>:</w:t>
      </w:r>
    </w:p>
    <w:p>
      <w:pPr>
        <w:pStyle w:val="Corpodotexto"/>
        <w:numPr>
          <w:ilvl w:val="0"/>
          <w:numId w:val="2"/>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A contratada deverá recolher e dar destinação final ambientalmente adequada às luminárias substituídas, em conformidade com a Lei nº 12.305/2010, apresentando comprovação documental à Administração;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Eficiência energética</w:t>
      </w:r>
      <w:r>
        <w:rPr>
          <w:rFonts w:cs="Arial" w:ascii="Arial" w:hAnsi="Arial"/>
          <w:b/>
          <w:bCs/>
          <w:color w:val="000000"/>
          <w:sz w:val="22"/>
          <w:szCs w:val="22"/>
          <w:shd w:fill="auto" w:val="clear"/>
          <w:lang w:eastAsia="hi-IN"/>
        </w:rPr>
        <w:t>:</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A adoção de luminárias LED reduz significativamente o consumo de energia elétrica, contribuindo para a diminuição da emissão de gases de efeito estufa e para a sustentabilidade do sistema;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Durabilidade e menor descarte</w:t>
      </w:r>
      <w:r>
        <w:rPr>
          <w:rFonts w:cs="Arial" w:ascii="Arial" w:hAnsi="Arial"/>
          <w:b/>
          <w:bCs/>
          <w:color w:val="000000"/>
          <w:sz w:val="22"/>
          <w:szCs w:val="22"/>
          <w:shd w:fill="auto" w:val="clear"/>
          <w:lang w:eastAsia="hi-IN"/>
        </w:rPr>
        <w:t>:</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As luminárias LED possuem vida útil mínima de 50.000 horas, reduzindo a geração de resíduos em comparação com tecnologias obsoletas;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Reciclabilidade</w:t>
      </w:r>
      <w:r>
        <w:rPr>
          <w:rFonts w:cs="Arial" w:ascii="Arial" w:hAnsi="Arial"/>
          <w:b/>
          <w:bCs/>
          <w:color w:val="000000"/>
          <w:sz w:val="22"/>
          <w:szCs w:val="22"/>
          <w:shd w:fill="auto" w:val="clear"/>
          <w:lang w:eastAsia="hi-IN"/>
        </w:rPr>
        <w:t>:</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Incentivo à destinação dos materiais recicláveis provenientes das luminárias descartadas, favorecendo a economia circular e a preservação de recursos naturais;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lang w:eastAsia="hi-IN"/>
        </w:rPr>
        <w:t>Gestão sustentável do transporte</w:t>
      </w:r>
      <w:r>
        <w:rPr>
          <w:rFonts w:cs="Arial" w:ascii="Arial" w:hAnsi="Arial"/>
          <w:b/>
          <w:bCs/>
          <w:color w:val="000000"/>
          <w:sz w:val="22"/>
          <w:szCs w:val="22"/>
          <w:shd w:fill="auto" w:val="clear"/>
          <w:lang w:eastAsia="hi-IN"/>
        </w:rPr>
        <w:t>:</w:t>
      </w:r>
    </w:p>
    <w:p>
      <w:pPr>
        <w:pStyle w:val="Corpodotexto"/>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lang w:eastAsia="hi-IN"/>
        </w:rPr>
        <w:t>Exigência de que a contratada adote boas práticas logísticas, reduzindo desperdícios e impactos ambientais relacionados ao deslocamento e manuseio.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lang w:eastAsia="hi-IN"/>
        </w:rPr>
        <w:t xml:space="preserve">Nestes termos, a presente contratação além de cumprir seu objetivo principal de modernizar a iluminação pública municipal, contribui para a </w:t>
      </w:r>
      <w:r>
        <w:rPr>
          <w:rStyle w:val="Strong"/>
          <w:rFonts w:cs="Arial" w:ascii="Arial" w:hAnsi="Arial"/>
          <w:b w:val="false"/>
          <w:bCs w:val="false"/>
          <w:color w:val="000000"/>
          <w:sz w:val="22"/>
          <w:szCs w:val="22"/>
          <w:shd w:fill="auto" w:val="clear"/>
          <w:lang w:eastAsia="hi-IN"/>
        </w:rPr>
        <w:t>mitigação de impactos ambientais</w:t>
      </w:r>
      <w:r>
        <w:rPr>
          <w:rFonts w:cs="Arial" w:ascii="Arial" w:hAnsi="Arial"/>
          <w:b w:val="false"/>
          <w:bCs w:val="false"/>
          <w:color w:val="000000"/>
          <w:sz w:val="22"/>
          <w:szCs w:val="22"/>
          <w:shd w:fill="auto" w:val="clear"/>
          <w:lang w:eastAsia="hi-IN"/>
        </w:rPr>
        <w:t>, promovendo a sustentabilidade, a eficiência energética e a correta destinação dos resíduos gerados.</w:t>
      </w:r>
    </w:p>
    <w:p>
      <w:pPr>
        <w:pStyle w:val="NormalWeb"/>
        <w:numPr>
          <w:ilvl w:val="0"/>
          <w:numId w:val="2"/>
        </w:numPr>
        <w:spacing w:lineRule="auto" w:line="276" w:before="0" w:after="0"/>
        <w:jc w:val="both"/>
        <w:rPr>
          <w:rFonts w:ascii="Arial" w:hAnsi="Arial" w:cs="Arial"/>
          <w:b w:val="false"/>
          <w:bCs w:val="false"/>
          <w:color w:val="000000"/>
          <w:sz w:val="22"/>
          <w:szCs w:val="22"/>
          <w:highlight w:val="none"/>
          <w:shd w:fill="auto" w:val="clear"/>
          <w:lang w:eastAsia="hi-IN"/>
        </w:rPr>
      </w:pPr>
      <w:r>
        <w:rPr>
          <w:rFonts w:cs="Arial" w:ascii="Arial" w:hAnsi="Arial"/>
          <w:b w:val="false"/>
          <w:bCs w:val="false"/>
          <w:color w:val="000000"/>
          <w:sz w:val="22"/>
          <w:szCs w:val="22"/>
          <w:shd w:fill="auto" w:val="clear"/>
          <w:lang w:eastAsia="hi-IN"/>
        </w:rPr>
      </w:r>
    </w:p>
    <w:p>
      <w:pPr>
        <w:pStyle w:val="Normal"/>
        <w:numPr>
          <w:ilvl w:val="0"/>
          <w:numId w:val="2"/>
        </w:numPr>
        <w:spacing w:lineRule="auto" w:line="276"/>
        <w:jc w:val="both"/>
        <w:rPr/>
      </w:pPr>
      <w:r>
        <w:rPr>
          <w:rStyle w:val="Strong"/>
          <w:rFonts w:cs="Arial" w:ascii="Arial" w:hAnsi="Arial"/>
          <w:color w:val="000000"/>
          <w:sz w:val="22"/>
          <w:szCs w:val="22"/>
          <w:shd w:fill="auto" w:val="clear"/>
        </w:rPr>
        <w:t xml:space="preserve">11 Análise de Riscos da Contratação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A presente contratação está sujeita a riscos inerentes ao processo licitatório e à execução contratual, os quais devem ser identificados, avaliados e mitigados de forma a garantir a regularidade, a economicidade e a efetividade do fornecimento.</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a) Riscos Identificados</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de Mercado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Variação nos preços das luminárias LED em decorrência de oscilações cambiais e de custos de insumos eletrônicos.</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Possível redução de fornecedores habilitados, impactando a competitividade.</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de Execução Contratual</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Atraso na entrega dos materiais em razão de dificuldades logísticas ou falta de estoque por parte da contratada.</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Fornecimento de produtos em desacordo com as especificações técnicas, comprometendo a eficiência do sistema de iluminação pública.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Administrativo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Fragilidades na fiscalização em razão da limitação de pessoal técnico do Município para acompanhamento detalhado da execução contratual.</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Erros de planejamento de quantitativos, dada a variação sazonal e emergencial de demandas de iluminação pública.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Risco Ambiental</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Descarte inadequado das luminárias substituídas, que contêm elementos potencialmente poluentes (ex.: vapor de sódio e mercúrio).</w:t>
      </w:r>
    </w:p>
    <w:p>
      <w:pPr>
        <w:pStyle w:val="Corpodotexto"/>
        <w:numPr>
          <w:ilvl w:val="0"/>
          <w:numId w:val="0"/>
        </w:numPr>
        <w:tabs>
          <w:tab w:val="clear" w:pos="408"/>
          <w:tab w:val="left" w:pos="0" w:leader="none"/>
        </w:tabs>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Não cumprimento da política de logística reversa pela contratada.</w:t>
      </w:r>
    </w:p>
    <w:p>
      <w:pPr>
        <w:pStyle w:val="Corpodotexto"/>
        <w:numPr>
          <w:ilvl w:val="1"/>
          <w:numId w:val="2"/>
        </w:numPr>
        <w:spacing w:lineRule="auto" w:line="276" w:before="0" w:after="0"/>
        <w:jc w:val="both"/>
        <w:rPr/>
      </w:pPr>
      <w:r>
        <w:rPr>
          <w:rStyle w:val="Strong"/>
          <w:rFonts w:cs="Arial" w:ascii="Arial" w:hAnsi="Arial"/>
          <w:color w:val="000000"/>
          <w:sz w:val="22"/>
          <w:szCs w:val="22"/>
          <w:shd w:fill="auto" w:val="clear"/>
        </w:rPr>
        <w:t>b) Medidas de Mitigação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Mercado</w:t>
      </w:r>
      <w:r>
        <w:rPr>
          <w:rFonts w:cs="Arial" w:ascii="Arial" w:hAnsi="Arial"/>
          <w:color w:val="000000"/>
          <w:sz w:val="22"/>
          <w:szCs w:val="22"/>
          <w:shd w:fill="auto" w:val="clear"/>
        </w:rPr>
        <w:t>: Pesquisa ampla de preços em múltiplas fontes (orçamentos diretos, Portal de Compras Públicas e sites especializados) e adoção de Registro de Preços, garantindo flexibilidade para atender variações de demanda.</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Execução</w:t>
      </w:r>
      <w:r>
        <w:rPr>
          <w:rFonts w:cs="Arial" w:ascii="Arial" w:hAnsi="Arial"/>
          <w:color w:val="000000"/>
          <w:sz w:val="22"/>
          <w:szCs w:val="22"/>
          <w:shd w:fill="auto" w:val="clear"/>
        </w:rPr>
        <w:t>: Exigência de prazos claros de entrega, responsabilidade integral da contratada pelo transporte e substituição imediata de itens em desconformidade.</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Administrativo</w:t>
      </w:r>
      <w:r>
        <w:rPr>
          <w:rFonts w:cs="Arial" w:ascii="Arial" w:hAnsi="Arial"/>
          <w:color w:val="000000"/>
          <w:sz w:val="22"/>
          <w:szCs w:val="22"/>
          <w:shd w:fill="auto" w:val="clear"/>
        </w:rPr>
        <w:t>: Designação de Gestor e Fiscal de Contrato formalmente nomeados; acompanhamento por meio de registros eletrônicos e relatórios periódicos de fornecimento.</w:t>
      </w:r>
    </w:p>
    <w:p>
      <w:pPr>
        <w:pStyle w:val="Corpodotexto"/>
        <w:numPr>
          <w:ilvl w:val="0"/>
          <w:numId w:val="0"/>
        </w:numPr>
        <w:tabs>
          <w:tab w:val="clear" w:pos="408"/>
          <w:tab w:val="left" w:pos="0" w:leader="none"/>
        </w:tabs>
        <w:spacing w:lineRule="auto" w:line="276" w:before="0" w:after="0"/>
        <w:ind w:right="0" w:hanging="0"/>
        <w:jc w:val="both"/>
        <w:rPr/>
      </w:pPr>
      <w:r>
        <w:rPr>
          <w:rStyle w:val="Strong"/>
          <w:rFonts w:cs="Arial" w:ascii="Arial" w:hAnsi="Arial"/>
          <w:color w:val="000000"/>
          <w:sz w:val="22"/>
          <w:szCs w:val="22"/>
          <w:shd w:fill="auto" w:val="clear"/>
        </w:rPr>
        <w:t>Ambiental</w:t>
      </w:r>
      <w:r>
        <w:rPr>
          <w:rFonts w:cs="Arial" w:ascii="Arial" w:hAnsi="Arial"/>
          <w:color w:val="000000"/>
          <w:sz w:val="22"/>
          <w:szCs w:val="22"/>
          <w:shd w:fill="auto" w:val="clear"/>
        </w:rPr>
        <w:t>:</w:t>
      </w:r>
      <w:r>
        <w:rPr>
          <w:rFonts w:cs="Arial" w:ascii="Arial" w:hAnsi="Arial"/>
          <w:b w:val="false"/>
          <w:bCs w:val="false"/>
          <w:color w:val="000000"/>
          <w:sz w:val="22"/>
          <w:szCs w:val="22"/>
          <w:shd w:fill="auto" w:val="clear"/>
        </w:rPr>
        <w:t xml:space="preserve"> Exigência expressa do cumprimento da </w:t>
      </w:r>
      <w:r>
        <w:rPr>
          <w:rStyle w:val="Strong"/>
          <w:rFonts w:cs="Arial" w:ascii="Arial" w:hAnsi="Arial"/>
          <w:b w:val="false"/>
          <w:bCs w:val="false"/>
          <w:color w:val="000000"/>
          <w:sz w:val="22"/>
          <w:szCs w:val="22"/>
          <w:shd w:fill="auto" w:val="clear"/>
        </w:rPr>
        <w:t>logística reversa</w:t>
      </w:r>
      <w:r>
        <w:rPr>
          <w:rFonts w:cs="Arial" w:ascii="Arial" w:hAnsi="Arial"/>
          <w:b w:val="false"/>
          <w:bCs w:val="false"/>
          <w:color w:val="000000"/>
          <w:sz w:val="22"/>
          <w:szCs w:val="22"/>
          <w:shd w:fill="auto" w:val="clear"/>
        </w:rPr>
        <w:t>, com comprovação documental de recolhimento e destinação adequada das luminárias substituídas, sob pena de sanções contratuais.</w:t>
      </w:r>
    </w:p>
    <w:p>
      <w:pPr>
        <w:pStyle w:val="Corpodotexto"/>
        <w:numPr>
          <w:ilvl w:val="0"/>
          <w:numId w:val="2"/>
        </w:numPr>
        <w:spacing w:lineRule="auto" w:line="276" w:before="0" w:after="0"/>
        <w:jc w:val="both"/>
        <w:rPr/>
      </w:pPr>
      <w:r>
        <w:rPr>
          <w:rStyle w:val="Strong"/>
          <w:rFonts w:cs="Arial" w:ascii="Arial" w:hAnsi="Arial"/>
          <w:color w:val="000000"/>
          <w:sz w:val="22"/>
          <w:szCs w:val="22"/>
          <w:shd w:fill="auto" w:val="clear"/>
        </w:rPr>
        <w:t>c) Conclusão</w:t>
      </w:r>
    </w:p>
    <w:p>
      <w:pPr>
        <w:pStyle w:val="Corpodotexto"/>
        <w:numPr>
          <w:ilvl w:val="0"/>
          <w:numId w:val="2"/>
        </w:numPr>
        <w:spacing w:lineRule="auto" w:line="276" w:before="0" w:after="0"/>
        <w:jc w:val="both"/>
        <w:rPr/>
      </w:pPr>
      <w:r>
        <w:rPr>
          <w:rFonts w:cs="Arial" w:ascii="Arial" w:hAnsi="Arial"/>
          <w:b w:val="false"/>
          <w:bCs w:val="false"/>
          <w:color w:val="000000"/>
          <w:sz w:val="22"/>
          <w:szCs w:val="22"/>
          <w:shd w:fill="auto" w:val="clear"/>
        </w:rPr>
        <w:t xml:space="preserve">Com a adoção das medidas preventivas e corretivas indicadas, os riscos identificados apresentam </w:t>
      </w:r>
      <w:r>
        <w:rPr>
          <w:rStyle w:val="Strong"/>
          <w:rFonts w:cs="Arial" w:ascii="Arial" w:hAnsi="Arial"/>
          <w:b w:val="false"/>
          <w:bCs w:val="false"/>
          <w:color w:val="000000"/>
          <w:sz w:val="22"/>
          <w:szCs w:val="22"/>
          <w:shd w:fill="auto" w:val="clear"/>
        </w:rPr>
        <w:t>baixo impacto residual</w:t>
      </w:r>
      <w:r>
        <w:rPr>
          <w:rFonts w:cs="Arial" w:ascii="Arial" w:hAnsi="Arial"/>
          <w:b w:val="false"/>
          <w:bCs w:val="false"/>
          <w:color w:val="000000"/>
          <w:sz w:val="22"/>
          <w:szCs w:val="22"/>
          <w:shd w:fill="auto" w:val="clear"/>
        </w:rPr>
        <w:t xml:space="preserve"> e não comprometem a viabilidade da contratação. A estruturação do processo em conformidade com a Lei nº 14.133/2021 garante segurança jurídica, economicidade e eficiência na execução do objeto, assegurando que a aquisição das luminárias LED atenda plenamente ao interesse público.</w:t>
      </w:r>
    </w:p>
    <w:p>
      <w:pPr>
        <w:pStyle w:val="NormalWeb"/>
        <w:numPr>
          <w:ilvl w:val="0"/>
          <w:numId w:val="2"/>
        </w:numPr>
        <w:spacing w:lineRule="auto" w:line="276" w:before="0" w:after="0"/>
        <w:jc w:val="both"/>
        <w:rPr>
          <w:rFonts w:cs="Arial"/>
          <w:b/>
          <w:bCs/>
        </w:rPr>
      </w:pPr>
      <w:r>
        <w:rPr>
          <w:rFonts w:ascii="Arial" w:hAnsi="Arial"/>
          <w:color w:val="000000"/>
          <w:sz w:val="22"/>
          <w:szCs w:val="22"/>
          <w:shd w:fill="auto" w:val="clear"/>
        </w:rPr>
      </w:r>
    </w:p>
    <w:p>
      <w:pPr>
        <w:pStyle w:val="NormalWeb"/>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12. ADEQUAÇÃO ORÇAMENTÁRIA </w:t>
      </w:r>
    </w:p>
    <w:p>
      <w:pPr>
        <w:pStyle w:val="Normal"/>
        <w:numPr>
          <w:ilvl w:val="0"/>
          <w:numId w:val="2"/>
        </w:numPr>
        <w:spacing w:lineRule="auto" w:line="276"/>
        <w:jc w:val="both"/>
        <w:rPr/>
      </w:pPr>
      <w:r>
        <w:rPr>
          <w:rFonts w:cs="Arial" w:ascii="Arial" w:hAnsi="Arial"/>
          <w:b w:val="false"/>
          <w:bCs w:val="false"/>
          <w:color w:val="000000"/>
          <w:sz w:val="22"/>
          <w:szCs w:val="22"/>
          <w:shd w:fill="auto" w:val="clear"/>
        </w:rPr>
        <w:t xml:space="preserve">Com base nas justificativas apresentadas e a existência de planejamento orçamentário suficiente para subsidiar a presente contratação e a devida autorização da autoridade competente, </w:t>
      </w:r>
      <w:r>
        <w:rPr>
          <w:rStyle w:val="Strong"/>
          <w:rFonts w:cs="Arial" w:ascii="Arial" w:hAnsi="Arial"/>
          <w:b w:val="false"/>
          <w:bCs w:val="false"/>
          <w:color w:val="000000"/>
          <w:sz w:val="22"/>
          <w:szCs w:val="22"/>
          <w:shd w:fill="auto" w:val="clear"/>
        </w:rPr>
        <w:t>declara-se que a contratação é viável</w:t>
      </w:r>
      <w:r>
        <w:rPr>
          <w:rFonts w:cs="Arial" w:ascii="Arial" w:hAnsi="Arial"/>
          <w:b w:val="false"/>
          <w:bCs w:val="false"/>
          <w:color w:val="000000"/>
          <w:sz w:val="22"/>
          <w:szCs w:val="22"/>
          <w:shd w:fill="auto" w:val="clear"/>
        </w:rPr>
        <w:t xml:space="preserve">, atendendo aos padrões de qualidade exigidos e aos preços praticados no mercado, em consonância com os princípios da economicidade, eficiência e interesse públicos previstos na Lei nº 14.133/2021. </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12.1 Dotações por Secretarias</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Dotação</w:t>
        <w:tab/>
        <w:t>74</w:t>
        <w:br/>
        <w:t xml:space="preserve">Órgão </w:t>
        <w:tab/>
        <w:t>4 Secretaria Municipal de Administração</w:t>
        <w:br/>
        <w:t>Unidade</w:t>
        <w:tab/>
        <w:t>1</w:t>
        <w:br/>
        <w:t>Funcional</w:t>
        <w:tab/>
        <w:t>0004.0122.0007</w:t>
        <w:br/>
        <w:t>Ação</w:t>
        <w:tab/>
        <w:t>2013 Manutenção Serviços Administrativos e de Bens - Administração</w:t>
        <w:br/>
        <w:t>Elemento - Código</w:t>
        <w:tab/>
        <w:t>33390302600000000000</w:t>
        <w:br/>
        <w:t>Elemento - Descrição</w:t>
        <w:tab/>
        <w:t>Material elétrico e eletrônico</w:t>
        <w:br/>
        <w:t>Vínculo</w:t>
        <w:tab/>
        <w:t>15001000</w:t>
        <w:br/>
        <w:br/>
        <w:t>Dotação</w:t>
        <w:tab/>
        <w:t>251</w:t>
        <w:br/>
        <w:t>Órgão</w:t>
        <w:tab/>
        <w:t xml:space="preserve"> 6 Secret. Munic. Obras,saneam. e Transito</w:t>
        <w:br/>
        <w:t>Unidade</w:t>
        <w:tab/>
        <w:t>1</w:t>
        <w:br/>
        <w:t>Funcional</w:t>
        <w:tab/>
        <w:t>0025.0752.0012</w:t>
        <w:br/>
        <w:t>Ação</w:t>
        <w:tab/>
        <w:t>2027 Manutenção dos Serviços de Iluminação Pública</w:t>
        <w:br/>
        <w:t>Elemento - Código</w:t>
        <w:tab/>
        <w:t>33390302600000000000</w:t>
        <w:br/>
        <w:t>Elemento - Descrição</w:t>
        <w:tab/>
        <w:t>Material elétrico e eletrônico</w:t>
        <w:br/>
        <w:t>Vínculo</w:t>
        <w:tab/>
        <w:t>15001000</w:t>
        <w:br/>
        <w:br/>
        <w:t>Dotação</w:t>
        <w:tab/>
        <w:t>293</w:t>
        <w:br/>
        <w:t xml:space="preserve">Órgão </w:t>
        <w:tab/>
        <w:t>6 Secret. Munic. Obras,saneam. e Transito</w:t>
        <w:br/>
        <w:t>Unidade</w:t>
        <w:tab/>
        <w:t>2</w:t>
        <w:br/>
        <w:t>Funcional</w:t>
        <w:tab/>
        <w:t>0025.0752.0012</w:t>
        <w:br/>
        <w:t>Ação</w:t>
        <w:tab/>
        <w:t>2027 Manutenção dos Serviços de Iluminação Pública</w:t>
        <w:br/>
        <w:t>Elemento - Código</w:t>
        <w:tab/>
        <w:t>33390302600000000000</w:t>
        <w:br/>
        <w:t>Elemento - Descrição</w:t>
        <w:tab/>
        <w:t>Material elétrico e eletrônico</w:t>
        <w:br/>
        <w:t>Vínculo</w:t>
        <w:tab/>
        <w:t>17510000</w:t>
        <w:br/>
        <w:br/>
        <w:t>Dotação</w:t>
        <w:tab/>
        <w:t>473</w:t>
        <w:br/>
        <w:t xml:space="preserve">Órgão </w:t>
        <w:tab/>
        <w:t xml:space="preserve">7 Secretaria Municipal de Educação </w:t>
        <w:br/>
        <w:t>Unidade</w:t>
        <w:tab/>
        <w:t>3</w:t>
        <w:br/>
        <w:t>Funcional</w:t>
        <w:tab/>
        <w:t>0012.0361.0025</w:t>
        <w:br/>
        <w:t>Ação</w:t>
        <w:tab/>
        <w:t xml:space="preserve">2052 Manutenção das Escolas Municipais de Ensino Fundamental </w:t>
        <w:br/>
        <w:t>Elemento - Código</w:t>
        <w:tab/>
        <w:t>33390302600000000000</w:t>
        <w:br/>
        <w:t>Elemento - Descrição</w:t>
        <w:tab/>
        <w:t>Material elétrico e eletrônico</w:t>
        <w:br/>
        <w:t>Vínculo</w:t>
        <w:tab/>
        <w:t>15001001</w:t>
        <w:br/>
        <w:br/>
        <w:t>Dotação</w:t>
        <w:tab/>
        <w:t>493</w:t>
        <w:br/>
        <w:t>Órgão</w:t>
        <w:tab/>
        <w:t xml:space="preserve"> 7 Secretaria Municipal de Educação </w:t>
        <w:br/>
        <w:t>Unidade</w:t>
        <w:tab/>
        <w:t>3</w:t>
        <w:br/>
        <w:t>Funcional</w:t>
        <w:tab/>
        <w:t>0012.0365.0024</w:t>
        <w:br/>
        <w:t>Ação</w:t>
        <w:tab/>
        <w:t xml:space="preserve">2051 Manutenção das Escolas Municipais de Ensino Infantil </w:t>
        <w:br/>
        <w:t>Elemento - Código</w:t>
        <w:tab/>
        <w:t>33390302600000000000</w:t>
        <w:br/>
        <w:t>Elemento - Descrição</w:t>
        <w:tab/>
        <w:t>Material elétrico e eletrônico</w:t>
        <w:br/>
        <w:t>Vínculo</w:t>
        <w:tab/>
        <w:t>15001001</w:t>
        <w:br/>
        <w:br/>
        <w:t>Dotação</w:t>
        <w:tab/>
        <w:t>558</w:t>
        <w:br/>
        <w:t>Órgão</w:t>
        <w:tab/>
        <w:t xml:space="preserve"> 8 Secretaria Municipal de Desen Rural </w:t>
        <w:br/>
        <w:t>Unidade</w:t>
        <w:tab/>
        <w:t>1</w:t>
        <w:br/>
        <w:t>Funcional</w:t>
        <w:tab/>
        <w:t>0020.0608.0031</w:t>
        <w:br/>
        <w:t>Ação</w:t>
        <w:tab/>
        <w:t xml:space="preserve">2065 Manutenção de Feiras Rurais e Ecológicas </w:t>
        <w:br/>
        <w:t>Elemento - Código</w:t>
        <w:tab/>
        <w:t>33390302600000000000</w:t>
        <w:br/>
        <w:t>Elemento - Descrição</w:t>
        <w:tab/>
        <w:t>Material elétrico e eletrônico</w:t>
        <w:br/>
        <w:t>Vínculo</w:t>
        <w:tab/>
        <w:t>15001001</w:t>
        <w:br/>
        <w:br/>
        <w:t>Dotação</w:t>
        <w:tab/>
        <w:t>638</w:t>
        <w:br/>
        <w:t xml:space="preserve">Órgão </w:t>
        <w:tab/>
        <w:t xml:space="preserve">9 Secretaria Municipal de Laude </w:t>
        <w:br/>
        <w:t>Unidade</w:t>
        <w:tab/>
        <w:t>1</w:t>
        <w:br/>
        <w:t>Funcional</w:t>
        <w:tab/>
        <w:t>0010.0301.0036</w:t>
        <w:br/>
        <w:t>Ação</w:t>
        <w:tab/>
        <w:t>2087 Manutenção dos Serviços de Assistência Médica, Odontológica e Psicológica em Unidades de Saúde</w:t>
        <w:br/>
        <w:t>Elemento - Código</w:t>
        <w:tab/>
        <w:t>33390302600000000000</w:t>
        <w:br/>
        <w:t>Elemento - Descrição</w:t>
        <w:tab/>
        <w:t>Material elétrico e eletrônico</w:t>
        <w:br/>
        <w:t>Vínculo</w:t>
        <w:tab/>
        <w:t>15001002</w:t>
        <w:br/>
        <w:br/>
        <w:t>Dotação</w:t>
        <w:tab/>
        <w:t>859</w:t>
        <w:br/>
        <w:t>Órgão</w:t>
        <w:tab/>
        <w:t xml:space="preserve"> 10 Secretaria Municipal de Desenvolvimento Social </w:t>
        <w:br/>
        <w:t>Unidade</w:t>
        <w:tab/>
        <w:t>2</w:t>
        <w:br/>
        <w:t>Funcional</w:t>
        <w:tab/>
        <w:t>0008.0122.0040</w:t>
        <w:br/>
        <w:t>Ação</w:t>
        <w:tab/>
        <w:t>2098 Manutenção dos Serviços Administrativos e de Bens - Desenv. Social</w:t>
        <w:br/>
        <w:t>Elemento - Código</w:t>
        <w:tab/>
        <w:t>33390302600000000000</w:t>
        <w:br/>
        <w:t>Elemento - Descrição</w:t>
        <w:tab/>
        <w:t>Material elétrico e eletrônico</w:t>
        <w:br/>
        <w:t>Vínculo</w:t>
        <w:tab/>
        <w:t>16691184</w:t>
        <w:br/>
        <w:br/>
        <w:t>Dotação</w:t>
        <w:tab/>
        <w:t>980</w:t>
        <w:br/>
        <w:t>Órgão</w:t>
        <w:tab/>
        <w:t xml:space="preserve"> 12 Secretaria Municipal de Esportes </w:t>
        <w:br/>
        <w:t>Unidade</w:t>
        <w:tab/>
        <w:t>1</w:t>
        <w:br/>
        <w:t>Funcional</w:t>
        <w:tab/>
        <w:t>0027.0812.0057</w:t>
        <w:br/>
        <w:t>Ação</w:t>
        <w:tab/>
        <w:t>2129 Manutenção Ginásios, Quadras e Campos Esportivos</w:t>
        <w:br/>
        <w:t>Elemento - Código</w:t>
        <w:tab/>
        <w:t>33390302600000000000</w:t>
        <w:br/>
        <w:t>Elemento - Descrição</w:t>
        <w:tab/>
        <w:t>Material elétrico e eletrônico</w:t>
        <w:br/>
        <w:t>Vínculo</w:t>
        <w:tab/>
        <w:t>15001000</w:t>
      </w:r>
    </w:p>
    <w:p>
      <w:pPr>
        <w:pStyle w:val="Normal"/>
        <w:numPr>
          <w:ilvl w:val="0"/>
          <w:numId w:val="2"/>
        </w:numPr>
        <w:spacing w:lineRule="auto" w:line="276"/>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Vera Cruz – RS, 04</w:t>
      </w:r>
      <w:r>
        <w:rPr>
          <w:rFonts w:cs="Arial" w:ascii="Arial" w:hAnsi="Arial"/>
          <w:b/>
          <w:bCs/>
          <w:color w:val="000000"/>
          <w:sz w:val="22"/>
          <w:szCs w:val="22"/>
          <w:shd w:fill="auto" w:val="clear"/>
        </w:rPr>
        <w:t xml:space="preserve"> de Setembro de 2025.</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___________________________</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Fernando Sadi Weimer</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3006/06</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val="false"/>
          <w:bCs w:val="false"/>
          <w:color w:val="000000"/>
          <w:sz w:val="22"/>
          <w:szCs w:val="22"/>
          <w:shd w:fill="auto" w:val="clear"/>
        </w:rPr>
        <w:t>Solicitante</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b/>
          <w:bCs/>
          <w:color w:val="000000"/>
          <w:sz w:val="22"/>
          <w:szCs w:val="22"/>
          <w:highlight w:val="none"/>
          <w:shd w:fill="auto" w:val="clear"/>
        </w:rPr>
      </w:pPr>
      <w:r>
        <w:rPr>
          <w:rFonts w:ascii="Arial" w:hAnsi="Arial"/>
          <w:b/>
          <w:bCs/>
          <w:color w:val="000000"/>
          <w:sz w:val="22"/>
          <w:szCs w:val="22"/>
          <w:shd w:fill="auto" w:val="clear"/>
        </w:rPr>
        <w:t>OFÍCIO Nº 54/2025</w:t>
      </w:r>
    </w:p>
    <w:p>
      <w:pPr>
        <w:pStyle w:val="Normal"/>
        <w:spacing w:lineRule="auto" w:line="276"/>
        <w:jc w:val="both"/>
        <w:rPr>
          <w:rFonts w:ascii="Arial" w:hAnsi="Arial"/>
          <w:b/>
          <w:bCs/>
          <w:color w:val="000000"/>
          <w:sz w:val="22"/>
          <w:szCs w:val="22"/>
          <w:highlight w:val="none"/>
          <w:shd w:fill="auto" w:val="clear"/>
        </w:rPr>
      </w:pPr>
      <w:r>
        <w:rPr>
          <w:rFonts w:ascii="Arial" w:hAnsi="Arial"/>
          <w:b/>
          <w:bCs/>
          <w:color w:val="000000"/>
          <w:sz w:val="22"/>
          <w:szCs w:val="22"/>
          <w:shd w:fill="auto" w:val="clear"/>
        </w:rPr>
      </w:r>
    </w:p>
    <w:p>
      <w:pPr>
        <w:pStyle w:val="Normal"/>
        <w:spacing w:lineRule="auto" w:line="276"/>
        <w:jc w:val="both"/>
        <w:rPr>
          <w:rFonts w:ascii="Arial" w:hAnsi="Arial"/>
          <w:b/>
          <w:bCs/>
          <w:color w:val="000000"/>
          <w:sz w:val="22"/>
          <w:szCs w:val="22"/>
          <w:highlight w:val="none"/>
          <w:shd w:fill="auto" w:val="clear"/>
        </w:rPr>
      </w:pPr>
      <w:r>
        <w:rPr>
          <w:rFonts w:ascii="Arial" w:hAnsi="Arial"/>
          <w:b/>
          <w:bCs/>
          <w:color w:val="000000"/>
          <w:sz w:val="22"/>
          <w:szCs w:val="22"/>
          <w:shd w:fill="auto" w:val="clear"/>
        </w:rPr>
        <w:t>Vera Cruz – RS, 15 de setembro de 2025</w:t>
      </w:r>
    </w:p>
    <w:p>
      <w:pPr>
        <w:pStyle w:val="Normal"/>
        <w:spacing w:lineRule="auto" w:line="276"/>
        <w:jc w:val="both"/>
        <w:rPr>
          <w:rFonts w:ascii="Arial" w:hAnsi="Arial"/>
          <w:b/>
          <w:bCs/>
          <w:color w:val="000000"/>
          <w:sz w:val="22"/>
          <w:szCs w:val="22"/>
          <w:highlight w:val="none"/>
          <w:shd w:fill="auto" w:val="clear"/>
        </w:rPr>
      </w:pPr>
      <w:r>
        <w:rPr>
          <w:rFonts w:ascii="Arial" w:hAnsi="Arial"/>
          <w:b/>
          <w:bCs/>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Ao cumprimentá-los cordialmente, vem o solicitante, respeitosamente, apresentar resposta aos apontamentos constantes do Parecer Jurídico nº 157/2025, referentes ao Processo Administrativo nº 15.662/2025, trazendo a devida justificativa para os aspectos destacados no Termo de Referência, bem como os complementos pertinentes, em conformidade com a legislação vigente.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Ressalta-se que o presente documento deverá ser considerado parte integrante do Termo de Referência, de modo a consolidar as justificativas apresentadas e evitar eventuais distorções ou interpretações divergentes quanto às disposições nele estabelecidas.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Importante destacar, ainda, que os documentos apresentados seguem a orientação técnica da empresa SIGMA PROJETOS E TREINAMENTOS – EPP, inscrita no CNPJ nº 19.780.730/0001-80, registrada no CREA-RS sob nº 212309, respaldados pela ART nº 13933325, bem como pelas diretrizes definidas no Projeto de Iluminação Pública Municipal, assegurando alinhamento às normas técnicas vigentes e às metas de eficiência energética e modernização da rede pública de iluminação.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respostas seguem estruturadas de acordo com a ordem apresentada no referido Parecer Jurídico, contemplando, ponto a ponto, as observações e recomendações nele indicadas, de forma a garantir a plena adequação do processo, a clareza técnica e a segurança jurídica dos atos administrativos praticados.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Art. 18 – inc. I e XI</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IX – a motivação circunstanciada das condições do edital, tais como justificativa de exigências de qualificação técnica, mediante indicação das parcelas de maior relevância técnica ou valor significativo do objeto, e de qualificação econômico-financeira, justificativa dos critérios de pontuação e julgamento das propostas técnicas, nas licitações com julgamento por melhor técnica ou técnica e preço, e justificativa das regras pertinentes à participação de empresas em consórcio; Nota 1: Lembrando que toda exigência técnica deve ser justifica.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Justificativa Circunstanciada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presente licitação, cujo objeto é a aquisição de luminárias públicas LED, encontra respaldo no Estudo Técnico Preliminar (ETP) e no Termo de Referência (TR), que evidenciam a necessidade de modernização, substituição e expansão da rede de iluminação pública municipal, com foco em eficiência energética, sustentabilidade e segurança urbana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ETP LAMPADAS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TR LUMINÁRIAS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1. Exigências de Qualificação Técnica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exigências técnicas estão diretamente vinculadas às parcelas de maior relevância do objeto, especialmente no tocante à conformidade com normas da ABNT, Portaria INMETRO nº 62/2022, NBR 5101/2024, entre outras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ETP LAMPADAS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obrigatoriedade de apresentação de catálogos, certificados de conformidade, relatórios técnicos e arquivos IES (curva fotométrica) visa assegurar a rastreabilidade, a confiabilidade do desempenho luminoso e a compatibilidade com os padrões técnicos exigidos.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Essas exigências se justificam porque o fornecimento de luminárias sem a devida comprovação técnica acarretaria riscos de falhas operacionais, perda de eficiência energética, custos adicionais de manutenção e comprometimento da segurança viária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ETP LAMPADAS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2. Exigências de Qualificação Econômico-Financeira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qualificação econômico-financeira está limitada à comprovação de regularidade fiscal e de que a empresa atua no ramo compatível, sem exigências desproporcionais, atendendo ao art. 62 da Lei nº 14.133/2021</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TR LUMINÁRIAS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O fracionamento do objeto por itens (50 W, 70W, 120W e 150W) tem amparo técnico, pois evita vinculação de produtos heterogêneos e permite maior competitividade e economicidade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TR LUMINÁRIAS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adoção do critério de julgamento “menor preço por item” assegura ampla participação e vantajosidade, evitando concentração contratual e garantindo que cada luminária seja contratada pelo valor mais adequado ao mercado.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3. Justificativa dos Critérios de Julgamento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utilização do Registro de Preços com julgamento por menor preço por item foi fundamentada na necessidade de garantir regularidade de abastecimento, maior isonomia e obtenção de preços vantajosos, conforme levantamentos de mercado e orçamentos anexos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TR LUMINÁRIAS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4. Regras de Participação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vedação à subcontratação e a obrigação de disponibilizar documentação técnica complementar sempre que solicitada pela equipe de fiscalização são medidas necessárias para assegurar a rastreabilidade e a qualidade do objeto contratado, evitando que produtos divergentes do TR e do Anexo I sejam fornecidos.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condições estabelecidas no edital — exigências técnicas, econômicofinanceiras, critérios de julgamento e regras de participação — estão devidamente motivadas e proporcionais ao objeto, conforme previsto no art. 18, inciso IX, da Lei nº 14.133/2021, garantindo eficiência, economicidade, segurança e compatibilidade técnica na contratação §1º, do ART. 18</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V – levantamento de mercado, que consiste na análise das alternativas possíveis, e justificativa técnica e econômica da escolha do tipo de solução a contratar;</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Nota 1: não há esse tópico no ETP.</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Nota 2: O que deve conter no Levantamento de Mercado: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1. Alternativas possíveis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Descrever quais soluções diferentes poderiam atender à necessidade (ex.: execução direta, uso de recursos próprios, terceirização, diferentes tecnologias, fornecedores variados). Avaliar vantagens e desvantagens de cada alternativa.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2. Pesquisa de mercado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Identificação de fornecedores e soluções disponíveis. Levantamento de preços, condições de fornecimento e prazos praticados no mercado. Fontes utilizadas (pesquisa na internet, cotações, bancos de preços, atas de registro de preços, contratações similares de outros órgãos).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3. Análise comparativa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Comparar as opções levantadas em termos de: custo total; viabilidade técnica; adequação à necessidade; riscos; prazos de execução.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4. Justificativa da escolha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Fundamentar a opção escolhida com base em critérios técnicos e econômicos (custobenefício, aderência à legislação, resultados esperados). Demonstrar por que as outras opções foram descartadas.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5. Conformidade legal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Explicitar que a escolha atende ao princípio da economicidade e ao art. 18, inciso V, da Lei nº 14.133/2021, que exige o levantamento de mercado no ETP.</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Levantamento de Mercado – Projeto de Iluminação Pública Municipal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1. Alternativas Possíveis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Para atender à necessidade de modernização e expansão da rede de iluminação pública, foram consideradas as seguintes alternativas: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Execução direta pelo Município: inviável, diante da ausência de estrutura técnica, capacidade fabril e de fornecimento em escala.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Aquisição de tecnologias distintas: foram avaliadas as opções de lâmpadas de vapor de sódio, vapor metálico, fluorescentes compactas e LED. As tecnologias convencionais mostraram-se superadas, com baixa eficiência energética, vida útil reduzida e maior impacto ambiental.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Terceirização integral da iluminação pública: não atende ao objetivo imediato da Administração, uma vez que demanda contrato de longo prazo, com maiores custos de gestão e riscos de dependência contratual.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Aquisição de Luminárias Públicas LED: tecnologia mais adequada, de maior eficiência energética (mínimo 130 lm/W), vida útil prolongada (≥ 50.000 horas), menor custo de manutenção e aderência à política de sustentabilidade.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adoção da tecnologia LED apresenta melhor custo-benefício e maior compatibilidade com os objetivos do Projeto Municipal de Iluminação Pública.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2. Pesquisa de Mercado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Foram realizados levantamentos junto 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Diretos de fornecedores especializados;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No Portal de Compras Públicas (painéis de preços e atas de registro de preços vigentes em outros entes);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Em Sites de empresas especializadas em iluminação pública.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pesquisa permitiu identificar valores médios praticados, prazos de entrega, bem como garantias ofertadas.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3. Análise Comparativa – Critérios avaliados: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Custo total: luminárias LED apresentaram valores unitários mais elevados em relação a tecnologias antigas, porém com economia de até 60% no consumo energético e menor custo de manutenção.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Viabilidade técnica: apenas a tecnologia LED atende plenamente às exigências do Projeto Municipal de Iluminação Pública, garantindo eficiência luminosa e conformidade com normas ABNT e INMETRO.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Adequação à necessidade: somente a solução LED se ajusta à meta de modernização da rede e substituição de equipamentos obsoletos, conforme diretriz municipal.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Riscos: tecnologias convencionais apresentam risco elevado de obsolescência, falhas recorrentes e custos ambientais.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Prazos de execução: fornecimento das luminárias LED é plenamente viável no cronograma de até 30 dias corridos, compatível com a urgência das demandas municipais.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4. Justificativa da Escolha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aquisição de Luminárias Públicas LED foi escolhida em razão de sua eficiência energética, vida útil prolongada, menor impacto ambiental e adequação ao Projeto Municipal de Iluminação Pública.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Proporciona economia de energia e redução de custos futuros com manutenção;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Garante padronização da rede e maior segurança viária e urbana;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Atende aos critérios de sustentabilidade, incluindo logística reversa e redução de resíduos sólidos, conforme Lei nº 12.305/2010.</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demais alternativas foram descartadas por não atenderem às necessidades técnicas, por apresentarem maior impacto econômico no médio prazo ou por não se ajustarem às diretrizes do planejamento municipal.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5. Conformidade Legal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O presente levantamento de mercado está em conformidade com o art. 18, inciso V, da Lei nº 14.133/2021, que exige a análise das alternativas possíveis e a justificativa técnica e econômica da solução escolhida.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decisão pela aquisição de Luminárias LED garante aderência aos princípios da economicidade, eficiência e sustentabilidade, assegurando o melhor aproveitamento dos recursos públicos e a consecução dos objetivos do Município de Vera Cruz – RS.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Nota 1: Constata-se que não constam nos autos digitais as memórias de cálculo. Todavia, o setor requisitante informou, no Estudo Técnico Preliminar, que “o cálculo foi realizado pelo sistema eletrônico DFD e demonstrado na Planilha de Levantamento de Preços anexada ao Processo Eletrônico”. Assim, ressalta-se que a referida informação é de inteira responsabilidade daquele setor.</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Estimativa do Valor da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Em atendimento ao disposto no art. 18, inciso VI, da Lei nº 14.133/2021, apresentase a estimativa do valor da contratação, acompanhada dos preços unitários referenciais e dos documentos que lhe dão suporte.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Registra-se que não há memórias de contratações anteriores em termos idênticos ou semelhantes que pudessem servir como parâmetro de cálculo comparativo.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Diante dessa ausência de histórico, a Administração procedeu à elaboração da estimativa de valores com base em:</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Orçamentos diretos obtidos junto a empresas especializadas do setor;</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Consultas realizadas no Portal de Compras Públicas e em sites de fornecedores;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Planilha de Levantamento de Preços, extraída do sistema eletrônico DFD (Demanda de Formalização da Despesa), a qual integra os autos digitais como documento anexo.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Esse conjunto de informações permitiu estabelecer valores de referência aderentes ao mercado, garantindo maior representatividade, confiabilidade e economicidade.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Dessa forma, a estimativa do valor da contratação está fundamentada nos documentos anexos ao processo eletrônico, que substituem adequadamente eventuais memórias históricas inexistentes, assegurando a conformidade legal, a transparência do procedimento e a responsabilidade técnica do setor requisitante na definição dos parâmetros utilizados.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Art.6°, inciso XXIII</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d) requisitos da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Nota 1: há divergência entre o ETP e o TR, sendo que no ETP está mais completo.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Nota 2: Lembrando que, no Estudo Técnico Preliminar (ETP), os "requisitos da contratação" devem conter uma descrição detalhada dos requisitos necessários para a contratação, porém com foco na análise preliminar da viabilidade técnica, econômica e operacional. Diferentemente do Termo de Referência (TR), que especifica de forma detalhada todas as características técnicas e operacionais do objeto, no ETP os requisitos são definidos de forma mais estratégica e analítica para fundamentar a decisão sobre 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Requisitos da Contratação – Justificativa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Nos termos do art. 18, inciso IV, da Lei nº 14.133/2021, os Estudos Técnicos Preliminares (ETP) devem conter a descrição dos requisitos da contratação, com enfoque na análise da viabilidade técnica, econômica e operacional da solução proposta. Trata-se, portanto, de um instrumento estratégico, que apresenta de forma abrangente e analítica os parâmetros necessários para a tomada de decisão administrativa quanto à pertinência da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Verifica-se que, no presente caso, os requisitos descritos no ETP estão mais completos e abrangentes, justamente por atenderem à finalidade de avaliar alternativas possíveis, riscos associados, estimativa de impactos e condições gerais necessárias para garantir a efetividade da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Por outro lado, o Termo de Referência (TR), em conformidade com o art. 6º, inciso XXIII, da Lei nº 14.133/2021, tem natureza distinta, pois deve detalhar as especificações técnicas e operacionais do objeto, orientando a formulação das propostas e a execução contratual. Assim, o TR traduz em termos objetivos e precisos os requisitos estratégicos apontados no ETP, convertendo-os em critérios de julgamento e execução.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Dessa forma, a divergência aparente entre os documentos não configura inconsistência, mas decorre da diferença de finalidade de cada um:</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No ETP, os requisitos são definidos de forma mais ampla e analítica, com vistas a subsidiar a decisão pela contratação;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 xml:space="preserve">► </w:t>
      </w:r>
      <w:r>
        <w:rPr>
          <w:rFonts w:ascii="Arial" w:hAnsi="Arial"/>
          <w:color w:val="000000"/>
          <w:sz w:val="22"/>
          <w:szCs w:val="22"/>
          <w:shd w:fill="auto" w:val="clear"/>
        </w:rPr>
        <w:t>No TR, os requisitos são consolidados em especificações técnicas e condições de execução, de forma vinculativa para os licitantes e para a futura contratada.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Conclui-se, portanto, que a integração entre o ETP e o TR assegura o cumprimento das disposições legais, garantindo que a contratação esteja devidamente fundamentada na análise preliminar de viabilidade e, ao mesmo tempo, regulada por condições técnicas claras e objetivas no edital.</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i)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 estimativa do valor da presente contratação foi realizada com base em pesquisa de mercado, por meio da coleta de orçamentos diretamente junto a fornecedores especializados, complementada por consultas em bancos oficiais de preços, atas de registro de preços vigentes e contratações similares de outros entes públicos.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Foram considerados os preços unitários referenciais, devidamente consolidados em planilha própria, a qual contempla os parâmetros utilizados para a obtenção dos valores estimados, tais como quantidades demandadas, especificações técnicas constantes no Anexo I, custos médios de mercado e prazos de fornecimento praticados pelo setor.</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As memórias de cálculo e os documentos comprobatórios que dão suporte às estimativas encontram-se anexados ao processo em documento separado e classificado, em conformidade com o disposto no art. 18, inciso VI, da Lei Federal nº 14.133/2021, garantindo a rastreabilidade, a transparência e a aderência ao princípio da economicidade que rege a Administração Pública.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Sem mais para o momento, renovo votos de elevada estima e distinta consideração, colocando-me à inteira disposição para quaisquer esclarecimentos adicionais que se façam necessários.</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Atenciosamente,</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________________________</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Fernando Weimer</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t>3006/6</w:t>
      </w:r>
    </w:p>
    <w:p>
      <w:pPr>
        <w:pStyle w:val="Normal"/>
        <w:spacing w:lineRule="auto" w:line="276"/>
        <w:jc w:val="both"/>
        <w:rPr/>
      </w:pPr>
      <w:r>
        <w:rPr>
          <w:rStyle w:val="Strong"/>
          <w:rFonts w:ascii="Arial" w:hAnsi="Arial"/>
          <w:b w:val="false"/>
          <w:bCs w:val="false"/>
          <w:color w:val="000000"/>
          <w:sz w:val="22"/>
          <w:szCs w:val="22"/>
          <w:shd w:fill="auto" w:val="clear"/>
        </w:rPr>
        <w:t>Solicitante</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449" w:gutter="0" w:header="454" w:top="2268" w:footer="283" w:bottom="1417"/>
          <w:pgNumType w:fmt="decimal"/>
          <w:formProt w:val="false"/>
          <w:textDirection w:val="lrTb"/>
          <w:docGrid w:type="default" w:linePitch="360" w:charSpace="0"/>
        </w:sect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olor w:val="000000"/>
          <w:sz w:val="22"/>
          <w:szCs w:val="22"/>
          <w:highlight w:val="none"/>
          <w:shd w:fill="auto" w:val="clear"/>
        </w:rPr>
      </w:pPr>
      <w:r>
        <w:rPr>
          <w:rFonts w:cs="Arial" w:ascii="Arial" w:hAnsi="Arial"/>
          <w:b/>
          <w:color w:val="000000"/>
          <w:sz w:val="22"/>
          <w:szCs w:val="22"/>
          <w:shd w:fill="auto" w:val="clear"/>
        </w:rPr>
        <w:t>ANEXO I</w:t>
      </w:r>
    </w:p>
    <w:p>
      <w:pPr>
        <w:pStyle w:val="ListParagraph"/>
        <w:numPr>
          <w:ilvl w:val="0"/>
          <w:numId w:val="2"/>
        </w:numPr>
        <w:spacing w:lineRule="auto" w:line="276" w:before="360" w:after="120"/>
        <w:ind w:left="357" w:right="0" w:hanging="357"/>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Especificações técnicas da luminária LED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presente especificação visa estabelecer critérios técnicos e exigências mínimas a serem atendidas pela luminária de iluminação pública com tecnologia LED.</w:t>
      </w:r>
    </w:p>
    <w:p>
      <w:pPr>
        <w:pStyle w:val="ListParagraph"/>
        <w:numPr>
          <w:ilvl w:val="1"/>
          <w:numId w:val="2"/>
        </w:numPr>
        <w:spacing w:lineRule="auto" w:line="276" w:before="360" w:after="360"/>
        <w:ind w:left="794" w:right="0" w:hanging="79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Requisitos construtivos</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Corpo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corpo das luminárias deve ser confeccionado em liga de alumínio injetado a alta pressão.</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Módulo LED</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Serão admitidas as seguintes tecnologias:</w:t>
      </w:r>
    </w:p>
    <w:p>
      <w:pPr>
        <w:pStyle w:val="Normal"/>
        <w:widowControl/>
        <w:numPr>
          <w:ilvl w:val="2"/>
          <w:numId w:val="2"/>
        </w:numPr>
        <w:suppressAutoHyphens w:val="true"/>
        <w:overflowPunct w:val="false"/>
        <w:bidi w:val="0"/>
        <w:spacing w:lineRule="auto" w:line="276" w:before="0" w:after="240"/>
        <w:ind w:left="0" w:right="0" w:hanging="0"/>
        <w:jc w:val="both"/>
        <w:rPr>
          <w:rFonts w:ascii="Arial" w:hAnsi="Arial"/>
          <w:b/>
          <w:bCs/>
          <w:color w:val="000000"/>
          <w:sz w:val="22"/>
          <w:szCs w:val="22"/>
          <w:highlight w:val="none"/>
          <w:shd w:fill="auto" w:val="clear"/>
        </w:rPr>
      </w:pPr>
      <w:r>
        <w:rPr>
          <w:rFonts w:cs="Arial" w:ascii="Arial" w:hAnsi="Arial"/>
          <w:b/>
          <w:bCs/>
          <w:color w:val="000000"/>
          <w:sz w:val="22"/>
          <w:szCs w:val="22"/>
          <w:shd w:fill="auto" w:val="clear"/>
        </w:rPr>
        <w:t>Tecnologia SMD</w:t>
      </w:r>
    </w:p>
    <w:p>
      <w:pPr>
        <w:pStyle w:val="Normal"/>
        <w:numPr>
          <w:ilvl w:val="0"/>
          <w:numId w:val="2"/>
        </w:numPr>
        <w:spacing w:lineRule="auto" w:line="276" w:before="0" w:after="240"/>
        <w:jc w:val="both"/>
        <w:rPr>
          <w:rFonts w:ascii="Arial" w:hAnsi="Arial"/>
          <w:color w:val="000000"/>
          <w:sz w:val="22"/>
          <w:szCs w:val="22"/>
          <w:highlight w:val="none"/>
          <w:shd w:fill="auto" w:val="clear"/>
        </w:rPr>
      </w:pPr>
      <w:r>
        <w:rPr>
          <w:rFonts w:cs="Arial" w:ascii="Arial" w:hAnsi="Arial"/>
          <w:color w:val="000000"/>
          <w:sz w:val="22"/>
          <w:szCs w:val="22"/>
          <w:shd w:fill="auto" w:val="clear"/>
        </w:rPr>
        <w:t>A placa do circuito dos LEDs deverá ser do tipo MCPCB (Metal Clad Printed Circuit Board) de alumínio, montados por processo SMD (Surface Mounting Devices). Não serão aceitos módulos com PCB de material fenolite ou fibra de vidro.</w:t>
      </w:r>
    </w:p>
    <w:p>
      <w:pPr>
        <w:pStyle w:val="Normal"/>
        <w:numPr>
          <w:ilvl w:val="0"/>
          <w:numId w:val="2"/>
        </w:numPr>
        <w:spacing w:lineRule="auto" w:line="276" w:before="0" w:after="240"/>
        <w:jc w:val="both"/>
        <w:rPr>
          <w:rFonts w:ascii="Arial" w:hAnsi="Arial"/>
          <w:b/>
          <w:bCs/>
          <w:color w:val="000000"/>
          <w:sz w:val="22"/>
          <w:szCs w:val="22"/>
          <w:highlight w:val="none"/>
          <w:shd w:fill="auto" w:val="clear"/>
        </w:rPr>
      </w:pPr>
      <w:r>
        <w:rPr>
          <w:rFonts w:cs="Arial" w:ascii="Arial" w:hAnsi="Arial"/>
          <w:b/>
          <w:bCs/>
          <w:color w:val="000000"/>
          <w:sz w:val="22"/>
          <w:szCs w:val="22"/>
          <w:shd w:fill="auto" w:val="clear"/>
        </w:rPr>
        <w:t xml:space="preserve">Tecnologia LED COB </w:t>
      </w:r>
    </w:p>
    <w:p>
      <w:pPr>
        <w:pStyle w:val="Normal"/>
        <w:numPr>
          <w:ilvl w:val="0"/>
          <w:numId w:val="2"/>
        </w:numPr>
        <w:spacing w:lineRule="auto" w:line="276" w:before="0" w:after="240"/>
        <w:jc w:val="both"/>
        <w:rPr>
          <w:rFonts w:ascii="Arial" w:hAnsi="Arial"/>
          <w:color w:val="000000"/>
          <w:sz w:val="22"/>
          <w:szCs w:val="22"/>
          <w:highlight w:val="none"/>
          <w:shd w:fill="auto" w:val="clear"/>
        </w:rPr>
      </w:pPr>
      <w:bookmarkStart w:id="7" w:name="_Hlk42005971"/>
      <w:r>
        <w:rPr>
          <w:rFonts w:cs="Arial" w:ascii="Arial" w:hAnsi="Arial"/>
          <w:color w:val="000000"/>
          <w:sz w:val="22"/>
          <w:szCs w:val="22"/>
          <w:shd w:fill="auto" w:val="clear"/>
        </w:rPr>
        <w:t>Tecnologia Chip on Board (COB) para encapsulamento LED.</w:t>
      </w:r>
      <w:bookmarkEnd w:id="7"/>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Conjunto óptico</w:t>
      </w:r>
    </w:p>
    <w:p>
      <w:pPr>
        <w:pStyle w:val="ListParagraph"/>
        <w:numPr>
          <w:ilvl w:val="3"/>
          <w:numId w:val="2"/>
        </w:numPr>
        <w:spacing w:lineRule="auto" w:line="276" w:before="360" w:after="120"/>
        <w:ind w:left="992" w:right="0" w:hanging="992"/>
        <w:contextualSpacing w:val="false"/>
        <w:rPr>
          <w:rFonts w:ascii="Arial" w:hAnsi="Arial"/>
          <w:color w:val="000000"/>
          <w:sz w:val="22"/>
          <w:szCs w:val="22"/>
          <w:highlight w:val="none"/>
          <w:shd w:fill="auto" w:val="clear"/>
        </w:rPr>
      </w:pPr>
      <w:r>
        <w:rPr>
          <w:rFonts w:cs="Arial" w:ascii="Arial" w:hAnsi="Arial"/>
          <w:bCs/>
          <w:color w:val="000000"/>
          <w:sz w:val="22"/>
          <w:szCs w:val="22"/>
          <w:shd w:fill="auto" w:val="clear"/>
        </w:rPr>
        <w:t>Luminárias que utilizem tecnologia SMD</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Neste caso, o conjunto óptico da luminária LED deverá ser fechado por um refrator (confeccionado em vidro temperado ou policarbonato) ou por uma lente de policarbonato, ou seja, poderão ser fornecidos luminárias, cujo conjunto óptico seja fechado por meio de um refrator (confeccionado em vidro temperado ou policarbonato) e luminárias, cujo conjunto óptico seja fechado por meio de uma lente de policarbonato.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Na hipótese do conjunto óptico da luminária ser fechado por meio de uma lente de policarbonato, esse componente deverá proteger toda a superfície do conjunto óptico visando garantir sua segurança e estanqueidade, de modo a prevenir a ocorrência de acidente, vandalismo, deterioração, além de infiltração de resíduos que prejudique seu desempenho. Neste caso, o refrator é opcional.</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Se porventura, a lente de policarbonato não proteger toda a superfície do conjunto óptico, de modo a garantir sua segurança e estanqueidade, o refrator (confeccionado em vidro temperado ou policarbonato) passa a ser obrigatório.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No caso de as luminárias serem fechadas por meio de um refrator confeccionado em policarbonato ou por meio de uma lente confeccionada em policarbonato, por conta da aplicação externa sujeita à exposição ao tempo, deverá seguir as indicações da norma ASTM G154, ciclo 3, na câmara de UV (radiação ultravioleta) com um tempo de exposição de 2.016 horas, conforme Portaria Nº 62, de 17 de fevereiro de 2022 – Luminárias para a Iluminação Pública Viária – Consolidado. </w:t>
      </w:r>
    </w:p>
    <w:p>
      <w:pPr>
        <w:pStyle w:val="ListParagraph"/>
        <w:numPr>
          <w:ilvl w:val="3"/>
          <w:numId w:val="2"/>
        </w:numPr>
        <w:spacing w:lineRule="auto" w:line="276" w:before="360" w:after="120"/>
        <w:ind w:left="992" w:right="0" w:hanging="992"/>
        <w:contextualSpacing w:val="false"/>
        <w:rPr>
          <w:rFonts w:ascii="Arial" w:hAnsi="Arial"/>
          <w:color w:val="000000"/>
          <w:sz w:val="22"/>
          <w:szCs w:val="22"/>
          <w:highlight w:val="none"/>
          <w:shd w:fill="auto" w:val="clear"/>
        </w:rPr>
      </w:pPr>
      <w:r>
        <w:rPr>
          <w:rFonts w:cs="Arial" w:ascii="Arial" w:hAnsi="Arial"/>
          <w:bCs/>
          <w:color w:val="000000"/>
          <w:sz w:val="22"/>
          <w:szCs w:val="22"/>
          <w:shd w:fill="auto" w:val="clear"/>
        </w:rPr>
        <w:t>Luminárias que utilizam a tecnologia Chip on Board (COB)</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Luminárias que utilizam a tecnologia Chip on Board (COB) para encapsulamento do LED o sistema óptico secundário deverá ser confeccionado em vidro borosilicato. </w:t>
      </w:r>
      <w:bookmarkStart w:id="8" w:name="_Hlk41405288"/>
      <w:r>
        <w:rPr>
          <w:rFonts w:cs="Arial" w:ascii="Arial" w:hAnsi="Arial"/>
          <w:color w:val="000000"/>
          <w:sz w:val="22"/>
          <w:szCs w:val="22"/>
          <w:shd w:fill="auto" w:val="clear"/>
        </w:rPr>
        <w:t>O respectivo material trata-se de vidro temperado com propriedades termorresistente, com elevada resistência química, além de possuir coeficiente de expansão térmico mínimo.</w:t>
      </w:r>
      <w:bookmarkEnd w:id="8"/>
    </w:p>
    <w:p>
      <w:pPr>
        <w:pStyle w:val="ListParagraph"/>
        <w:numPr>
          <w:ilvl w:val="3"/>
          <w:numId w:val="2"/>
        </w:numPr>
        <w:spacing w:lineRule="auto" w:line="276" w:before="360" w:after="120"/>
        <w:ind w:left="992" w:right="0" w:hanging="992"/>
        <w:contextualSpacing w:val="false"/>
        <w:rPr>
          <w:rFonts w:ascii="Arial" w:hAnsi="Arial"/>
          <w:color w:val="000000"/>
          <w:sz w:val="22"/>
          <w:szCs w:val="22"/>
          <w:highlight w:val="none"/>
          <w:shd w:fill="auto" w:val="clear"/>
        </w:rPr>
      </w:pPr>
      <w:r>
        <w:rPr>
          <w:rFonts w:cs="Arial" w:ascii="Arial" w:hAnsi="Arial"/>
          <w:bCs/>
          <w:color w:val="000000"/>
          <w:sz w:val="22"/>
          <w:szCs w:val="22"/>
          <w:shd w:fill="auto" w:val="clear"/>
        </w:rPr>
        <w:t>A transparência mínima inicial das lentes deverá ser de 90%.</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Grau de proteção das luminárias</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invólucro da luminária deve assegurar o grau de proteção contra a penetração de pó, objetos sólidos e umidade, de acordo com a classificação da luminária e o código IP marcado na luminária, conforme a ABNT NBR IEC 60598-1.</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alojamentos das partes vitais (LED, sistema óptico secundário e controlador) deverão ter, no mínimo grau de proteção IP-66. As luminárias devem ser ensaiadas, para este item, conforme ABNT NBR IEC 60598-1.</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Nota: Caso o controlador seja IP-65, ou superior, o alojamento do controlador na luminária deverá ser no mínimo, IP-44.</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Juntas de vedação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juntas de vedação devem ser de borracha de silicone, resistentes a uma temperatura mínima de 200°C, devem garantir o grau de proteção especificado neste documento e conservar inalteradas suas características ao longo da vida útil da luminária.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juntas de vedação devem ser fabricadas e instaladas de modo que permaneçam em sua posição normal nas operações de abertura e de fechamento da luminária, sem apresentar deformações permanentes ou deslocamento.</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Dissipadores</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dissipadores de calor do conjunto, circuitos e LEDs deverão ser de alumínio, vedado o uso de ventiladores, bombas ou líquido de arrefecimento. Deverão ser protegidos de forma a não acumular detritos.</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Acabamento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Pintura eletrostática em poliéster a pó, com proteção UV, resistente a intempéries e corrosão, com camada mínima de 60 micrômetros, na cor cinza ou grafite. Caso sejam empregadas peças galvanizadas, estas deverão apresentar o mesmo tipo de pintura e tom do corpo da luminária. Não serão aceitas peças que apresentem imperfeições como manchas, arranhões, bolhas etc.</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Alojamento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Local de instalação de todo equipamento auxiliar (driver, conexões, protetor de surto) a ser instalado internamente à luminária, o qual deverá oferecer fácil acesso por meio de parafusos ou fechos de pressão.</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Conexões</w:t>
      </w:r>
    </w:p>
    <w:p>
      <w:pPr>
        <w:pStyle w:val="Normal"/>
        <w:numPr>
          <w:ilvl w:val="2"/>
          <w:numId w:val="2"/>
        </w:numPr>
        <w:spacing w:lineRule="auto" w:line="276" w:before="0" w:after="240"/>
        <w:jc w:val="both"/>
        <w:rPr>
          <w:rFonts w:ascii="Arial" w:hAnsi="Arial"/>
          <w:color w:val="000000"/>
          <w:sz w:val="22"/>
          <w:szCs w:val="22"/>
          <w:highlight w:val="none"/>
          <w:shd w:fill="auto" w:val="clear"/>
        </w:rPr>
      </w:pPr>
      <w:r>
        <w:rPr>
          <w:rFonts w:cs="Arial" w:ascii="Arial" w:hAnsi="Arial"/>
          <w:color w:val="000000"/>
          <w:sz w:val="22"/>
          <w:szCs w:val="22"/>
          <w:shd w:fill="auto" w:val="clear"/>
        </w:rPr>
        <w:t>As conexões mecânicas poderão ser fechos de pressão inseridos no próprio corpo da luminária (em aço inox e/ou alumínio) ou parafusos (em aço inox).</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Fiação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Cabo isolado de cobre flexível, em conformidade com norma vigente e certificação do INMETRO. Não serão aceitos conectores do tipo torção ou luva nas emendas dos cabos.</w:t>
      </w:r>
    </w:p>
    <w:p>
      <w:pPr>
        <w:pStyle w:val="Normal"/>
        <w:numPr>
          <w:ilvl w:val="0"/>
          <w:numId w:val="2"/>
        </w:numPr>
        <w:spacing w:lineRule="auto" w:line="276" w:before="0" w:after="240"/>
        <w:jc w:val="both"/>
        <w:rPr>
          <w:rFonts w:ascii="Arial" w:hAnsi="Arial"/>
          <w:color w:val="000000"/>
          <w:sz w:val="22"/>
          <w:szCs w:val="22"/>
          <w:highlight w:val="none"/>
          <w:shd w:fill="auto" w:val="clear"/>
        </w:rPr>
      </w:pPr>
      <w:r>
        <w:rPr>
          <w:rFonts w:cs="Arial" w:ascii="Arial" w:hAnsi="Arial"/>
          <w:color w:val="000000"/>
          <w:sz w:val="22"/>
          <w:szCs w:val="22"/>
          <w:shd w:fill="auto" w:val="clear"/>
        </w:rPr>
        <w:t>Os cabos deverão suportar temperaturas equivalentes à temperatura de operação do equipamento.</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Resistência a impactos mecânicos (Classificação IK)</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IK-08.</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Montagem</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devem possibilitar a fixação em braços com diâmetro de 48 ± 2 mm e 60 ± 2 mm, através de no mínimo 02 (dois) parafusos de fixação em aço inox, com comprimento de encaixe suficiente para garantir a total segurança do sistema.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As luminárias ornamentais devem possibilitar a fixação em topo de poste com diâmetro de 48 ± 2 mm, através de no mínimo 02 (dois) parafusos de fixação em aço inox, com comprimento de encaixe suficiente para garantir a total segurança do sistema. </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Ajuste do ângulo de montagem</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mercado de iluminação disponibiliza luminárias LED com ou sem ajuste de ângulo de montagem direto na luminária e com ou sem uso de adaptador.</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depender das características físicas do local de instalação, o ajuste de ângulo de montagem é indispensável para um bom resultado luminotécnico, entretanto, nem sempre o ajuste é necessário.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Diante das 2 (duas) possibilidades, com ou sem ajuste de ângulo, esta especificação estabelece as seguintes premissas: </w:t>
      </w:r>
    </w:p>
    <w:p>
      <w:pPr>
        <w:pStyle w:val="ListParagraph"/>
        <w:numPr>
          <w:ilvl w:val="0"/>
          <w:numId w:val="2"/>
        </w:numPr>
        <w:spacing w:lineRule="auto" w:line="276" w:before="0" w:after="0"/>
        <w:ind w:left="720" w:right="0" w:hanging="72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projeto luminotécnico estabelecerá “cenários/padrões” a serem atendidos pelas luminárias LED;</w:t>
      </w:r>
    </w:p>
    <w:p>
      <w:pPr>
        <w:pStyle w:val="ListParagraph"/>
        <w:numPr>
          <w:ilvl w:val="0"/>
          <w:numId w:val="2"/>
        </w:numPr>
        <w:spacing w:lineRule="auto" w:line="276" w:before="0" w:after="0"/>
        <w:ind w:left="720" w:right="0" w:hanging="72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Para cada “cenário/padrão” o projeto luminotécnico indicará a necessidade ou não das luminárias</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possuírem ajuste de ângulo de montagem;</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Na hipótese de o “cenário/padrão” necessitar de luminárias com ajuste de ângulo, a respectiva exigência será indicada e </w:t>
      </w:r>
      <w:r>
        <w:rPr>
          <w:rFonts w:cs="Arial" w:ascii="Arial" w:hAnsi="Arial"/>
          <w:color w:val="000000"/>
          <w:sz w:val="22"/>
          <w:szCs w:val="22"/>
          <w:u w:val="single"/>
          <w:shd w:fill="auto" w:val="clear"/>
        </w:rPr>
        <w:t>somente luminárias com esta característica</w:t>
      </w:r>
      <w:r>
        <w:rPr>
          <w:rFonts w:cs="Arial" w:ascii="Arial" w:hAnsi="Arial"/>
          <w:color w:val="000000"/>
          <w:sz w:val="22"/>
          <w:szCs w:val="22"/>
          <w:shd w:fill="auto" w:val="clear"/>
        </w:rPr>
        <w:t xml:space="preserve"> poderão ser fornecidas para atender ao respectivo “cenário/padrão”. Neste caso, as luminárias </w:t>
      </w:r>
      <w:r>
        <w:rPr>
          <w:rFonts w:cs="Arial" w:ascii="Arial" w:hAnsi="Arial"/>
          <w:b/>
          <w:color w:val="000000"/>
          <w:sz w:val="22"/>
          <w:szCs w:val="22"/>
          <w:shd w:fill="auto" w:val="clear"/>
        </w:rPr>
        <w:t>deverão</w:t>
      </w:r>
      <w:r>
        <w:rPr>
          <w:rFonts w:cs="Arial" w:ascii="Arial" w:hAnsi="Arial"/>
          <w:color w:val="000000"/>
          <w:sz w:val="22"/>
          <w:szCs w:val="22"/>
          <w:shd w:fill="auto" w:val="clear"/>
        </w:rPr>
        <w:t xml:space="preserve"> possuir ajuste de ângulo de montagem, com ou sem uso de adaptador. </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Na hipótese de o “cenário/padrão” NÃO necessitar de luminárias com ajuste de ângulo, a respectiva exigência NÃO será indicada e </w:t>
      </w:r>
      <w:r>
        <w:rPr>
          <w:rFonts w:cs="Arial" w:ascii="Arial" w:hAnsi="Arial"/>
          <w:color w:val="000000"/>
          <w:sz w:val="22"/>
          <w:szCs w:val="22"/>
          <w:u w:val="single"/>
          <w:shd w:fill="auto" w:val="clear"/>
        </w:rPr>
        <w:t>luminárias com ou sem esta característica</w:t>
      </w:r>
      <w:r>
        <w:rPr>
          <w:rFonts w:cs="Arial" w:ascii="Arial" w:hAnsi="Arial"/>
          <w:color w:val="000000"/>
          <w:sz w:val="22"/>
          <w:szCs w:val="22"/>
          <w:shd w:fill="auto" w:val="clear"/>
        </w:rPr>
        <w:t xml:space="preserve"> poderão ser fornecidas para o respectivo “cenário/padrão”. Neste caso, as luminárias </w:t>
      </w:r>
      <w:r>
        <w:rPr>
          <w:rFonts w:cs="Arial" w:ascii="Arial" w:hAnsi="Arial"/>
          <w:b/>
          <w:color w:val="000000"/>
          <w:sz w:val="22"/>
          <w:szCs w:val="22"/>
          <w:shd w:fill="auto" w:val="clear"/>
        </w:rPr>
        <w:t>poderão</w:t>
      </w:r>
      <w:r>
        <w:rPr>
          <w:rFonts w:cs="Arial" w:ascii="Arial" w:hAnsi="Arial"/>
          <w:color w:val="000000"/>
          <w:sz w:val="22"/>
          <w:szCs w:val="22"/>
          <w:shd w:fill="auto" w:val="clear"/>
        </w:rPr>
        <w:t xml:space="preserve"> possuir ajuste de ângulo de montagem, com ou sem uso de adaptador.</w:t>
      </w:r>
    </w:p>
    <w:p>
      <w:pPr>
        <w:pStyle w:val="ListParagraph"/>
        <w:widowControl w:val="false"/>
        <w:numPr>
          <w:ilvl w:val="0"/>
          <w:numId w:val="2"/>
        </w:numPr>
        <w:suppressAutoHyphens w:val="true"/>
        <w:overflowPunct w:val="false"/>
        <w:bidi w:val="0"/>
        <w:spacing w:lineRule="auto" w:line="276" w:before="0" w:after="24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Fundamentado no princípio da economicidade, competitividade e eficiência nas aquisições públicas, sempre que possível, será dado preferência por construir “cenários/padrões” de modo que luminárias com ou sem ajuste de ângulo possam competir juntas para o mesmo “cenário/padrão”, de forma a maximizar a competição e desta maneira aumentar a eficiência nas aquisições. </w:t>
      </w:r>
    </w:p>
    <w:p>
      <w:pPr>
        <w:pStyle w:val="ListParagraph"/>
        <w:numPr>
          <w:ilvl w:val="3"/>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Ajuste de ângulo de montagem na simulação luminotécnica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seguir, apresenta-se as condições para uma correta simulação luminotécnica.</w:t>
      </w:r>
      <w:r>
        <w:rPr>
          <w:rFonts w:cs="Arial" w:ascii="Arial" w:hAnsi="Arial"/>
          <w:color w:val="000000"/>
          <w:sz w:val="22"/>
          <w:szCs w:val="22"/>
          <w:shd w:fill="auto" w:val="clear"/>
        </w:rPr>
        <mc:AlternateContent>
          <mc:Choice Requires="wpg">
            <w:drawing>
              <wp:inline distT="0" distB="0" distL="0" distR="0">
                <wp:extent cx="5681980" cy="2439035"/>
                <wp:effectExtent l="0" t="0" r="0" b="0"/>
                <wp:docPr id="5" name="Agrupar 48"/>
                <a:graphic xmlns:a="http://schemas.openxmlformats.org/drawingml/2006/main">
                  <a:graphicData uri="http://schemas.microsoft.com/office/word/2010/wordprocessingGroup">
                    <wpg:wgp>
                      <wpg:cNvGrpSpPr/>
                      <wpg:grpSpPr>
                        <a:xfrm>
                          <a:off x="0" y="0"/>
                          <a:ext cx="5681880" cy="2439000"/>
                          <a:chOff x="0" y="0"/>
                          <a:chExt cx="5681880" cy="2439000"/>
                        </a:xfrm>
                      </wpg:grpSpPr>
                      <pic:pic xmlns:pic="http://schemas.openxmlformats.org/drawingml/2006/picture">
                        <pic:nvPicPr>
                          <pic:cNvPr id="6" name="Imagem 2" descr=""/>
                          <pic:cNvPicPr/>
                        </pic:nvPicPr>
                        <pic:blipFill>
                          <a:blip r:embed="rId14"/>
                          <a:srcRect l="18373" t="27507" r="17908" b="38104"/>
                          <a:stretch/>
                        </pic:blipFill>
                        <pic:spPr>
                          <a:xfrm>
                            <a:off x="1403280" y="740880"/>
                            <a:ext cx="2665800" cy="1436400"/>
                          </a:xfrm>
                          <a:prstGeom prst="rect">
                            <a:avLst/>
                          </a:prstGeom>
                          <a:ln w="0">
                            <a:noFill/>
                          </a:ln>
                        </pic:spPr>
                      </pic:pic>
                      <wps:wsp>
                        <wps:cNvSpPr/>
                        <wps:spPr>
                          <a:xfrm flipV="1">
                            <a:off x="2724120" y="428760"/>
                            <a:ext cx="720" cy="2010240"/>
                          </a:xfrm>
                          <a:prstGeom prst="line">
                            <a:avLst/>
                          </a:prstGeom>
                          <a:ln w="19080">
                            <a:solidFill>
                              <a:srgbClr val="e46c0a"/>
                            </a:solidFill>
                            <a:prstDash val="sysDot"/>
                            <a:round/>
                            <a:headEnd len="med" type="arrow" w="med"/>
                            <a:tailEnd len="med" type="arrow" w="med"/>
                          </a:ln>
                        </wps:spPr>
                        <wps:style>
                          <a:lnRef idx="0"/>
                          <a:fillRef idx="0"/>
                          <a:effectRef idx="0"/>
                          <a:fontRef idx="minor"/>
                        </wps:style>
                        <wps:bodyPr/>
                      </wps:wsp>
                      <wps:wsp>
                        <wps:cNvSpPr/>
                        <wps:spPr>
                          <a:xfrm flipV="1">
                            <a:off x="2724120" y="1872000"/>
                            <a:ext cx="2146320" cy="182880"/>
                          </a:xfrm>
                          <a:prstGeom prst="line">
                            <a:avLst/>
                          </a:prstGeom>
                          <a:ln w="19080">
                            <a:solidFill>
                              <a:srgbClr val="0070c0"/>
                            </a:solidFill>
                            <a:round/>
                            <a:tailEnd len="med" type="arrow" w="med"/>
                          </a:ln>
                        </wps:spPr>
                        <wps:style>
                          <a:lnRef idx="0"/>
                          <a:fillRef idx="0"/>
                          <a:effectRef idx="0"/>
                          <a:fontRef idx="minor"/>
                        </wps:style>
                        <wps:bodyPr/>
                      </wps:wsp>
                      <wps:wsp>
                        <wps:cNvSpPr/>
                        <wps:spPr>
                          <a:xfrm flipH="1" flipV="1">
                            <a:off x="685080" y="1708200"/>
                            <a:ext cx="2034000" cy="345960"/>
                          </a:xfrm>
                          <a:prstGeom prst="line">
                            <a:avLst/>
                          </a:prstGeom>
                          <a:ln w="19080">
                            <a:solidFill>
                              <a:srgbClr val="00b050"/>
                            </a:solidFill>
                            <a:round/>
                            <a:tailEnd len="med" type="arrow" w="med"/>
                          </a:ln>
                        </wps:spPr>
                        <wps:style>
                          <a:lnRef idx="0"/>
                          <a:fillRef idx="0"/>
                          <a:effectRef idx="0"/>
                          <a:fontRef idx="minor"/>
                        </wps:style>
                        <wps:bodyPr/>
                      </wps:wsp>
                      <wps:wsp>
                        <wps:cNvSpPr/>
                        <wps:spPr>
                          <a:xfrm>
                            <a:off x="264240" y="2053440"/>
                            <a:ext cx="5217120" cy="1800"/>
                          </a:xfrm>
                          <a:prstGeom prst="line">
                            <a:avLst/>
                          </a:prstGeom>
                          <a:ln w="12600">
                            <a:solidFill>
                              <a:srgbClr val="000000"/>
                            </a:solidFill>
                            <a:prstDash val="dashDot"/>
                            <a:round/>
                          </a:ln>
                        </wps:spPr>
                        <wps:style>
                          <a:lnRef idx="0"/>
                          <a:fillRef idx="0"/>
                          <a:effectRef idx="0"/>
                          <a:fontRef idx="minor"/>
                        </wps:style>
                        <wps:bodyPr/>
                      </wps:wsp>
                      <wps:wsp>
                        <wps:cNvPr id="7" name="Arco 3"/>
                        <wps:cNvSpPr/>
                        <wps:spPr>
                          <a:xfrm>
                            <a:off x="4497120" y="1900440"/>
                            <a:ext cx="170280" cy="154440"/>
                          </a:xfrm>
                          <a:custGeom>
                            <a:avLst/>
                            <a:gdLst>
                              <a:gd name="textAreaLeft" fmla="*/ 0 w 96480"/>
                              <a:gd name="textAreaRight" fmla="*/ 96840 w 96480"/>
                              <a:gd name="textAreaTop" fmla="*/ 0 h 87480"/>
                              <a:gd name="textAreaBottom" fmla="*/ 87840 h 87480"/>
                            </a:gdLst>
                            <a:ahLst/>
                            <a:rect l="textAreaLeft" t="textAreaTop" r="textAreaRight" b="textAreaBottom"/>
                            <a:pathLst>
                              <a:path stroke="0" w="665" h="345">
                                <a:moveTo>
                                  <a:pt x="172" y="4"/>
                                </a:moveTo>
                                <a:lnTo>
                                  <a:pt x="138" y="125"/>
                                </a:lnTo>
                                <a:lnTo>
                                  <a:pt x="-493" y="345"/>
                                </a:lnTo>
                                <a:close/>
                              </a:path>
                              <a:path fill="none" w="665" h="345">
                                <a:moveTo>
                                  <a:pt x="138" y="125"/>
                                </a:moveTo>
                                <a:lnTo>
                                  <a:pt x="172" y="4"/>
                                </a:lnTo>
                              </a:path>
                            </a:pathLst>
                          </a:custGeom>
                          <a:noFill/>
                          <a:ln w="19080">
                            <a:solidFill>
                              <a:srgbClr val="0070c0"/>
                            </a:solidFill>
                            <a:prstDash val="sysDot"/>
                            <a:round/>
                          </a:ln>
                        </wps:spPr>
                        <wps:style>
                          <a:lnRef idx="0"/>
                          <a:fillRef idx="0"/>
                          <a:effectRef idx="0"/>
                          <a:fontRef idx="minor"/>
                        </wps:style>
                        <wps:bodyPr/>
                      </wps:wsp>
                      <wps:wsp>
                        <wps:cNvPr id="8" name=""/>
                        <wps:cNvSpPr/>
                        <wps:spPr>
                          <a:xfrm>
                            <a:off x="3318480" y="542160"/>
                            <a:ext cx="2363400" cy="537840"/>
                          </a:xfrm>
                          <a:prstGeom prst="rect">
                            <a:avLst/>
                          </a:prstGeom>
                          <a:noFill/>
                          <a:ln w="0">
                            <a:noFill/>
                          </a:ln>
                        </wps:spPr>
                        <wps:style>
                          <a:lnRef idx="0"/>
                          <a:fillRef idx="0"/>
                          <a:effectRef idx="0"/>
                          <a:fontRef idx="minor"/>
                        </wps:style>
                        <wps:bodyPr/>
                      </wps:wsp>
                      <wps:wsp>
                        <wps:cNvPr id="9" name=""/>
                        <wps:cNvSpPr/>
                        <wps:spPr>
                          <a:xfrm>
                            <a:off x="720" y="542160"/>
                            <a:ext cx="2424960" cy="468000"/>
                          </a:xfrm>
                          <a:prstGeom prst="rect">
                            <a:avLst/>
                          </a:prstGeom>
                          <a:noFill/>
                          <a:ln w="0">
                            <a:noFill/>
                          </a:ln>
                        </wps:spPr>
                        <wps:style>
                          <a:lnRef idx="0"/>
                          <a:fillRef idx="0"/>
                          <a:effectRef idx="0"/>
                          <a:fontRef idx="minor"/>
                        </wps:style>
                        <wps:bodyPr/>
                      </wps:wsp>
                      <wps:wsp>
                        <wps:cNvPr id="10" name=""/>
                        <wps:cNvSpPr/>
                        <wps:spPr>
                          <a:xfrm>
                            <a:off x="771480" y="2059200"/>
                            <a:ext cx="1329840" cy="281160"/>
                          </a:xfrm>
                          <a:prstGeom prst="rect">
                            <a:avLst/>
                          </a:prstGeom>
                          <a:noFill/>
                          <a:ln w="0">
                            <a:noFill/>
                          </a:ln>
                        </wps:spPr>
                        <wps:style>
                          <a:lnRef idx="0"/>
                          <a:fillRef idx="0"/>
                          <a:effectRef idx="0"/>
                          <a:fontRef idx="minor"/>
                        </wps:style>
                        <wps:bodyPr/>
                      </wps:wsp>
                      <wps:wsp>
                        <wps:cNvPr id="11" name=""/>
                        <wps:cNvSpPr/>
                        <wps:spPr>
                          <a:xfrm>
                            <a:off x="3438000" y="2084760"/>
                            <a:ext cx="1487880" cy="236160"/>
                          </a:xfrm>
                          <a:prstGeom prst="rect">
                            <a:avLst/>
                          </a:prstGeom>
                          <a:noFill/>
                          <a:ln w="0">
                            <a:noFill/>
                          </a:ln>
                        </wps:spPr>
                        <wps:style>
                          <a:lnRef idx="0"/>
                          <a:fillRef idx="0"/>
                          <a:effectRef idx="0"/>
                          <a:fontRef idx="minor"/>
                        </wps:style>
                        <wps:bodyPr/>
                      </wps:wsp>
                      <wps:wsp>
                        <wps:cNvPr id="12" name=""/>
                        <wps:cNvSpPr/>
                        <wps:spPr>
                          <a:xfrm>
                            <a:off x="27360" y="1801440"/>
                            <a:ext cx="871920" cy="236160"/>
                          </a:xfrm>
                          <a:prstGeom prst="rect">
                            <a:avLst/>
                          </a:prstGeom>
                          <a:noFill/>
                          <a:ln w="0">
                            <a:noFill/>
                          </a:ln>
                        </wps:spPr>
                        <wps:style>
                          <a:lnRef idx="0"/>
                          <a:fillRef idx="0"/>
                          <a:effectRef idx="0"/>
                          <a:fontRef idx="minor"/>
                        </wps:style>
                        <wps:bodyPr/>
                      </wps:wsp>
                      <wps:wsp>
                        <wps:cNvPr id="13" name=""/>
                        <wps:cNvSpPr/>
                        <wps:spPr>
                          <a:xfrm>
                            <a:off x="4765680" y="1857240"/>
                            <a:ext cx="665640" cy="255240"/>
                          </a:xfrm>
                          <a:prstGeom prst="rect">
                            <a:avLst/>
                          </a:prstGeom>
                          <a:noFill/>
                          <a:ln w="0">
                            <a:noFill/>
                          </a:ln>
                        </wps:spPr>
                        <wps:style>
                          <a:lnRef idx="0"/>
                          <a:fillRef idx="0"/>
                          <a:effectRef idx="0"/>
                          <a:fontRef idx="minor"/>
                        </wps:style>
                        <wps:bodyPr/>
                      </wps:wsp>
                      <wps:wsp>
                        <wps:cNvPr id="14" name=""/>
                        <wps:cNvSpPr/>
                        <wps:spPr>
                          <a:xfrm>
                            <a:off x="3669840" y="875520"/>
                            <a:ext cx="2009160" cy="753120"/>
                          </a:xfrm>
                          <a:prstGeom prst="rect">
                            <a:avLst/>
                          </a:prstGeom>
                          <a:noFill/>
                          <a:ln w="0">
                            <a:noFill/>
                          </a:ln>
                        </wps:spPr>
                        <wps:style>
                          <a:lnRef idx="0"/>
                          <a:fillRef idx="0"/>
                          <a:effectRef idx="0"/>
                          <a:fontRef idx="minor"/>
                        </wps:style>
                        <wps:bodyPr/>
                      </wps:wsp>
                      <wps:wsp>
                        <wps:cNvPr id="15" name=""/>
                        <wps:cNvSpPr/>
                        <wps:spPr>
                          <a:xfrm>
                            <a:off x="0" y="858600"/>
                            <a:ext cx="1857960" cy="791280"/>
                          </a:xfrm>
                          <a:prstGeom prst="rect">
                            <a:avLst/>
                          </a:prstGeom>
                          <a:noFill/>
                          <a:ln w="0">
                            <a:noFill/>
                          </a:ln>
                        </wps:spPr>
                        <wps:style>
                          <a:lnRef idx="0"/>
                          <a:fillRef idx="0"/>
                          <a:effectRef idx="0"/>
                          <a:fontRef idx="minor"/>
                        </wps:style>
                        <wps:bodyPr/>
                      </wps:wsp>
                      <wps:wsp>
                        <wps:cNvSpPr/>
                        <wps:spPr>
                          <a:xfrm flipH="1" flipV="1">
                            <a:off x="667440" y="2051640"/>
                            <a:ext cx="2051640" cy="1800"/>
                          </a:xfrm>
                          <a:prstGeom prst="line">
                            <a:avLst/>
                          </a:prstGeom>
                          <a:ln w="19080">
                            <a:solidFill>
                              <a:srgbClr val="00b050"/>
                            </a:solidFill>
                            <a:round/>
                            <a:tailEnd len="med" type="arrow" w="med"/>
                          </a:ln>
                        </wps:spPr>
                        <wps:style>
                          <a:lnRef idx="0"/>
                          <a:fillRef idx="0"/>
                          <a:effectRef idx="0"/>
                          <a:fontRef idx="minor"/>
                        </wps:style>
                        <wps:bodyPr/>
                      </wps:wsp>
                      <wps:wsp>
                        <wps:cNvSpPr/>
                        <wps:spPr>
                          <a:xfrm>
                            <a:off x="2704320" y="2053440"/>
                            <a:ext cx="2158200" cy="2520"/>
                          </a:xfrm>
                          <a:prstGeom prst="line">
                            <a:avLst/>
                          </a:prstGeom>
                          <a:ln w="19080">
                            <a:solidFill>
                              <a:srgbClr val="0070c0"/>
                            </a:solidFill>
                            <a:round/>
                            <a:tailEnd len="med" type="arrow" w="med"/>
                          </a:ln>
                        </wps:spPr>
                        <wps:style>
                          <a:lnRef idx="0"/>
                          <a:fillRef idx="0"/>
                          <a:effectRef idx="0"/>
                          <a:fontRef idx="minor"/>
                        </wps:style>
                        <wps:bodyPr/>
                      </wps:wsp>
                      <wps:wsp>
                        <wps:cNvPr id="16" name="Arco 4"/>
                        <wps:cNvSpPr/>
                        <wps:spPr>
                          <a:xfrm rot="11580000">
                            <a:off x="821880" y="1746720"/>
                            <a:ext cx="213840" cy="297360"/>
                          </a:xfrm>
                          <a:custGeom>
                            <a:avLst/>
                            <a:gdLst>
                              <a:gd name="textAreaLeft" fmla="*/ 0 w 121320"/>
                              <a:gd name="textAreaRight" fmla="*/ 121680 w 121320"/>
                              <a:gd name="textAreaTop" fmla="*/ 0 h 168480"/>
                              <a:gd name="textAreaBottom" fmla="*/ 168840 h 168480"/>
                            </a:gdLst>
                            <a:ahLst/>
                            <a:rect l="textAreaLeft" t="textAreaTop" r="textAreaRight" b="textAreaBottom"/>
                            <a:pathLst>
                              <a:path stroke="0" w="665" h="345">
                                <a:moveTo>
                                  <a:pt x="58" y="60"/>
                                </a:moveTo>
                                <a:lnTo>
                                  <a:pt x="172" y="238"/>
                                </a:lnTo>
                                <a:lnTo>
                                  <a:pt x="-493" y="345"/>
                                </a:lnTo>
                                <a:close/>
                              </a:path>
                              <a:path fill="none" w="665" h="345">
                                <a:moveTo>
                                  <a:pt x="172" y="238"/>
                                </a:moveTo>
                                <a:lnTo>
                                  <a:pt x="58" y="60"/>
                                </a:lnTo>
                              </a:path>
                            </a:pathLst>
                          </a:custGeom>
                          <a:noFill/>
                          <a:ln w="19080">
                            <a:solidFill>
                              <a:srgbClr val="00b050"/>
                            </a:solidFill>
                            <a:prstDash val="sysDot"/>
                            <a:round/>
                          </a:ln>
                        </wps:spPr>
                        <wps:style>
                          <a:lnRef idx="0"/>
                          <a:fillRef idx="0"/>
                          <a:effectRef idx="0"/>
                          <a:fontRef idx="minor"/>
                        </wps:style>
                        <wps:bodyPr/>
                      </wps:wsp>
                      <wps:wsp>
                        <wps:cNvPr id="17" name=""/>
                        <wps:cNvSpPr/>
                        <wps:spPr>
                          <a:xfrm>
                            <a:off x="0" y="289440"/>
                            <a:ext cx="2152080" cy="278640"/>
                          </a:xfrm>
                          <a:prstGeom prst="rect">
                            <a:avLst/>
                          </a:prstGeom>
                          <a:noFill/>
                          <a:ln w="0">
                            <a:noFill/>
                          </a:ln>
                        </wps:spPr>
                        <wps:style>
                          <a:lnRef idx="0"/>
                          <a:fillRef idx="0"/>
                          <a:effectRef idx="0"/>
                          <a:fontRef idx="minor"/>
                        </wps:style>
                        <wps:bodyPr/>
                      </wps:wsp>
                      <wps:wsp>
                        <wps:cNvPr id="18" name=""/>
                        <wps:cNvSpPr/>
                        <wps:spPr>
                          <a:xfrm>
                            <a:off x="3574440" y="257760"/>
                            <a:ext cx="2107440" cy="319320"/>
                          </a:xfrm>
                          <a:prstGeom prst="rect">
                            <a:avLst/>
                          </a:prstGeom>
                          <a:noFill/>
                          <a:ln w="0">
                            <a:noFill/>
                          </a:ln>
                        </wps:spPr>
                        <wps:style>
                          <a:lnRef idx="0"/>
                          <a:fillRef idx="0"/>
                          <a:effectRef idx="0"/>
                          <a:fontRef idx="minor"/>
                        </wps:style>
                        <wps:bodyPr/>
                      </wps:wsp>
                      <wps:wsp>
                        <wps:cNvPr id="19" name=""/>
                        <wps:cNvSpPr/>
                        <wps:spPr>
                          <a:xfrm>
                            <a:off x="1172880" y="0"/>
                            <a:ext cx="3086280" cy="489600"/>
                          </a:xfrm>
                          <a:prstGeom prst="rect">
                            <a:avLst/>
                          </a:prstGeom>
                          <a:noFill/>
                          <a:ln w="0">
                            <a:noFill/>
                          </a:ln>
                        </wps:spPr>
                        <wps:style>
                          <a:lnRef idx="0"/>
                          <a:fillRef idx="0"/>
                          <a:effectRef idx="0"/>
                          <a:fontRef idx="minor"/>
                        </wps:style>
                        <wps:bodyPr/>
                      </wps:wsp>
                    </wpg:wgp>
                  </a:graphicData>
                </a:graphic>
              </wp:inline>
            </w:drawing>
          </mc:Choice>
          <mc:Fallback>
            <w:pict>
              <v:group id="shape_0" alt="Agrupar 48" style="position:absolute;margin-left:0pt;margin-top:-192.1pt;width:447.4pt;height:192pt" coordorigin="0,-3842" coordsize="8948,3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2" stroked="f" o:allowincell="f" style="position:absolute;left:2210;top:-2675;width:4197;height:2261;mso-wrap-style:none;v-text-anchor:middle;mso-position-vertical:top" type="_x0000_t75">
                  <v:imagedata r:id="rId15" o:detectmouseclick="t"/>
                  <v:stroke color="#3465a4" joinstyle="round" endcap="flat"/>
                  <w10:wrap type="square"/>
                </v:shape>
                <v:line id="shape_0" from="4290,-3167" to="4290,-2" stroked="t" o:allowincell="f" style="position:absolute;flip:y;mso-position-vertical:top">
                  <v:stroke color="#e46c0a" weight="19080" dashstyle="shortdot" startarrow="open" endarrow="open" startarrowwidth="medium" startarrowlength="medium" endarrowwidth="medium" endarrowlength="medium" joinstyle="round" endcap="flat"/>
                  <v:fill o:detectmouseclick="t" on="false"/>
                  <w10:wrap type="square"/>
                </v:line>
                <v:line id="shape_0" from="4290,-894" to="7669,-607" stroked="t" o:allowincell="f" style="position:absolute;flip:y;mso-position-vertical:top">
                  <v:stroke color="#0070c0" weight="19080" endarrow="open" endarrowwidth="medium" endarrowlength="medium" joinstyle="round" endcap="flat"/>
                  <v:fill o:detectmouseclick="t" on="false"/>
                  <w10:wrap type="square"/>
                </v:line>
                <v:line id="shape_0" from="1079,-1152" to="4281,-608" stroked="t" o:allowincell="f" style="position:absolute;flip:xy;mso-position-vertical:top">
                  <v:stroke color="#00b050" weight="19080" endarrow="open" endarrowwidth="medium" endarrowlength="medium" joinstyle="round" endcap="flat"/>
                  <v:fill o:detectmouseclick="t" on="false"/>
                  <w10:wrap type="square"/>
                </v:line>
                <v:line id="shape_0" from="416,-608" to="8631,-606" stroked="t" o:allowincell="f" style="position:absolute;mso-position-vertical:top">
                  <v:stroke color="black" weight="12600" dashstyle="dashdot" joinstyle="round" endcap="flat"/>
                  <v:fill o:detectmouseclick="t" on="false"/>
                  <w10:wrap type="square"/>
                </v:line>
                <v:rect id="shape_0" path="m0,0l-2147483645,0l-2147483645,-2147483646l0,-2147483646xe" stroked="f" o:allowincell="f" style="position:absolute;left:5226;top:-2988;width:3721;height:846;mso-wrap-style:none;v-text-anchor:middle;mso-position-vertical:top">
                  <v:fill o:detectmouseclick="t" on="false"/>
                  <v:stroke color="#3465a4" joinstyle="round" endcap="flat"/>
                  <w10:wrap type="square"/>
                </v:rect>
                <v:rect id="shape_0" path="m0,0l-2147483645,0l-2147483645,-2147483646l0,-2147483646xe" stroked="f" o:allowincell="f" style="position:absolute;left:1;top:-2988;width:3818;height:736;mso-wrap-style:none;v-text-anchor:middle;mso-position-vertical:top">
                  <v:fill o:detectmouseclick="t" on="false"/>
                  <v:stroke color="#3465a4" joinstyle="round" endcap="flat"/>
                  <w10:wrap type="square"/>
                </v:rect>
                <v:rect id="shape_0" path="m0,0l-2147483645,0l-2147483645,-2147483646l0,-2147483646xe" stroked="f" o:allowincell="f" style="position:absolute;left:1215;top:-599;width:2093;height:442;mso-wrap-style:none;v-text-anchor:middle;mso-position-vertical:top">
                  <v:fill o:detectmouseclick="t" on="false"/>
                  <v:stroke color="#3465a4" joinstyle="round" endcap="flat"/>
                  <w10:wrap type="square"/>
                </v:rect>
                <v:rect id="shape_0" path="m0,0l-2147483645,0l-2147483645,-2147483646l0,-2147483646xe" stroked="f" o:allowincell="f" style="position:absolute;left:5414;top:-559;width:2342;height:371;mso-wrap-style:none;v-text-anchor:middle;mso-position-vertical:top">
                  <v:fill o:detectmouseclick="t" on="false"/>
                  <v:stroke color="#3465a4" joinstyle="round" endcap="flat"/>
                  <w10:wrap type="square"/>
                </v:rect>
                <v:rect id="shape_0" path="m0,0l-2147483645,0l-2147483645,-2147483646l0,-2147483646xe" stroked="f" o:allowincell="f" style="position:absolute;left:43;top:-1005;width:1372;height:371;mso-wrap-style:none;v-text-anchor:middle;mso-position-vertical:top">
                  <v:fill o:detectmouseclick="t" on="false"/>
                  <v:stroke color="#3465a4" joinstyle="round" endcap="flat"/>
                  <w10:wrap type="square"/>
                </v:rect>
                <v:rect id="shape_0" path="m0,0l-2147483645,0l-2147483645,-2147483646l0,-2147483646xe" stroked="f" o:allowincell="f" style="position:absolute;left:7505;top:-917;width:1047;height:401;mso-wrap-style:none;v-text-anchor:middle;mso-position-vertical:top">
                  <v:fill o:detectmouseclick="t" on="false"/>
                  <v:stroke color="#3465a4" joinstyle="round" endcap="flat"/>
                  <w10:wrap type="square"/>
                </v:rect>
                <v:rect id="shape_0" path="m0,0l-2147483645,0l-2147483645,-2147483646l0,-2147483646xe" stroked="f" o:allowincell="f" style="position:absolute;left:5779;top:-2463;width:3163;height:1185;mso-wrap-style:none;v-text-anchor:middle;mso-position-vertical:top">
                  <v:fill o:detectmouseclick="t" on="false"/>
                  <v:stroke color="#3465a4" joinstyle="round" endcap="flat"/>
                  <w10:wrap type="square"/>
                </v:rect>
                <v:rect id="shape_0" path="m0,0l-2147483645,0l-2147483645,-2147483646l0,-2147483646xe" stroked="f" o:allowincell="f" style="position:absolute;left:0;top:-2490;width:2925;height:1245;mso-wrap-style:none;v-text-anchor:middle;mso-position-vertical:top">
                  <v:fill o:detectmouseclick="t" on="false"/>
                  <v:stroke color="#3465a4" joinstyle="round" endcap="flat"/>
                  <w10:wrap type="square"/>
                </v:rect>
                <v:line id="shape_0" from="1051,-611" to="4281,-609" stroked="t" o:allowincell="f" style="position:absolute;flip:xy;mso-position-vertical:top">
                  <v:stroke color="#00b050" weight="19080" endarrow="open" endarrowwidth="medium" endarrowlength="medium" joinstyle="round" endcap="flat"/>
                  <v:fill o:detectmouseclick="t" on="false"/>
                  <w10:wrap type="square"/>
                </v:line>
                <v:line id="shape_0" from="4259,-608" to="7657,-605" stroked="t" o:allowincell="f" style="position:absolute;mso-position-vertical:top">
                  <v:stroke color="#0070c0" weight="19080" endarrow="open" endarrowwidth="medium" endarrowlength="medium" joinstyle="round" endcap="flat"/>
                  <v:fill o:detectmouseclick="t" on="false"/>
                  <w10:wrap type="square"/>
                </v:line>
                <v:rect id="shape_0" path="m0,0l-2147483645,0l-2147483645,-2147483646l0,-2147483646xe" stroked="f" o:allowincell="f" style="position:absolute;left:0;top:-3386;width:3388;height:438;mso-wrap-style:none;v-text-anchor:middle;mso-position-vertical:top">
                  <v:fill o:detectmouseclick="t" on="false"/>
                  <v:stroke color="#3465a4" joinstyle="round" endcap="flat"/>
                  <w10:wrap type="square"/>
                </v:rect>
                <v:rect id="shape_0" path="m0,0l-2147483645,0l-2147483645,-2147483646l0,-2147483646xe" stroked="f" o:allowincell="f" style="position:absolute;left:5629;top:-3436;width:3318;height:502;mso-wrap-style:none;v-text-anchor:middle;mso-position-vertical:top">
                  <v:fill o:detectmouseclick="t" on="false"/>
                  <v:stroke color="#3465a4" joinstyle="round" endcap="flat"/>
                  <w10:wrap type="square"/>
                </v:rect>
                <v:rect id="shape_0" path="m0,0l-2147483645,0l-2147483645,-2147483646l0,-2147483646xe" stroked="f" o:allowincell="f" style="position:absolute;left:1847;top:-3842;width:4859;height:770;mso-wrap-style:none;v-text-anchor:middle;mso-position-vertical:top">
                  <v:fill o:detectmouseclick="t" on="false"/>
                  <v:stroke color="#3465a4" joinstyle="round" endcap="flat"/>
                  <w10:wrap type="square"/>
                </v:rect>
              </v:group>
            </w:pict>
          </mc:Fallback>
        </mc:AlternateContent>
        <mc:AlternateContent>
          <mc:Choice Requires="wps">
            <w:drawing>
              <wp:anchor behindDoc="0" distT="0" distB="0" distL="0" distR="0" simplePos="0" locked="0" layoutInCell="0" allowOverlap="1" relativeHeight="85">
                <wp:simplePos x="0" y="0"/>
                <wp:positionH relativeFrom="character">
                  <wp:posOffset>1143000</wp:posOffset>
                </wp:positionH>
                <wp:positionV relativeFrom="paragraph">
                  <wp:posOffset>149225</wp:posOffset>
                </wp:positionV>
                <wp:extent cx="3088005" cy="491490"/>
                <wp:effectExtent l="0" t="0" r="0" b="0"/>
                <wp:wrapNone/>
                <wp:docPr id="20" name="Quadro1"/>
                <a:graphic xmlns:a="http://schemas.openxmlformats.org/drawingml/2006/main">
                  <a:graphicData uri="http://schemas.microsoft.com/office/word/2010/wordprocessingShape">
                    <wps:wsp>
                      <wps:cNvSpPr/>
                      <wps:spPr>
                        <a:xfrm>
                          <a:off x="0" y="0"/>
                          <a:ext cx="3088080" cy="491400"/>
                        </a:xfrm>
                        <a:prstGeom prst="rect">
                          <a:avLst/>
                        </a:prstGeom>
                        <a:noFill/>
                        <a:ln w="0">
                          <a:noFill/>
                        </a:ln>
                      </wps:spPr>
                      <wps:style>
                        <a:lnRef idx="0"/>
                        <a:fillRef idx="0"/>
                        <a:effectRef idx="0"/>
                        <a:fontRef idx="minor"/>
                      </wps:style>
                      <wps:txbx>
                        <w:txbxContent>
                          <w:p>
                            <w:pPr>
                              <w:pStyle w:val="NormalWeb"/>
                              <w:spacing w:before="0" w:after="0"/>
                              <w:jc w:val="center"/>
                              <w:rPr/>
                            </w:pPr>
                            <w:r>
                              <w:rPr>
                                <w:rFonts w:cs="Arial" w:ascii="Arial" w:hAnsi="Arial"/>
                                <w:b/>
                                <w:bCs/>
                                <w:color w:val="E36C0A"/>
                                <w:kern w:val="2"/>
                              </w:rPr>
                              <w:t>Simulação luminotécnica</w:t>
                            </w:r>
                            <w:r>
                              <w:rPr>
                                <w:rFonts w:cs="Arial" w:ascii="Arial" w:hAnsi="Arial"/>
                                <w:color w:val="E36C0A"/>
                                <w:kern w:val="2"/>
                              </w:rPr>
                              <w:t xml:space="preserve"> </w:t>
                            </w:r>
                          </w:p>
                          <w:p>
                            <w:pPr>
                              <w:pStyle w:val="NormalWeb"/>
                              <w:spacing w:before="0" w:after="0"/>
                              <w:jc w:val="center"/>
                              <w:rPr>
                                <w:rFonts w:ascii="Arial" w:hAnsi="Arial" w:cs="Arial"/>
                                <w:color w:val="E36C0A"/>
                                <w:kern w:val="2"/>
                              </w:rPr>
                            </w:pPr>
                            <w:r>
                              <w:rPr>
                                <w:rFonts w:cs="Arial" w:ascii="Arial" w:hAnsi="Arial"/>
                                <w:color w:val="E36C0A"/>
                                <w:kern w:val="2"/>
                              </w:rPr>
                              <w:t>Dialux Evo</w:t>
                            </w:r>
                          </w:p>
                        </w:txbxContent>
                      </wps:txbx>
                      <wps:bodyPr lIns="3240" rIns="3240" tIns="3240" bIns="3240" anchor="t">
                        <a:noAutofit/>
                      </wps:bodyPr>
                    </wps:wsp>
                  </a:graphicData>
                </a:graphic>
              </wp:anchor>
            </w:drawing>
          </mc:Choice>
          <mc:Fallback>
            <w:pict>
              <v:rect id="shape_0" ID="Quadro1" path="m0,0l-2147483645,0l-2147483645,-2147483646l0,-2147483646xe" fillcolor="white" stroked="f" o:allowincell="f" style="position:absolute;margin-left:90pt;margin-top:11.75pt;width:243.1pt;height:38.65pt;mso-wrap-style:square;v-text-anchor:top;mso-position-horizontal-relative:char">
                <v:fill o:detectmouseclick="t" type="solid" color2="black" opacity="0"/>
                <v:stroke color="#3465a4" joinstyle="round" endcap="flat"/>
                <v:textbox>
                  <w:txbxContent>
                    <w:p>
                      <w:pPr>
                        <w:pStyle w:val="NormalWeb"/>
                        <w:spacing w:before="0" w:after="0"/>
                        <w:jc w:val="center"/>
                        <w:rPr/>
                      </w:pPr>
                      <w:r>
                        <w:rPr>
                          <w:rFonts w:cs="Arial" w:ascii="Arial" w:hAnsi="Arial"/>
                          <w:b/>
                          <w:bCs/>
                          <w:color w:val="E36C0A"/>
                          <w:kern w:val="2"/>
                        </w:rPr>
                        <w:t>Simulação luminotécnica</w:t>
                      </w:r>
                      <w:r>
                        <w:rPr>
                          <w:rFonts w:cs="Arial" w:ascii="Arial" w:hAnsi="Arial"/>
                          <w:color w:val="E36C0A"/>
                          <w:kern w:val="2"/>
                        </w:rPr>
                        <w:t xml:space="preserve"> </w:t>
                      </w:r>
                    </w:p>
                    <w:p>
                      <w:pPr>
                        <w:pStyle w:val="NormalWeb"/>
                        <w:spacing w:before="0" w:after="0"/>
                        <w:jc w:val="center"/>
                        <w:rPr>
                          <w:rFonts w:ascii="Arial" w:hAnsi="Arial" w:cs="Arial"/>
                          <w:color w:val="E36C0A"/>
                          <w:kern w:val="2"/>
                        </w:rPr>
                      </w:pPr>
                      <w:r>
                        <w:rPr>
                          <w:rFonts w:cs="Arial" w:ascii="Arial" w:hAnsi="Arial"/>
                          <w:color w:val="E36C0A"/>
                          <w:kern w:val="2"/>
                        </w:rPr>
                        <w:t>Dialux Evo</w:t>
                      </w:r>
                    </w:p>
                  </w:txbxContent>
                </v:textbox>
                <w10:wrap type="none"/>
              </v:rect>
            </w:pict>
          </mc:Fallback>
        </mc:AlternateContent>
        <mc:AlternateContent>
          <mc:Choice Requires="wps">
            <w:drawing>
              <wp:anchor behindDoc="0" distT="0" distB="0" distL="0" distR="0" simplePos="0" locked="0" layoutInCell="0" allowOverlap="1" relativeHeight="139">
                <wp:simplePos x="0" y="0"/>
                <wp:positionH relativeFrom="character">
                  <wp:posOffset>1142365</wp:posOffset>
                </wp:positionH>
                <wp:positionV relativeFrom="paragraph">
                  <wp:posOffset>407035</wp:posOffset>
                </wp:positionV>
                <wp:extent cx="2109470" cy="321310"/>
                <wp:effectExtent l="0" t="0" r="0" b="0"/>
                <wp:wrapNone/>
                <wp:docPr id="21" name="Quadro2"/>
                <a:graphic xmlns:a="http://schemas.openxmlformats.org/drawingml/2006/main">
                  <a:graphicData uri="http://schemas.microsoft.com/office/word/2010/wordprocessingShape">
                    <wps:wsp>
                      <wps:cNvSpPr/>
                      <wps:spPr>
                        <a:xfrm>
                          <a:off x="0" y="0"/>
                          <a:ext cx="2109600" cy="321480"/>
                        </a:xfrm>
                        <a:prstGeom prst="rect">
                          <a:avLst/>
                        </a:prstGeom>
                        <a:noFill/>
                        <a:ln w="0">
                          <a:noFill/>
                        </a:ln>
                      </wps:spPr>
                      <wps:style>
                        <a:lnRef idx="0"/>
                        <a:fillRef idx="0"/>
                        <a:effectRef idx="0"/>
                        <a:fontRef idx="minor"/>
                      </wps:style>
                      <wps:txbx>
                        <w:txbxContent>
                          <w:p>
                            <w:pPr>
                              <w:pStyle w:val="NormalWeb"/>
                              <w:spacing w:before="0" w:after="0"/>
                              <w:jc w:val="right"/>
                              <w:rPr>
                                <w:rFonts w:ascii="Arial" w:hAnsi="Arial" w:eastAsia="Calibri" w:cs="Arial"/>
                                <w:b/>
                                <w:bCs/>
                                <w:color w:val="0070C0"/>
                                <w:kern w:val="2"/>
                                <w:sz w:val="20"/>
                                <w:szCs w:val="20"/>
                              </w:rPr>
                            </w:pPr>
                            <w:r>
                              <w:rPr>
                                <w:rFonts w:eastAsia="Calibri" w:cs="Arial" w:ascii="Arial" w:hAnsi="Arial"/>
                                <w:b/>
                                <w:bCs/>
                                <w:color w:val="0070C0"/>
                                <w:kern w:val="2"/>
                                <w:sz w:val="20"/>
                                <w:szCs w:val="20"/>
                              </w:rPr>
                              <w:t>Tipo 2: Luminária sem ajuste</w:t>
                            </w:r>
                          </w:p>
                        </w:txbxContent>
                      </wps:txbx>
                      <wps:bodyPr lIns="3240" rIns="3240" tIns="3240" bIns="3240" anchor="t">
                        <a:noAutofit/>
                      </wps:bodyPr>
                    </wps:wsp>
                  </a:graphicData>
                </a:graphic>
              </wp:anchor>
            </w:drawing>
          </mc:Choice>
          <mc:Fallback>
            <w:pict>
              <v:rect id="shape_0" ID="Quadro2" path="m0,0l-2147483645,0l-2147483645,-2147483646l0,-2147483646xe" fillcolor="white" stroked="f" o:allowincell="f" style="position:absolute;margin-left:89.95pt;margin-top:32.05pt;width:166.05pt;height:25.25pt;mso-wrap-style:square;v-text-anchor:top;mso-position-horizontal-relative:char">
                <v:fill o:detectmouseclick="t" type="solid" color2="black" opacity="0"/>
                <v:stroke color="#3465a4" joinstyle="round" endcap="flat"/>
                <v:textbox>
                  <w:txbxContent>
                    <w:p>
                      <w:pPr>
                        <w:pStyle w:val="NormalWeb"/>
                        <w:spacing w:before="0" w:after="0"/>
                        <w:jc w:val="right"/>
                        <w:rPr>
                          <w:rFonts w:ascii="Arial" w:hAnsi="Arial" w:eastAsia="Calibri" w:cs="Arial"/>
                          <w:b/>
                          <w:bCs/>
                          <w:color w:val="0070C0"/>
                          <w:kern w:val="2"/>
                          <w:sz w:val="20"/>
                          <w:szCs w:val="20"/>
                        </w:rPr>
                      </w:pPr>
                      <w:r>
                        <w:rPr>
                          <w:rFonts w:eastAsia="Calibri" w:cs="Arial" w:ascii="Arial" w:hAnsi="Arial"/>
                          <w:b/>
                          <w:bCs/>
                          <w:color w:val="0070C0"/>
                          <w:kern w:val="2"/>
                          <w:sz w:val="20"/>
                          <w:szCs w:val="20"/>
                        </w:rPr>
                        <w:t>Tipo 2: Luminária sem ajuste</w:t>
                      </w:r>
                    </w:p>
                  </w:txbxContent>
                </v:textbox>
                <w10:wrap type="none"/>
              </v:rect>
            </w:pict>
          </mc:Fallback>
        </mc:AlternateContent>
        <mc:AlternateContent>
          <mc:Choice Requires="wps">
            <w:drawing>
              <wp:anchor behindDoc="0" distT="0" distB="0" distL="0" distR="0" simplePos="0" locked="0" layoutInCell="0" allowOverlap="1" relativeHeight="141">
                <wp:simplePos x="0" y="0"/>
                <wp:positionH relativeFrom="character">
                  <wp:posOffset>-1011555</wp:posOffset>
                </wp:positionH>
                <wp:positionV relativeFrom="paragraph">
                  <wp:posOffset>407035</wp:posOffset>
                </wp:positionV>
                <wp:extent cx="1869440" cy="280670"/>
                <wp:effectExtent l="0" t="0" r="0" b="0"/>
                <wp:wrapNone/>
                <wp:docPr id="22" name="Quadro3"/>
                <a:graphic xmlns:a="http://schemas.openxmlformats.org/drawingml/2006/main">
                  <a:graphicData uri="http://schemas.microsoft.com/office/word/2010/wordprocessingShape">
                    <wps:wsp>
                      <wps:cNvSpPr/>
                      <wps:spPr>
                        <a:xfrm>
                          <a:off x="0" y="0"/>
                          <a:ext cx="1869480" cy="280800"/>
                        </a:xfrm>
                        <a:prstGeom prst="rect">
                          <a:avLst/>
                        </a:prstGeom>
                        <a:noFill/>
                        <a:ln w="0">
                          <a:noFill/>
                        </a:ln>
                      </wps:spPr>
                      <wps:style>
                        <a:lnRef idx="0"/>
                        <a:fillRef idx="0"/>
                        <a:effectRef idx="0"/>
                        <a:fontRef idx="minor"/>
                      </wps:style>
                      <wps:txbx>
                        <w:txbxContent>
                          <w:p>
                            <w:pPr>
                              <w:pStyle w:val="NormalWeb"/>
                              <w:spacing w:before="0" w:after="0"/>
                              <w:rPr>
                                <w:rFonts w:ascii="Arial" w:hAnsi="Arial" w:eastAsia="Calibri" w:cs="Arial"/>
                                <w:b/>
                                <w:bCs/>
                                <w:color w:val="548235"/>
                                <w:kern w:val="2"/>
                                <w:sz w:val="20"/>
                                <w:szCs w:val="20"/>
                              </w:rPr>
                            </w:pPr>
                            <w:r>
                              <w:rPr>
                                <w:rFonts w:eastAsia="Calibri" w:cs="Arial" w:ascii="Arial" w:hAnsi="Arial"/>
                                <w:b/>
                                <w:bCs/>
                                <w:color w:val="548235"/>
                                <w:kern w:val="2"/>
                                <w:sz w:val="20"/>
                                <w:szCs w:val="20"/>
                              </w:rPr>
                              <w:t>Tipo 1: Luminária com ajuste</w:t>
                            </w:r>
                          </w:p>
                        </w:txbxContent>
                      </wps:txbx>
                      <wps:bodyPr lIns="3240" rIns="3240" tIns="3240" bIns="3240" anchor="t">
                        <a:noAutofit/>
                      </wps:bodyPr>
                    </wps:wsp>
                  </a:graphicData>
                </a:graphic>
              </wp:anchor>
            </w:drawing>
          </mc:Choice>
          <mc:Fallback>
            <w:pict>
              <v:rect id="shape_0" ID="Quadro3" path="m0,0l-2147483645,0l-2147483645,-2147483646l0,-2147483646xe" fillcolor="white" stroked="f" o:allowincell="f" style="position:absolute;margin-left:-79.65pt;margin-top:32.05pt;width:147.15pt;height:22.05pt;mso-wrap-style:square;v-text-anchor:top;mso-position-horizontal-relative:char">
                <v:fill o:detectmouseclick="t" type="solid" color2="black" opacity="0"/>
                <v:stroke color="#3465a4" joinstyle="round" endcap="flat"/>
                <v:textbox>
                  <w:txbxContent>
                    <w:p>
                      <w:pPr>
                        <w:pStyle w:val="NormalWeb"/>
                        <w:spacing w:before="0" w:after="0"/>
                        <w:rPr>
                          <w:rFonts w:ascii="Arial" w:hAnsi="Arial" w:eastAsia="Calibri" w:cs="Arial"/>
                          <w:b/>
                          <w:bCs/>
                          <w:color w:val="548235"/>
                          <w:kern w:val="2"/>
                          <w:sz w:val="20"/>
                          <w:szCs w:val="20"/>
                        </w:rPr>
                      </w:pPr>
                      <w:r>
                        <w:rPr>
                          <w:rFonts w:eastAsia="Calibri" w:cs="Arial" w:ascii="Arial" w:hAnsi="Arial"/>
                          <w:b/>
                          <w:bCs/>
                          <w:color w:val="548235"/>
                          <w:kern w:val="2"/>
                          <w:sz w:val="20"/>
                          <w:szCs w:val="20"/>
                        </w:rPr>
                        <w:t>Tipo 1: Luminária com ajuste</w:t>
                      </w:r>
                    </w:p>
                  </w:txbxContent>
                </v:textbox>
                <w10:wrap type="none"/>
              </v:rect>
            </w:pict>
          </mc:Fallback>
        </mc:AlternateContent>
        <mc:AlternateContent>
          <mc:Choice Requires="wps">
            <w:drawing>
              <wp:anchor behindDoc="0" distT="0" distB="0" distL="0" distR="0" simplePos="0" locked="0" layoutInCell="0" allowOverlap="1" relativeHeight="143">
                <wp:simplePos x="0" y="0"/>
                <wp:positionH relativeFrom="character">
                  <wp:posOffset>-1396365</wp:posOffset>
                </wp:positionH>
                <wp:positionV relativeFrom="paragraph">
                  <wp:posOffset>1158240</wp:posOffset>
                </wp:positionV>
                <wp:extent cx="2492375" cy="541655"/>
                <wp:effectExtent l="0" t="0" r="0" b="0"/>
                <wp:wrapNone/>
                <wp:docPr id="23" name="Quadro4"/>
                <a:graphic xmlns:a="http://schemas.openxmlformats.org/drawingml/2006/main">
                  <a:graphicData uri="http://schemas.microsoft.com/office/word/2010/wordprocessingShape">
                    <wps:wsp>
                      <wps:cNvSpPr/>
                      <wps:spPr>
                        <a:xfrm>
                          <a:off x="0" y="0"/>
                          <a:ext cx="2492280" cy="541800"/>
                        </a:xfrm>
                        <a:prstGeom prst="rect">
                          <a:avLst/>
                        </a:prstGeom>
                        <a:noFill/>
                        <a:ln w="0">
                          <a:noFill/>
                        </a:ln>
                      </wps:spPr>
                      <wps:style>
                        <a:lnRef idx="0"/>
                        <a:fillRef idx="0"/>
                        <a:effectRef idx="0"/>
                        <a:fontRef idx="minor"/>
                      </wps:style>
                      <wps:txbx>
                        <w:txbxContent>
                          <w:p>
                            <w:pPr>
                              <w:pStyle w:val="NormalWeb"/>
                              <w:spacing w:before="0" w:after="0"/>
                              <w:rPr>
                                <w:rFonts w:ascii="Arial" w:hAnsi="Arial" w:cs="Arial"/>
                                <w:color w:val="000000"/>
                                <w:kern w:val="2"/>
                                <w:sz w:val="16"/>
                                <w:szCs w:val="16"/>
                              </w:rPr>
                            </w:pPr>
                            <w:r>
                              <w:rPr>
                                <w:rFonts w:cs="Arial" w:ascii="Arial" w:hAnsi="Arial"/>
                                <w:color w:val="000000"/>
                                <w:kern w:val="2"/>
                                <w:sz w:val="16"/>
                                <w:szCs w:val="16"/>
                              </w:rPr>
                              <w:t>As luminárias deverão ser aprovadas na simulação luminotécnica com um valor de ângulo de montagem pertencente ao intervalo de 0º a (+)10º em relação ao plano horizontal.</w:t>
                            </w:r>
                          </w:p>
                        </w:txbxContent>
                      </wps:txbx>
                      <wps:bodyPr lIns="3240" rIns="3240" tIns="3240" bIns="3240" anchor="t">
                        <a:noAutofit/>
                      </wps:bodyPr>
                    </wps:wsp>
                  </a:graphicData>
                </a:graphic>
              </wp:anchor>
            </w:drawing>
          </mc:Choice>
          <mc:Fallback>
            <w:pict>
              <v:rect id="shape_0" ID="Quadro4" path="m0,0l-2147483645,0l-2147483645,-2147483646l0,-2147483646xe" fillcolor="white" stroked="f" o:allowincell="f" style="position:absolute;margin-left:-109.95pt;margin-top:91.2pt;width:196.2pt;height:42.6pt;mso-wrap-style:square;v-text-anchor:top;mso-position-horizontal-relative:char">
                <v:fill o:detectmouseclick="t" type="solid" color2="black" opacity="0"/>
                <v:stroke color="#3465a4" joinstyle="round" endcap="flat"/>
                <v:textbox>
                  <w:txbxContent>
                    <w:p>
                      <w:pPr>
                        <w:pStyle w:val="NormalWeb"/>
                        <w:spacing w:before="0" w:after="0"/>
                        <w:rPr>
                          <w:rFonts w:ascii="Arial" w:hAnsi="Arial" w:cs="Arial"/>
                          <w:color w:val="000000"/>
                          <w:kern w:val="2"/>
                          <w:sz w:val="16"/>
                          <w:szCs w:val="16"/>
                        </w:rPr>
                      </w:pPr>
                      <w:r>
                        <w:rPr>
                          <w:rFonts w:cs="Arial" w:ascii="Arial" w:hAnsi="Arial"/>
                          <w:color w:val="000000"/>
                          <w:kern w:val="2"/>
                          <w:sz w:val="16"/>
                          <w:szCs w:val="16"/>
                        </w:rPr>
                        <w:t>As luminárias deverão ser aprovadas na simulação luminotécnica com um valor de ângulo de montagem pertencente ao intervalo de 0º a (+)10º em relação ao plano horizontal.</w:t>
                      </w:r>
                    </w:p>
                  </w:txbxContent>
                </v:textbox>
                <w10:wrap type="none"/>
              </v:rect>
            </w:pict>
          </mc:Fallback>
        </mc:AlternateContent>
        <mc:AlternateContent>
          <mc:Choice Requires="wps">
            <w:drawing>
              <wp:anchor behindDoc="0" distT="0" distB="0" distL="0" distR="0" simplePos="0" locked="0" layoutInCell="0" allowOverlap="1" relativeHeight="145">
                <wp:simplePos x="0" y="0"/>
                <wp:positionH relativeFrom="character">
                  <wp:posOffset>1143000</wp:posOffset>
                </wp:positionH>
                <wp:positionV relativeFrom="paragraph">
                  <wp:posOffset>1025525</wp:posOffset>
                </wp:positionV>
                <wp:extent cx="2011045" cy="755015"/>
                <wp:effectExtent l="0" t="0" r="0" b="0"/>
                <wp:wrapNone/>
                <wp:docPr id="24" name="Quadro5"/>
                <a:graphic xmlns:a="http://schemas.openxmlformats.org/drawingml/2006/main">
                  <a:graphicData uri="http://schemas.microsoft.com/office/word/2010/wordprocessingShape">
                    <wps:wsp>
                      <wps:cNvSpPr/>
                      <wps:spPr>
                        <a:xfrm>
                          <a:off x="0" y="0"/>
                          <a:ext cx="2010960" cy="754920"/>
                        </a:xfrm>
                        <a:prstGeom prst="rect">
                          <a:avLst/>
                        </a:prstGeom>
                        <a:noFill/>
                        <a:ln w="0">
                          <a:noFill/>
                        </a:ln>
                      </wps:spPr>
                      <wps:style>
                        <a:lnRef idx="0"/>
                        <a:fillRef idx="0"/>
                        <a:effectRef idx="0"/>
                        <a:fontRef idx="minor"/>
                      </wps:style>
                      <wps:txbx>
                        <w:txbxContent>
                          <w:p>
                            <w:pPr>
                              <w:pStyle w:val="NormalWeb"/>
                              <w:spacing w:before="0" w:after="0"/>
                              <w:jc w:val="right"/>
                              <w:rPr>
                                <w:rFonts w:ascii="Arial" w:hAnsi="Arial" w:cs="Arial"/>
                                <w:color w:val="000000"/>
                                <w:kern w:val="2"/>
                                <w:sz w:val="16"/>
                                <w:szCs w:val="16"/>
                              </w:rPr>
                            </w:pPr>
                            <w:r>
                              <w:rPr>
                                <w:rFonts w:cs="Arial" w:ascii="Arial" w:hAnsi="Arial"/>
                                <w:color w:val="000000"/>
                                <w:kern w:val="2"/>
                                <w:sz w:val="16"/>
                                <w:szCs w:val="16"/>
                              </w:rPr>
                              <w:t>As luminárias deverão ser aprovadas na simulação luminotécnica com um valor de ângulo de montagem pertencente ao intervalo de 0º a (+) 5º em relação ao plano horizontal.</w:t>
                            </w:r>
                          </w:p>
                        </w:txbxContent>
                      </wps:txbx>
                      <wps:bodyPr lIns="3240" rIns="3240" tIns="3240" bIns="3240" anchor="t">
                        <a:noAutofit/>
                      </wps:bodyPr>
                    </wps:wsp>
                  </a:graphicData>
                </a:graphic>
              </wp:anchor>
            </w:drawing>
          </mc:Choice>
          <mc:Fallback>
            <w:pict>
              <v:rect id="shape_0" ID="Quadro5" path="m0,0l-2147483645,0l-2147483645,-2147483646l0,-2147483646xe" fillcolor="white" stroked="f" o:allowincell="f" style="position:absolute;margin-left:90pt;margin-top:80.75pt;width:158.3pt;height:59.4pt;mso-wrap-style:square;v-text-anchor:top;mso-position-horizontal-relative:char">
                <v:fill o:detectmouseclick="t" type="solid" color2="black" opacity="0"/>
                <v:stroke color="#3465a4" joinstyle="round" endcap="flat"/>
                <v:textbox>
                  <w:txbxContent>
                    <w:p>
                      <w:pPr>
                        <w:pStyle w:val="NormalWeb"/>
                        <w:spacing w:before="0" w:after="0"/>
                        <w:jc w:val="right"/>
                        <w:rPr>
                          <w:rFonts w:ascii="Arial" w:hAnsi="Arial" w:cs="Arial"/>
                          <w:color w:val="000000"/>
                          <w:kern w:val="2"/>
                          <w:sz w:val="16"/>
                          <w:szCs w:val="16"/>
                        </w:rPr>
                      </w:pPr>
                      <w:r>
                        <w:rPr>
                          <w:rFonts w:cs="Arial" w:ascii="Arial" w:hAnsi="Arial"/>
                          <w:color w:val="000000"/>
                          <w:kern w:val="2"/>
                          <w:sz w:val="16"/>
                          <w:szCs w:val="16"/>
                        </w:rPr>
                        <w:t>As luminárias deverão ser aprovadas na simulação luminotécnica com um valor de ângulo de montagem pertencente ao intervalo de 0º a (+) 5º em relação ao plano horizontal.</w:t>
                      </w:r>
                    </w:p>
                  </w:txbxContent>
                </v:textbox>
                <w10:wrap type="none"/>
              </v:rect>
            </w:pict>
          </mc:Fallback>
        </mc:AlternateContent>
        <mc:AlternateContent>
          <mc:Choice Requires="wps">
            <w:drawing>
              <wp:anchor behindDoc="0" distT="0" distB="0" distL="0" distR="0" simplePos="0" locked="0" layoutInCell="0" allowOverlap="1" relativeHeight="147">
                <wp:simplePos x="0" y="0"/>
                <wp:positionH relativeFrom="character">
                  <wp:posOffset>1143000</wp:posOffset>
                </wp:positionH>
                <wp:positionV relativeFrom="paragraph">
                  <wp:posOffset>2007235</wp:posOffset>
                </wp:positionV>
                <wp:extent cx="667385" cy="257175"/>
                <wp:effectExtent l="0" t="0" r="0" b="0"/>
                <wp:wrapNone/>
                <wp:docPr id="25" name="Quadro6"/>
                <a:graphic xmlns:a="http://schemas.openxmlformats.org/drawingml/2006/main">
                  <a:graphicData uri="http://schemas.microsoft.com/office/word/2010/wordprocessingShape">
                    <wps:wsp>
                      <wps:cNvSpPr/>
                      <wps:spPr>
                        <a:xfrm>
                          <a:off x="0" y="0"/>
                          <a:ext cx="667440" cy="257040"/>
                        </a:xfrm>
                        <a:prstGeom prst="rect">
                          <a:avLst/>
                        </a:prstGeom>
                        <a:noFill/>
                        <a:ln w="0">
                          <a:noFill/>
                        </a:ln>
                      </wps:spPr>
                      <wps:style>
                        <a:lnRef idx="0"/>
                        <a:fillRef idx="0"/>
                        <a:effectRef idx="0"/>
                        <a:fontRef idx="minor"/>
                      </wps:style>
                      <wps:txbx>
                        <w:txbxContent>
                          <w:p>
                            <w:pPr>
                              <w:pStyle w:val="NormalWeb"/>
                              <w:spacing w:before="0" w:after="0"/>
                              <w:jc w:val="center"/>
                              <w:rPr>
                                <w:rFonts w:ascii="Arial" w:hAnsi="Arial" w:eastAsia="Calibri" w:cs="Arial"/>
                                <w:b/>
                                <w:bCs/>
                                <w:color w:val="0070C0"/>
                                <w:kern w:val="2"/>
                                <w:sz w:val="18"/>
                                <w:szCs w:val="18"/>
                              </w:rPr>
                            </w:pPr>
                            <w:r>
                              <w:rPr>
                                <w:rFonts w:eastAsia="Calibri" w:cs="Arial" w:ascii="Arial" w:hAnsi="Arial"/>
                                <w:b/>
                                <w:bCs/>
                                <w:color w:val="0070C0"/>
                                <w:kern w:val="2"/>
                                <w:sz w:val="18"/>
                                <w:szCs w:val="18"/>
                              </w:rPr>
                              <w:t>0º a (+)5º</w:t>
                            </w:r>
                          </w:p>
                        </w:txbxContent>
                      </wps:txbx>
                      <wps:bodyPr lIns="3240" rIns="3240" tIns="3240" bIns="3240" anchor="t">
                        <a:noAutofit/>
                      </wps:bodyPr>
                    </wps:wsp>
                  </a:graphicData>
                </a:graphic>
              </wp:anchor>
            </w:drawing>
          </mc:Choice>
          <mc:Fallback>
            <w:pict>
              <v:rect id="shape_0" ID="Quadro6" path="m0,0l-2147483645,0l-2147483645,-2147483646l0,-2147483646xe" fillcolor="white" stroked="f" o:allowincell="f" style="position:absolute;margin-left:90pt;margin-top:158.05pt;width:52.5pt;height:20.2pt;mso-wrap-style:square;v-text-anchor:top;mso-position-horizontal-relative:char">
                <v:fill o:detectmouseclick="t" type="solid" color2="black" opacity="0"/>
                <v:stroke color="#3465a4" joinstyle="round" endcap="flat"/>
                <v:textbox>
                  <w:txbxContent>
                    <w:p>
                      <w:pPr>
                        <w:pStyle w:val="NormalWeb"/>
                        <w:spacing w:before="0" w:after="0"/>
                        <w:jc w:val="center"/>
                        <w:rPr>
                          <w:rFonts w:ascii="Arial" w:hAnsi="Arial" w:eastAsia="Calibri" w:cs="Arial"/>
                          <w:b/>
                          <w:bCs/>
                          <w:color w:val="0070C0"/>
                          <w:kern w:val="2"/>
                          <w:sz w:val="18"/>
                          <w:szCs w:val="18"/>
                        </w:rPr>
                      </w:pPr>
                      <w:r>
                        <w:rPr>
                          <w:rFonts w:eastAsia="Calibri" w:cs="Arial" w:ascii="Arial" w:hAnsi="Arial"/>
                          <w:b/>
                          <w:bCs/>
                          <w:color w:val="0070C0"/>
                          <w:kern w:val="2"/>
                          <w:sz w:val="18"/>
                          <w:szCs w:val="18"/>
                        </w:rPr>
                        <w:t>0º a (+)5º</w:t>
                      </w:r>
                    </w:p>
                  </w:txbxContent>
                </v:textbox>
                <w10:wrap type="none"/>
              </v:rect>
            </w:pict>
          </mc:Fallback>
        </mc:AlternateContent>
        <mc:AlternateContent>
          <mc:Choice Requires="wps">
            <w:drawing>
              <wp:anchor behindDoc="0" distT="0" distB="0" distL="0" distR="0" simplePos="0" locked="0" layoutInCell="0" allowOverlap="1" relativeHeight="149">
                <wp:simplePos x="0" y="0"/>
                <wp:positionH relativeFrom="character">
                  <wp:posOffset>27305</wp:posOffset>
                </wp:positionH>
                <wp:positionV relativeFrom="paragraph">
                  <wp:posOffset>1951355</wp:posOffset>
                </wp:positionV>
                <wp:extent cx="873760" cy="238125"/>
                <wp:effectExtent l="0" t="0" r="0" b="0"/>
                <wp:wrapNone/>
                <wp:docPr id="26" name="Quadro7"/>
                <a:graphic xmlns:a="http://schemas.openxmlformats.org/drawingml/2006/main">
                  <a:graphicData uri="http://schemas.microsoft.com/office/word/2010/wordprocessingShape">
                    <wps:wsp>
                      <wps:cNvSpPr/>
                      <wps:spPr>
                        <a:xfrm>
                          <a:off x="0" y="0"/>
                          <a:ext cx="873720" cy="237960"/>
                        </a:xfrm>
                        <a:prstGeom prst="rect">
                          <a:avLst/>
                        </a:prstGeom>
                        <a:noFill/>
                        <a:ln w="0">
                          <a:noFill/>
                        </a:ln>
                      </wps:spPr>
                      <wps:style>
                        <a:lnRef idx="0"/>
                        <a:fillRef idx="0"/>
                        <a:effectRef idx="0"/>
                        <a:fontRef idx="minor"/>
                      </wps:style>
                      <wps:txbx>
                        <w:txbxContent>
                          <w:p>
                            <w:pPr>
                              <w:pStyle w:val="NormalWeb"/>
                              <w:spacing w:before="0" w:after="0"/>
                              <w:jc w:val="center"/>
                              <w:rPr>
                                <w:rFonts w:ascii="Arial" w:hAnsi="Arial" w:eastAsia="Calibri" w:cs="Arial"/>
                                <w:b/>
                                <w:bCs/>
                                <w:color w:val="00B050"/>
                                <w:kern w:val="2"/>
                                <w:sz w:val="18"/>
                                <w:szCs w:val="18"/>
                              </w:rPr>
                            </w:pPr>
                            <w:r>
                              <w:rPr>
                                <w:rFonts w:eastAsia="Calibri" w:cs="Arial" w:ascii="Arial" w:hAnsi="Arial"/>
                                <w:b/>
                                <w:bCs/>
                                <w:color w:val="00B050"/>
                                <w:kern w:val="2"/>
                                <w:sz w:val="18"/>
                                <w:szCs w:val="18"/>
                              </w:rPr>
                              <w:t>0º a (+)10º</w:t>
                            </w:r>
                          </w:p>
                        </w:txbxContent>
                      </wps:txbx>
                      <wps:bodyPr lIns="3240" rIns="3240" tIns="3240" bIns="3240" anchor="t">
                        <a:noAutofit/>
                      </wps:bodyPr>
                    </wps:wsp>
                  </a:graphicData>
                </a:graphic>
              </wp:anchor>
            </w:drawing>
          </mc:Choice>
          <mc:Fallback>
            <w:pict>
              <v:rect id="shape_0" ID="Quadro7" path="m0,0l-2147483645,0l-2147483645,-2147483646l0,-2147483646xe" fillcolor="white" stroked="f" o:allowincell="f" style="position:absolute;margin-left:2.15pt;margin-top:153.65pt;width:68.75pt;height:18.7pt;mso-wrap-style:square;v-text-anchor:top;mso-position-horizontal-relative:char">
                <v:fill o:detectmouseclick="t" type="solid" color2="black" opacity="0"/>
                <v:stroke color="#3465a4" joinstyle="round" endcap="flat"/>
                <v:textbox>
                  <w:txbxContent>
                    <w:p>
                      <w:pPr>
                        <w:pStyle w:val="NormalWeb"/>
                        <w:spacing w:before="0" w:after="0"/>
                        <w:jc w:val="center"/>
                        <w:rPr>
                          <w:rFonts w:ascii="Arial" w:hAnsi="Arial" w:eastAsia="Calibri" w:cs="Arial"/>
                          <w:b/>
                          <w:bCs/>
                          <w:color w:val="00B050"/>
                          <w:kern w:val="2"/>
                          <w:sz w:val="18"/>
                          <w:szCs w:val="18"/>
                        </w:rPr>
                      </w:pPr>
                      <w:r>
                        <w:rPr>
                          <w:rFonts w:eastAsia="Calibri" w:cs="Arial" w:ascii="Arial" w:hAnsi="Arial"/>
                          <w:b/>
                          <w:bCs/>
                          <w:color w:val="00B050"/>
                          <w:kern w:val="2"/>
                          <w:sz w:val="18"/>
                          <w:szCs w:val="18"/>
                        </w:rPr>
                        <w:t>0º a (+)10º</w:t>
                      </w:r>
                    </w:p>
                  </w:txbxContent>
                </v:textbox>
                <w10:wrap type="none"/>
              </v:rect>
            </w:pict>
          </mc:Fallback>
        </mc:AlternateContent>
        <mc:AlternateContent>
          <mc:Choice Requires="wps">
            <w:drawing>
              <wp:anchor behindDoc="0" distT="0" distB="0" distL="0" distR="0" simplePos="0" locked="0" layoutInCell="0" allowOverlap="1" relativeHeight="151">
                <wp:simplePos x="0" y="0"/>
                <wp:positionH relativeFrom="character">
                  <wp:posOffset>1142365</wp:posOffset>
                </wp:positionH>
                <wp:positionV relativeFrom="paragraph">
                  <wp:posOffset>2234565</wp:posOffset>
                </wp:positionV>
                <wp:extent cx="1489710" cy="238125"/>
                <wp:effectExtent l="0" t="0" r="0" b="0"/>
                <wp:wrapNone/>
                <wp:docPr id="27" name="Quadro8"/>
                <a:graphic xmlns:a="http://schemas.openxmlformats.org/drawingml/2006/main">
                  <a:graphicData uri="http://schemas.microsoft.com/office/word/2010/wordprocessingShape">
                    <wps:wsp>
                      <wps:cNvSpPr/>
                      <wps:spPr>
                        <a:xfrm>
                          <a:off x="0" y="0"/>
                          <a:ext cx="1489680" cy="237960"/>
                        </a:xfrm>
                        <a:prstGeom prst="rect">
                          <a:avLst/>
                        </a:prstGeom>
                        <a:noFill/>
                        <a:ln w="0">
                          <a:noFill/>
                        </a:ln>
                      </wps:spPr>
                      <wps:style>
                        <a:lnRef idx="0"/>
                        <a:fillRef idx="0"/>
                        <a:effectRef idx="0"/>
                        <a:fontRef idx="minor"/>
                      </wps:style>
                      <wps:txbx>
                        <w:txbxContent>
                          <w:p>
                            <w:pPr>
                              <w:pStyle w:val="NormalWeb"/>
                              <w:spacing w:before="0" w:after="0"/>
                              <w:jc w:val="center"/>
                              <w:rPr>
                                <w:rFonts w:ascii="Arial" w:hAnsi="Arial" w:eastAsia="Calibri" w:cs="Arial"/>
                                <w:color w:val="000000"/>
                                <w:kern w:val="2"/>
                                <w:sz w:val="16"/>
                                <w:szCs w:val="16"/>
                              </w:rPr>
                            </w:pPr>
                            <w:r>
                              <w:rPr>
                                <w:rFonts w:eastAsia="Calibri" w:cs="Arial" w:ascii="Arial" w:hAnsi="Arial"/>
                                <w:color w:val="000000"/>
                                <w:kern w:val="2"/>
                                <w:sz w:val="16"/>
                                <w:szCs w:val="16"/>
                              </w:rPr>
                              <w:t>Plano horizontal’</w:t>
                            </w:r>
                          </w:p>
                        </w:txbxContent>
                      </wps:txbx>
                      <wps:bodyPr lIns="3240" rIns="3240" tIns="3240" bIns="3240" anchor="t">
                        <a:noAutofit/>
                      </wps:bodyPr>
                    </wps:wsp>
                  </a:graphicData>
                </a:graphic>
              </wp:anchor>
            </w:drawing>
          </mc:Choice>
          <mc:Fallback>
            <w:pict>
              <v:rect id="shape_0" ID="Quadro8" path="m0,0l-2147483645,0l-2147483645,-2147483646l0,-2147483646xe" fillcolor="white" stroked="f" o:allowincell="f" style="position:absolute;margin-left:89.95pt;margin-top:175.95pt;width:117.25pt;height:18.7pt;mso-wrap-style:square;v-text-anchor:top;mso-position-horizontal-relative:char">
                <v:fill o:detectmouseclick="t" type="solid" color2="black" opacity="0"/>
                <v:stroke color="#3465a4" joinstyle="round" endcap="flat"/>
                <v:textbox>
                  <w:txbxContent>
                    <w:p>
                      <w:pPr>
                        <w:pStyle w:val="NormalWeb"/>
                        <w:spacing w:before="0" w:after="0"/>
                        <w:jc w:val="center"/>
                        <w:rPr>
                          <w:rFonts w:ascii="Arial" w:hAnsi="Arial" w:eastAsia="Calibri" w:cs="Arial"/>
                          <w:color w:val="000000"/>
                          <w:kern w:val="2"/>
                          <w:sz w:val="16"/>
                          <w:szCs w:val="16"/>
                        </w:rPr>
                      </w:pPr>
                      <w:r>
                        <w:rPr>
                          <w:rFonts w:eastAsia="Calibri" w:cs="Arial" w:ascii="Arial" w:hAnsi="Arial"/>
                          <w:color w:val="000000"/>
                          <w:kern w:val="2"/>
                          <w:sz w:val="16"/>
                          <w:szCs w:val="16"/>
                        </w:rPr>
                        <w:t>Plano horizontal’</w:t>
                      </w:r>
                    </w:p>
                  </w:txbxContent>
                </v:textbox>
                <w10:wrap type="none"/>
              </v:rect>
            </w:pict>
          </mc:Fallback>
        </mc:AlternateContent>
        <mc:AlternateContent>
          <mc:Choice Requires="wps">
            <w:drawing>
              <wp:anchor behindDoc="0" distT="0" distB="0" distL="0" distR="0" simplePos="0" locked="0" layoutInCell="0" allowOverlap="1" relativeHeight="153">
                <wp:simplePos x="0" y="0"/>
                <wp:positionH relativeFrom="character">
                  <wp:posOffset>-442595</wp:posOffset>
                </wp:positionH>
                <wp:positionV relativeFrom="paragraph">
                  <wp:posOffset>2296795</wp:posOffset>
                </wp:positionV>
                <wp:extent cx="1331595" cy="283210"/>
                <wp:effectExtent l="0" t="0" r="0" b="0"/>
                <wp:wrapNone/>
                <wp:docPr id="28" name="Quadro9"/>
                <a:graphic xmlns:a="http://schemas.openxmlformats.org/drawingml/2006/main">
                  <a:graphicData uri="http://schemas.microsoft.com/office/word/2010/wordprocessingShape">
                    <wps:wsp>
                      <wps:cNvSpPr/>
                      <wps:spPr>
                        <a:xfrm>
                          <a:off x="0" y="0"/>
                          <a:ext cx="1331640" cy="283320"/>
                        </a:xfrm>
                        <a:prstGeom prst="rect">
                          <a:avLst/>
                        </a:prstGeom>
                        <a:noFill/>
                        <a:ln w="0">
                          <a:noFill/>
                        </a:ln>
                      </wps:spPr>
                      <wps:style>
                        <a:lnRef idx="0"/>
                        <a:fillRef idx="0"/>
                        <a:effectRef idx="0"/>
                        <a:fontRef idx="minor"/>
                      </wps:style>
                      <wps:txbx>
                        <w:txbxContent>
                          <w:p>
                            <w:pPr>
                              <w:pStyle w:val="NormalWeb"/>
                              <w:spacing w:before="0" w:after="0"/>
                              <w:jc w:val="center"/>
                              <w:rPr>
                                <w:rFonts w:ascii="Arial" w:hAnsi="Arial" w:eastAsia="Calibri" w:cs="Arial"/>
                                <w:color w:val="000000"/>
                                <w:kern w:val="2"/>
                                <w:sz w:val="16"/>
                                <w:szCs w:val="16"/>
                              </w:rPr>
                            </w:pPr>
                            <w:r>
                              <w:rPr>
                                <w:rFonts w:eastAsia="Calibri" w:cs="Arial" w:ascii="Arial" w:hAnsi="Arial"/>
                                <w:color w:val="000000"/>
                                <w:kern w:val="2"/>
                                <w:sz w:val="16"/>
                                <w:szCs w:val="16"/>
                              </w:rPr>
                              <w:t>Plano horizontal</w:t>
                            </w:r>
                          </w:p>
                        </w:txbxContent>
                      </wps:txbx>
                      <wps:bodyPr lIns="3240" rIns="3240" tIns="3240" bIns="3240" anchor="t">
                        <a:noAutofit/>
                      </wps:bodyPr>
                    </wps:wsp>
                  </a:graphicData>
                </a:graphic>
              </wp:anchor>
            </w:drawing>
          </mc:Choice>
          <mc:Fallback>
            <w:pict>
              <v:rect id="shape_0" ID="Quadro9" path="m0,0l-2147483645,0l-2147483645,-2147483646l0,-2147483646xe" fillcolor="white" stroked="f" o:allowincell="f" style="position:absolute;margin-left:-34.85pt;margin-top:180.85pt;width:104.8pt;height:22.25pt;mso-wrap-style:square;v-text-anchor:top;mso-position-horizontal-relative:char">
                <v:fill o:detectmouseclick="t" type="solid" color2="black" opacity="0"/>
                <v:stroke color="#3465a4" joinstyle="round" endcap="flat"/>
                <v:textbox>
                  <w:txbxContent>
                    <w:p>
                      <w:pPr>
                        <w:pStyle w:val="NormalWeb"/>
                        <w:spacing w:before="0" w:after="0"/>
                        <w:jc w:val="center"/>
                        <w:rPr>
                          <w:rFonts w:ascii="Arial" w:hAnsi="Arial" w:eastAsia="Calibri" w:cs="Arial"/>
                          <w:color w:val="000000"/>
                          <w:kern w:val="2"/>
                          <w:sz w:val="16"/>
                          <w:szCs w:val="16"/>
                        </w:rPr>
                      </w:pPr>
                      <w:r>
                        <w:rPr>
                          <w:rFonts w:eastAsia="Calibri" w:cs="Arial" w:ascii="Arial" w:hAnsi="Arial"/>
                          <w:color w:val="000000"/>
                          <w:kern w:val="2"/>
                          <w:sz w:val="16"/>
                          <w:szCs w:val="16"/>
                        </w:rPr>
                        <w:t>Plano horizontal</w:t>
                      </w:r>
                    </w:p>
                  </w:txbxContent>
                </v:textbox>
                <w10:wrap type="none"/>
              </v:rect>
            </w:pict>
          </mc:Fallback>
        </mc:AlternateContent>
        <mc:AlternateContent>
          <mc:Choice Requires="wps">
            <w:drawing>
              <wp:anchor behindDoc="0" distT="0" distB="0" distL="0" distR="0" simplePos="0" locked="0" layoutInCell="0" allowOverlap="1" relativeHeight="155">
                <wp:simplePos x="0" y="0"/>
                <wp:positionH relativeFrom="character">
                  <wp:posOffset>-1270000</wp:posOffset>
                </wp:positionH>
                <wp:positionV relativeFrom="paragraph">
                  <wp:posOffset>691515</wp:posOffset>
                </wp:positionV>
                <wp:extent cx="2278380" cy="469900"/>
                <wp:effectExtent l="0" t="0" r="0" b="0"/>
                <wp:wrapNone/>
                <wp:docPr id="29" name="Quadro10"/>
                <a:graphic xmlns:a="http://schemas.openxmlformats.org/drawingml/2006/main">
                  <a:graphicData uri="http://schemas.microsoft.com/office/word/2010/wordprocessingShape">
                    <wps:wsp>
                      <wps:cNvSpPr/>
                      <wps:spPr>
                        <a:xfrm>
                          <a:off x="0" y="0"/>
                          <a:ext cx="2278440" cy="469800"/>
                        </a:xfrm>
                        <a:prstGeom prst="rect">
                          <a:avLst/>
                        </a:prstGeom>
                        <a:noFill/>
                        <a:ln w="0">
                          <a:noFill/>
                        </a:ln>
                      </wps:spPr>
                      <wps:style>
                        <a:lnRef idx="0"/>
                        <a:fillRef idx="0"/>
                        <a:effectRef idx="0"/>
                        <a:fontRef idx="minor"/>
                      </wps:style>
                      <wps:txbx>
                        <w:txbxContent>
                          <w:p>
                            <w:pPr>
                              <w:pStyle w:val="NormalWeb"/>
                              <w:spacing w:before="0" w:after="0"/>
                              <w:rPr>
                                <w:rFonts w:ascii="Arial" w:hAnsi="Arial" w:eastAsia="Calibri" w:cs="Arial"/>
                                <w:color w:val="000000"/>
                                <w:kern w:val="2"/>
                                <w:sz w:val="16"/>
                                <w:szCs w:val="16"/>
                              </w:rPr>
                            </w:pPr>
                            <w:r>
                              <w:rPr>
                                <w:rFonts w:eastAsia="Calibri" w:cs="Arial" w:ascii="Arial" w:hAnsi="Arial"/>
                                <w:color w:val="000000"/>
                                <w:kern w:val="2"/>
                                <w:sz w:val="16"/>
                                <w:szCs w:val="16"/>
                              </w:rPr>
                              <w:t>Para “cenários/padrões” que demandem luminárias com ajuste de ângulo de montagem.</w:t>
                            </w:r>
                          </w:p>
                        </w:txbxContent>
                      </wps:txbx>
                      <wps:bodyPr lIns="3240" rIns="3240" tIns="3240" bIns="3240" anchor="t">
                        <a:noAutofit/>
                      </wps:bodyPr>
                    </wps:wsp>
                  </a:graphicData>
                </a:graphic>
              </wp:anchor>
            </w:drawing>
          </mc:Choice>
          <mc:Fallback>
            <w:pict>
              <v:rect id="shape_0" ID="Quadro10" path="m0,0l-2147483645,0l-2147483645,-2147483646l0,-2147483646xe" fillcolor="white" stroked="f" o:allowincell="f" style="position:absolute;margin-left:-100pt;margin-top:54.45pt;width:179.35pt;height:36.95pt;mso-wrap-style:square;v-text-anchor:top;mso-position-horizontal-relative:char">
                <v:fill o:detectmouseclick="t" type="solid" color2="black" opacity="0"/>
                <v:stroke color="#3465a4" joinstyle="round" endcap="flat"/>
                <v:textbox>
                  <w:txbxContent>
                    <w:p>
                      <w:pPr>
                        <w:pStyle w:val="NormalWeb"/>
                        <w:spacing w:before="0" w:after="0"/>
                        <w:rPr>
                          <w:rFonts w:ascii="Arial" w:hAnsi="Arial" w:eastAsia="Calibri" w:cs="Arial"/>
                          <w:color w:val="000000"/>
                          <w:kern w:val="2"/>
                          <w:sz w:val="16"/>
                          <w:szCs w:val="16"/>
                        </w:rPr>
                      </w:pPr>
                      <w:r>
                        <w:rPr>
                          <w:rFonts w:eastAsia="Calibri" w:cs="Arial" w:ascii="Arial" w:hAnsi="Arial"/>
                          <w:color w:val="000000"/>
                          <w:kern w:val="2"/>
                          <w:sz w:val="16"/>
                          <w:szCs w:val="16"/>
                        </w:rPr>
                        <w:t>Para “cenários/padrões” que demandem luminárias com ajuste de ângulo de montagem.</w:t>
                      </w:r>
                    </w:p>
                  </w:txbxContent>
                </v:textbox>
                <w10:wrap type="none"/>
              </v:rect>
            </w:pict>
          </mc:Fallback>
        </mc:AlternateContent>
        <mc:AlternateContent>
          <mc:Choice Requires="wps">
            <w:drawing>
              <wp:anchor behindDoc="0" distT="0" distB="0" distL="0" distR="0" simplePos="0" locked="0" layoutInCell="0" allowOverlap="1" relativeHeight="157">
                <wp:simplePos x="0" y="0"/>
                <wp:positionH relativeFrom="character">
                  <wp:posOffset>1143000</wp:posOffset>
                </wp:positionH>
                <wp:positionV relativeFrom="paragraph">
                  <wp:posOffset>691515</wp:posOffset>
                </wp:positionV>
                <wp:extent cx="2365375" cy="539750"/>
                <wp:effectExtent l="0" t="0" r="0" b="0"/>
                <wp:wrapNone/>
                <wp:docPr id="30" name="Quadro11"/>
                <a:graphic xmlns:a="http://schemas.openxmlformats.org/drawingml/2006/main">
                  <a:graphicData uri="http://schemas.microsoft.com/office/word/2010/wordprocessingShape">
                    <wps:wsp>
                      <wps:cNvSpPr/>
                      <wps:spPr>
                        <a:xfrm>
                          <a:off x="0" y="0"/>
                          <a:ext cx="2365200" cy="539640"/>
                        </a:xfrm>
                        <a:prstGeom prst="rect">
                          <a:avLst/>
                        </a:prstGeom>
                        <a:noFill/>
                        <a:ln w="0">
                          <a:noFill/>
                        </a:ln>
                      </wps:spPr>
                      <wps:style>
                        <a:lnRef idx="0"/>
                        <a:fillRef idx="0"/>
                        <a:effectRef idx="0"/>
                        <a:fontRef idx="minor"/>
                      </wps:style>
                      <wps:txbx>
                        <w:txbxContent>
                          <w:p>
                            <w:pPr>
                              <w:pStyle w:val="NormalWeb"/>
                              <w:spacing w:before="0" w:after="0"/>
                              <w:jc w:val="right"/>
                              <w:rPr>
                                <w:rFonts w:ascii="Arial" w:hAnsi="Arial" w:cs="Arial"/>
                                <w:color w:val="000000"/>
                                <w:kern w:val="2"/>
                                <w:sz w:val="16"/>
                                <w:szCs w:val="16"/>
                              </w:rPr>
                            </w:pPr>
                            <w:r>
                              <w:rPr>
                                <w:rFonts w:cs="Arial" w:ascii="Arial" w:hAnsi="Arial"/>
                                <w:color w:val="000000"/>
                                <w:kern w:val="2"/>
                                <w:sz w:val="16"/>
                                <w:szCs w:val="16"/>
                              </w:rPr>
                              <w:t>Para “cenários/padrões” que NÃO demandem luminárias com ajuste de ângulo de montagem.</w:t>
                            </w:r>
                          </w:p>
                        </w:txbxContent>
                      </wps:txbx>
                      <wps:bodyPr lIns="3240" rIns="3240" tIns="3240" bIns="3240" anchor="t">
                        <a:noAutofit/>
                      </wps:bodyPr>
                    </wps:wsp>
                  </a:graphicData>
                </a:graphic>
              </wp:anchor>
            </w:drawing>
          </mc:Choice>
          <mc:Fallback>
            <w:pict>
              <v:rect id="shape_0" ID="Quadro11" path="m0,0l-2147483645,0l-2147483645,-2147483646l0,-2147483646xe" fillcolor="white" stroked="f" o:allowincell="f" style="position:absolute;margin-left:90pt;margin-top:54.45pt;width:186.2pt;height:42.45pt;mso-wrap-style:square;v-text-anchor:top;mso-position-horizontal-relative:char">
                <v:fill o:detectmouseclick="t" type="solid" color2="black" opacity="0"/>
                <v:stroke color="#3465a4" joinstyle="round" endcap="flat"/>
                <v:textbox>
                  <w:txbxContent>
                    <w:p>
                      <w:pPr>
                        <w:pStyle w:val="NormalWeb"/>
                        <w:spacing w:before="0" w:after="0"/>
                        <w:jc w:val="right"/>
                        <w:rPr>
                          <w:rFonts w:ascii="Arial" w:hAnsi="Arial" w:cs="Arial"/>
                          <w:color w:val="000000"/>
                          <w:kern w:val="2"/>
                          <w:sz w:val="16"/>
                          <w:szCs w:val="16"/>
                        </w:rPr>
                      </w:pPr>
                      <w:r>
                        <w:rPr>
                          <w:rFonts w:cs="Arial" w:ascii="Arial" w:hAnsi="Arial"/>
                          <w:color w:val="000000"/>
                          <w:kern w:val="2"/>
                          <w:sz w:val="16"/>
                          <w:szCs w:val="16"/>
                        </w:rPr>
                        <w:t>Para “cenários/padrões” que NÃO demandem luminárias com ajuste de ângulo de montagem.</w:t>
                      </w:r>
                    </w:p>
                  </w:txbxContent>
                </v:textbox>
                <w10:wrap type="none"/>
              </v:rect>
            </w:pict>
          </mc:Fallback>
        </mc:AlternateContent>
      </w:r>
      <w:r/>
    </w:p>
    <w:p>
      <w:pPr>
        <w:pStyle w:val="ListParagraph"/>
        <w:numPr>
          <w:ilvl w:val="3"/>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Demais condições de fornecimento de luminárias com ajuste de ângulo de montagem</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A aplicação de ajuste de ângulo nas simulações luminotécnicas de “cenários/padrões” que demandem pelo respectivo ajuste é limitado ao intervalo de 0° a (+) 10° (em relação ao plano horizontal) independente da luminária permitir angulações maiores. A limitação tem por objetivo prevenir, eventuais, ofuscamentos na via.</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 simulação luminotécnica deverá ser elaborada no software de iluminação “DIALux EVO”, conforme instruções contidas neste documento. </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Caso o fornecedor opte por ofertar uma luminária na categoria que demande ajuste de ângulo, a comprovação de que a luminária possui ajuste de ângulo de montagem deverá estar explícita no catálogo do fabricante da luminária ou documento similar que possua o mesmo efeito.</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Caso o fornecedor opte por ofertar uma luminária na categoria que demande ajuste de ângulo, independentemente do valor utilizado na simulação luminotécnica, torna-se obrigatório o fornecimento da luminária com condições de aplicação do respectivo ajuste no momento da instalação, inclusive o fornecimento de eventuais acessórios.</w:t>
      </w:r>
    </w:p>
    <w:p>
      <w:pPr>
        <w:pStyle w:val="ListParagraph"/>
        <w:widowControl w:val="false"/>
        <w:numPr>
          <w:ilvl w:val="0"/>
          <w:numId w:val="2"/>
        </w:numPr>
        <w:suppressAutoHyphens w:val="true"/>
        <w:overflowPunct w:val="false"/>
        <w:bidi w:val="0"/>
        <w:spacing w:lineRule="auto" w:line="276" w:before="135" w:after="24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Na hipótese de a luminária permitir a redução ou compensação do ângulo de instalação dos braços de iluminação pública, deverá fazê-lo sem comprometimento da segurança na montagem. </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Resistência à vibração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Deverá ser conforme a ABNT-NBR IEC 60598-1.</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 </w:t>
      </w:r>
      <w:r>
        <w:rPr>
          <w:rFonts w:cs="Arial" w:ascii="Arial" w:hAnsi="Arial"/>
          <w:b/>
          <w:bCs/>
          <w:color w:val="000000"/>
          <w:sz w:val="22"/>
          <w:szCs w:val="22"/>
          <w:shd w:fill="auto" w:val="clear"/>
        </w:rPr>
        <w:t>Resistência à força do vento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luminária deverá suportar esforços de ventos de até 150 km/h.</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Resistência ao torque dos parafusos e conexões</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parafusos utilizados no corpo da luminária e conexões não deverão apresentar qualquer deformação durante aperto e desaperto ou provocar deformações e/ou quebra do equipamento.</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Tomada integrada de 7 posições para relé fotocontrolador</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devem ser fornecidas com uma tomada embutida para relé fotocontrolador de 7 contatos, sendo 3 para carga e 4 para dimerização e dados, conforme ANSI C136.41.</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Base (tomada) deverá permitir a perfeita conexão de qualquer relé fotocontrolador, cujas dimensões estejam de acordo com a NBR 5123. O conjunto: base (tomada) + relé fotocontrolador, após conectados, deverão ser capazes de vedar completamente a infiltração de água para o interior da luminária.</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Conexão entre controlador integrado 0-10V e tomada de 7 contatos</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controlador integrado dimerizável deve estar com os cabos de controle 0-10V conectado aos contatos de dimerização da tomada.</w:t>
      </w:r>
    </w:p>
    <w:p>
      <w:pPr>
        <w:pStyle w:val="ListParagraph"/>
        <w:numPr>
          <w:ilvl w:val="2"/>
          <w:numId w:val="2"/>
        </w:numPr>
        <w:spacing w:lineRule="auto" w:line="276" w:before="36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Identificação: Marcação e Instruções </w:t>
      </w:r>
    </w:p>
    <w:p>
      <w:pPr>
        <w:pStyle w:val="Normal"/>
        <w:numPr>
          <w:ilvl w:val="0"/>
          <w:numId w:val="0"/>
        </w:numPr>
        <w:spacing w:lineRule="auto" w:line="276"/>
        <w:ind w:right="0" w:hanging="0"/>
        <w:jc w:val="both"/>
        <w:rPr>
          <w:rFonts w:ascii="Arial" w:hAnsi="Arial"/>
          <w:color w:val="000000"/>
          <w:sz w:val="22"/>
          <w:szCs w:val="22"/>
          <w:highlight w:val="none"/>
          <w:shd w:fill="auto" w:val="clear"/>
        </w:rPr>
      </w:pPr>
      <w:bookmarkStart w:id="9" w:name="_Hlk36045987"/>
      <w:r>
        <w:rPr>
          <w:rFonts w:cs="Arial" w:ascii="Arial" w:hAnsi="Arial"/>
          <w:color w:val="000000"/>
          <w:sz w:val="22"/>
          <w:szCs w:val="22"/>
          <w:shd w:fill="auto" w:val="clear"/>
        </w:rPr>
        <w:t xml:space="preserve">Conforme determinado na </w:t>
      </w:r>
      <w:bookmarkEnd w:id="9"/>
      <w:r>
        <w:rPr>
          <w:rFonts w:cs="Arial" w:ascii="Arial" w:hAnsi="Arial"/>
          <w:color w:val="000000"/>
          <w:sz w:val="22"/>
          <w:szCs w:val="22"/>
          <w:shd w:fill="auto" w:val="clear"/>
        </w:rPr>
        <w:t>Portaria Nº 62, de 17 de fevereiro de 2022 – Luminárias para a Iluminação Pública Viária – Consolidado.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Requisitos técnicos de segurança</w:t>
      </w:r>
    </w:p>
    <w:p>
      <w:pPr>
        <w:pStyle w:val="Normal"/>
        <w:numPr>
          <w:ilvl w:val="0"/>
          <w:numId w:val="2"/>
        </w:numPr>
        <w:spacing w:lineRule="auto" w:line="276" w:before="0" w:after="240"/>
        <w:jc w:val="both"/>
        <w:rPr>
          <w:rFonts w:ascii="Arial" w:hAnsi="Arial"/>
          <w:color w:val="000000"/>
          <w:sz w:val="22"/>
          <w:szCs w:val="22"/>
          <w:highlight w:val="none"/>
          <w:shd w:fill="auto" w:val="clear"/>
        </w:rPr>
      </w:pPr>
      <w:r>
        <w:rPr>
          <w:rFonts w:cs="Arial" w:ascii="Arial" w:hAnsi="Arial"/>
          <w:color w:val="000000"/>
          <w:sz w:val="22"/>
          <w:szCs w:val="22"/>
          <w:shd w:fill="auto" w:val="clear"/>
        </w:rPr>
        <w:t>Marcação e instruções</w:t>
      </w:r>
    </w:p>
    <w:p>
      <w:pPr>
        <w:pStyle w:val="ListParagraph"/>
        <w:numPr>
          <w:ilvl w:val="2"/>
          <w:numId w:val="2"/>
        </w:numPr>
        <w:spacing w:lineRule="auto" w:line="276" w:before="0" w:after="120"/>
        <w:ind w:left="992" w:right="0" w:hanging="9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Acondicionamento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Conforme determinado na Portaria Nº 62, de 17 de fevereiro de 2022 – Luminárias para a Iluminação Pública Viária – Consolidado.</w:t>
      </w:r>
    </w:p>
    <w:p>
      <w:pPr>
        <w:pStyle w:val="ListParagraph"/>
        <w:numPr>
          <w:ilvl w:val="1"/>
          <w:numId w:val="2"/>
        </w:numPr>
        <w:spacing w:lineRule="auto" w:line="276" w:before="360" w:after="120"/>
        <w:ind w:left="794" w:right="0" w:hanging="79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Requisitos técnicos gerais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deverão ser fornecidas pelo fabricante, completamente montadas e conectadas, incluindo todos os componentes e acessórios, prontas para serem ligadas à rede de distribuição.</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Tensão e Frequência Nominal de Alimentação: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As luminárias devem ser fornecidas completamente montadas e conectadas, prontas para serem ligadas à rede de distribuição nas variações de tensão entre 198 V e 240 V, em corrente alternada e 60 Hz.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Deve-se observar a tolerância de tensão estabelecida no âmbito da ANEEL.</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Fator de potência: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de 0,92 (considerando THD)</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Taxa de distorção harmônica de Corrente (THD):</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Deverá estar em conformidade com a norma IEC 61000-3-2</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Eficácia (Eficiência) da luminária LED (lm/W)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130lm/W, considerando fluxo luminoso útil da luminária.</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Ângulo de abertura do facho luminoso: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LED deverão observar os limites estabelecidos na ABNT NBR 5101:2024 dos fluxos luminosos zonais para a classificação quanto à luz emitida para trás (</w:t>
      </w:r>
      <w:r>
        <w:rPr>
          <w:rFonts w:cs="Arial" w:ascii="Arial" w:hAnsi="Arial"/>
          <w:i/>
          <w:iCs/>
          <w:color w:val="000000"/>
          <w:sz w:val="22"/>
          <w:szCs w:val="22"/>
          <w:shd w:fill="auto" w:val="clear"/>
        </w:rPr>
        <w:t>backlight</w:t>
      </w:r>
      <w:r>
        <w:rPr>
          <w:rFonts w:cs="Arial" w:ascii="Arial" w:hAnsi="Arial"/>
          <w:color w:val="000000"/>
          <w:sz w:val="22"/>
          <w:szCs w:val="22"/>
          <w:shd w:fill="auto" w:val="clear"/>
        </w:rPr>
        <w:t>), para cima (</w:t>
      </w:r>
      <w:r>
        <w:rPr>
          <w:rFonts w:cs="Arial" w:ascii="Arial" w:hAnsi="Arial"/>
          <w:i/>
          <w:iCs/>
          <w:color w:val="000000"/>
          <w:sz w:val="22"/>
          <w:szCs w:val="22"/>
          <w:shd w:fill="auto" w:val="clear"/>
        </w:rPr>
        <w:t>uplight</w:t>
      </w:r>
      <w:r>
        <w:rPr>
          <w:rFonts w:cs="Arial" w:ascii="Arial" w:hAnsi="Arial"/>
          <w:color w:val="000000"/>
          <w:sz w:val="22"/>
          <w:szCs w:val="22"/>
          <w:shd w:fill="auto" w:val="clear"/>
        </w:rPr>
        <w:t>) e por ofuscamento (</w:t>
      </w:r>
      <w:r>
        <w:rPr>
          <w:rFonts w:cs="Arial" w:ascii="Arial" w:hAnsi="Arial"/>
          <w:i/>
          <w:iCs/>
          <w:color w:val="000000"/>
          <w:sz w:val="22"/>
          <w:szCs w:val="22"/>
          <w:shd w:fill="auto" w:val="clear"/>
        </w:rPr>
        <w:t>glare</w:t>
      </w:r>
      <w:r>
        <w:rPr>
          <w:rFonts w:cs="Arial" w:ascii="Arial" w:hAnsi="Arial"/>
          <w:color w:val="000000"/>
          <w:sz w:val="22"/>
          <w:szCs w:val="22"/>
          <w:shd w:fill="auto" w:val="clear"/>
        </w:rPr>
        <w:t>).</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Driver: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Deverá estar incorporado internamente à luminária e ser dimerizável (0 a 10 V). </w:t>
      </w:r>
    </w:p>
    <w:p>
      <w:pPr>
        <w:pStyle w:val="ListParagraph"/>
        <w:numPr>
          <w:ilvl w:val="2"/>
          <w:numId w:val="2"/>
        </w:numPr>
        <w:spacing w:lineRule="auto" w:line="276" w:before="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Protetor de surto (DPS):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luminária deverá ser fornecida com Dispositivo Protetor de Surto de Tensão (DPS) com certificado de conformidade IEC 61643-11, que abrange todas as características de desempenho, métodos normalizados de ensaio e níveis de surto nominais e máximos. O Dispositivo Protetor de Surto deve possuir ligação em série com o driver de forma que caso o protetor atinja o final de sua vida útil o circuito deve abrir e desenergizar o driver e luz de indicação de status.</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Índice de Reprodução de Cor (IRC):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70%</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Temperatura de Cor Correlata (TCC):</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Manter as faixas de temperatura de cor definidas na Portaria nº 62/2022, vigente até o presente momento, ou seja, mínima (2.700 K) e máxima (6.500 K), seguindo a especificação técnica do Procel Reluz com TCC até 4.000K, observado o tópico de áreas de preservação ambiental definidos pela NBR 5101:2024.</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Vida útil do Conjunto: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de 50.000 horas</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Índice de Depreciação: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L70 (Perda máxima de 30% do fluxo luminoso inicial após 50.000 horas).</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Resistência de isolamento: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resistência de isolamento deve estar em conformidade com a norma NBR IEC 60598-1.</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Rigidez dielétrica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luminária deve resistir a uma tensão de no mínimo, 1460 V (classe I), em conformidade com as normas NBR 15129 e NBR IEC 60598-1</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Condições de Operação (altitude, temperaturas e umidade)</w:t>
      </w:r>
    </w:p>
    <w:p>
      <w:pPr>
        <w:pStyle w:val="ListParagraph"/>
        <w:numPr>
          <w:ilvl w:val="3"/>
          <w:numId w:val="2"/>
        </w:numPr>
        <w:spacing w:lineRule="auto" w:line="276" w:before="135" w:after="160"/>
        <w:ind w:left="426" w:right="0" w:hanging="426"/>
        <w:contextualSpacing w:val="false"/>
        <w:rPr>
          <w:rFonts w:ascii="Arial" w:hAnsi="Arial"/>
          <w:color w:val="000000"/>
          <w:sz w:val="22"/>
          <w:szCs w:val="22"/>
          <w:highlight w:val="none"/>
          <w:shd w:fill="auto" w:val="clear"/>
        </w:rPr>
      </w:pPr>
      <w:r>
        <w:rPr>
          <w:rFonts w:cs="Arial" w:ascii="Arial" w:hAnsi="Arial"/>
          <w:color w:val="000000"/>
          <w:sz w:val="22"/>
          <w:szCs w:val="22"/>
          <w:shd w:fill="auto" w:val="clear"/>
        </w:rPr>
        <w:t>Altitude não superior a</w:t>
      </w:r>
      <w:r>
        <w:rPr>
          <w:rFonts w:cs="Arial" w:ascii="Arial" w:hAnsi="Arial"/>
          <w:color w:val="000000"/>
          <w:spacing w:val="-4"/>
          <w:sz w:val="22"/>
          <w:szCs w:val="22"/>
          <w:shd w:fill="auto" w:val="clear"/>
        </w:rPr>
        <w:t xml:space="preserve"> </w:t>
      </w:r>
      <w:r>
        <w:rPr>
          <w:rFonts w:cs="Arial" w:ascii="Arial" w:hAnsi="Arial"/>
          <w:color w:val="000000"/>
          <w:sz w:val="22"/>
          <w:szCs w:val="22"/>
          <w:shd w:fill="auto" w:val="clear"/>
        </w:rPr>
        <w:t>1.500m;</w:t>
      </w:r>
    </w:p>
    <w:p>
      <w:pPr>
        <w:pStyle w:val="ListParagraph"/>
        <w:numPr>
          <w:ilvl w:val="3"/>
          <w:numId w:val="2"/>
        </w:numPr>
        <w:spacing w:lineRule="auto" w:line="276" w:before="135" w:after="160"/>
        <w:ind w:left="426" w:right="0" w:hanging="426"/>
        <w:contextualSpacing w:val="false"/>
        <w:rPr>
          <w:rFonts w:ascii="Arial" w:hAnsi="Arial"/>
          <w:color w:val="000000"/>
          <w:sz w:val="22"/>
          <w:szCs w:val="22"/>
          <w:highlight w:val="none"/>
          <w:shd w:fill="auto" w:val="clear"/>
        </w:rPr>
      </w:pPr>
      <w:r>
        <w:rPr>
          <w:rFonts w:cs="Arial" w:ascii="Arial" w:hAnsi="Arial"/>
          <w:color w:val="000000"/>
          <w:sz w:val="22"/>
          <w:szCs w:val="22"/>
          <w:shd w:fill="auto" w:val="clear"/>
        </w:rPr>
        <w:t>Temperatura média do ar ambiente, num período de 24 horas, não superior a +</w:t>
      </w:r>
      <w:r>
        <w:rPr>
          <w:rFonts w:cs="Arial" w:ascii="Arial" w:hAnsi="Arial"/>
          <w:color w:val="000000"/>
          <w:spacing w:val="-20"/>
          <w:sz w:val="22"/>
          <w:szCs w:val="22"/>
          <w:shd w:fill="auto" w:val="clear"/>
        </w:rPr>
        <w:t xml:space="preserve"> </w:t>
      </w:r>
      <w:r>
        <w:rPr>
          <w:rFonts w:cs="Arial" w:ascii="Arial" w:hAnsi="Arial"/>
          <w:color w:val="000000"/>
          <w:sz w:val="22"/>
          <w:szCs w:val="22"/>
          <w:shd w:fill="auto" w:val="clear"/>
        </w:rPr>
        <w:t>35°C;</w:t>
      </w:r>
    </w:p>
    <w:p>
      <w:pPr>
        <w:pStyle w:val="ListParagraph"/>
        <w:numPr>
          <w:ilvl w:val="3"/>
          <w:numId w:val="2"/>
        </w:numPr>
        <w:spacing w:lineRule="auto" w:line="276" w:before="133" w:after="160"/>
        <w:ind w:left="426" w:right="0" w:hanging="426"/>
        <w:contextualSpacing w:val="false"/>
        <w:rPr>
          <w:rFonts w:ascii="Arial" w:hAnsi="Arial"/>
          <w:color w:val="000000"/>
          <w:sz w:val="22"/>
          <w:szCs w:val="22"/>
          <w:highlight w:val="none"/>
          <w:shd w:fill="auto" w:val="clear"/>
        </w:rPr>
      </w:pPr>
      <w:r>
        <w:rPr>
          <w:rFonts w:cs="Arial" w:ascii="Arial" w:hAnsi="Arial"/>
          <w:color w:val="000000"/>
          <w:sz w:val="22"/>
          <w:szCs w:val="22"/>
          <w:shd w:fill="auto" w:val="clear"/>
        </w:rPr>
        <w:t>Temperatura do ambiente entre-5°C e +</w:t>
      </w:r>
      <w:r>
        <w:rPr>
          <w:rFonts w:cs="Arial" w:ascii="Arial" w:hAnsi="Arial"/>
          <w:color w:val="000000"/>
          <w:spacing w:val="-6"/>
          <w:sz w:val="22"/>
          <w:szCs w:val="22"/>
          <w:shd w:fill="auto" w:val="clear"/>
        </w:rPr>
        <w:t xml:space="preserve"> </w:t>
      </w:r>
      <w:r>
        <w:rPr>
          <w:rFonts w:cs="Arial" w:ascii="Arial" w:hAnsi="Arial"/>
          <w:color w:val="000000"/>
          <w:sz w:val="22"/>
          <w:szCs w:val="22"/>
          <w:shd w:fill="auto" w:val="clear"/>
        </w:rPr>
        <w:t>50°C;</w:t>
      </w:r>
    </w:p>
    <w:p>
      <w:pPr>
        <w:pStyle w:val="ListParagraph"/>
        <w:numPr>
          <w:ilvl w:val="3"/>
          <w:numId w:val="2"/>
        </w:numPr>
        <w:spacing w:lineRule="auto" w:line="276" w:before="135" w:after="160"/>
        <w:ind w:left="426" w:right="0" w:hanging="426"/>
        <w:contextualSpacing w:val="false"/>
        <w:rPr>
          <w:rFonts w:ascii="Arial" w:hAnsi="Arial"/>
          <w:color w:val="000000"/>
          <w:sz w:val="22"/>
          <w:szCs w:val="22"/>
          <w:highlight w:val="none"/>
          <w:shd w:fill="auto" w:val="clear"/>
        </w:rPr>
      </w:pPr>
      <w:r>
        <w:rPr>
          <w:rFonts w:cs="Arial" w:ascii="Arial" w:hAnsi="Arial"/>
          <w:color w:val="000000"/>
          <w:sz w:val="22"/>
          <w:szCs w:val="22"/>
          <w:shd w:fill="auto" w:val="clear"/>
        </w:rPr>
        <w:t>Umidade relativa do ar até</w:t>
      </w:r>
      <w:r>
        <w:rPr>
          <w:rFonts w:cs="Arial" w:ascii="Arial" w:hAnsi="Arial"/>
          <w:color w:val="000000"/>
          <w:spacing w:val="-1"/>
          <w:sz w:val="22"/>
          <w:szCs w:val="22"/>
          <w:shd w:fill="auto" w:val="clear"/>
        </w:rPr>
        <w:t xml:space="preserve"> </w:t>
      </w:r>
      <w:r>
        <w:rPr>
          <w:rFonts w:cs="Arial" w:ascii="Arial" w:hAnsi="Arial"/>
          <w:color w:val="000000"/>
          <w:sz w:val="22"/>
          <w:szCs w:val="22"/>
          <w:shd w:fill="auto" w:val="clear"/>
        </w:rPr>
        <w:t>100%.</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Durabilidade dos componentes</w:t>
      </w:r>
    </w:p>
    <w:p>
      <w:pPr>
        <w:pStyle w:val="ListParagraph"/>
        <w:numPr>
          <w:ilvl w:val="3"/>
          <w:numId w:val="2"/>
        </w:numPr>
        <w:spacing w:lineRule="auto" w:line="276" w:before="240" w:after="240"/>
        <w:ind w:left="1134" w:right="0" w:hanging="1134"/>
        <w:contextualSpacing w:val="false"/>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Manutenção </w:t>
      </w:r>
      <w:r>
        <w:rPr>
          <w:rFonts w:cs="Arial" w:ascii="Arial" w:hAnsi="Arial"/>
          <w:b/>
          <w:bCs/>
          <w:color w:val="000000"/>
          <w:sz w:val="22"/>
          <w:szCs w:val="22"/>
          <w:shd w:fill="auto" w:val="clear"/>
        </w:rPr>
        <w:t>do</w:t>
      </w:r>
      <w:r>
        <w:rPr>
          <w:rFonts w:cs="Arial" w:ascii="Arial" w:hAnsi="Arial"/>
          <w:b/>
          <w:color w:val="000000"/>
          <w:sz w:val="22"/>
          <w:szCs w:val="22"/>
          <w:shd w:fill="auto" w:val="clear"/>
        </w:rPr>
        <w:t xml:space="preserve"> fluxo luminoso da luminária </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tempo de vida útil estimado para os produtos de LED é normalmente dado em termos de expectativa de horas de operação até que o fluxo luminoso da luminária diminua a 70 % do seu valor inicial (denotado L70). A conformidade do desempenho da luminária para a manutenção do fluxo luminoso deverá obedecer a Portaria Nº 62, de 17 de fevereiro de 2022 - Luminárias para a Iluminação Pública Viária - Consolidado.</w:t>
      </w:r>
    </w:p>
    <w:p>
      <w:pPr>
        <w:pStyle w:val="ListParagraph"/>
        <w:numPr>
          <w:ilvl w:val="1"/>
          <w:numId w:val="2"/>
        </w:numPr>
        <w:spacing w:lineRule="auto" w:line="276" w:before="240" w:after="240"/>
        <w:ind w:left="708" w:right="0" w:hanging="71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Requisitos fotométricos</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Além de requisitos construtivos e técnicos, as luminárias deverão atender a requisitos fotométricos fixados pelo projeto luminotécnico para cada “cenário/padrão” do projeto, cuja comprovação de atendimento se dará através de simulação luminotécnica no software “DIALux evo”.</w:t>
      </w:r>
    </w:p>
    <w:p>
      <w:pPr>
        <w:pStyle w:val="ListParagraph"/>
        <w:numPr>
          <w:ilvl w:val="2"/>
          <w:numId w:val="2"/>
        </w:numPr>
        <w:spacing w:lineRule="auto" w:line="276" w:before="360" w:after="12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Cenários/padrões para simulação luminotécnica</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projeto luminotécnico estabelece uma série de cenários/padrões, aos quais a luminária deverá ser submetida, por meio de simulação em software luminotécnico, a fim de comprovar que sua curva fotométrica atende aos índices mínimos</w:t>
      </w:r>
      <w:r>
        <w:rPr>
          <w:rStyle w:val="Ncoradanotaderodap"/>
          <w:rFonts w:cs="Arial" w:ascii="Arial" w:hAnsi="Arial"/>
          <w:color w:val="000000"/>
          <w:sz w:val="22"/>
          <w:szCs w:val="22"/>
          <w:shd w:fill="auto" w:val="clear"/>
        </w:rPr>
        <w:footnoteReference w:id="2"/>
      </w:r>
      <w:r>
        <w:rPr>
          <w:rFonts w:cs="Arial" w:ascii="Arial" w:hAnsi="Arial"/>
          <w:color w:val="000000"/>
          <w:sz w:val="22"/>
          <w:szCs w:val="22"/>
          <w:shd w:fill="auto" w:val="clear"/>
        </w:rPr>
        <w:t xml:space="preserve"> estabelecidos na ABNT NBR 5101 para a classe de iluminação definida para o padrão/cenário. </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Para cada cenário/padrão são informadas as características físicas do ambiente em que ocorrerá a instalação, assim como as condições do sistema de iluminação pública do local, compondo assim, um cenário/padrão de simulação, a saber:</w:t>
      </w:r>
    </w:p>
    <w:p>
      <w:pPr>
        <w:pStyle w:val="ListParagraph"/>
        <w:numPr>
          <w:ilvl w:val="0"/>
          <w:numId w:val="0"/>
        </w:numPr>
        <w:spacing w:lineRule="auto" w:line="276" w:before="0" w:after="0"/>
        <w:ind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Largura da via, canteiros e calçadas, número de faixas de rolamento, distância do poste ao meio-fio, arranjo dos postes, altura de montagem das luminárias, dimensão dos braços, ângulo de montagem, potência máxima (W) admitida para as luminárias LED, indicadores mínimos estabelecidos conforme ABNT NBR 5101, dentre outros aspectos.</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Todos os “cenários/padrões” de simulação necessários de serem realizados estão representados nos ANEXOS deste documento.</w:t>
      </w:r>
    </w:p>
    <w:p>
      <w:pPr>
        <w:pStyle w:val="ListParagraph"/>
        <w:numPr>
          <w:ilvl w:val="2"/>
          <w:numId w:val="2"/>
        </w:numPr>
        <w:spacing w:lineRule="auto" w:line="276" w:before="18" w:after="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Malha de verificação </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Convenciona-se que o “cenário/padrão” de simulação consiste no arranjo apresentado nas figuras indicadas nos ANEXOS deste documento, onde cada “cenário/padrão” deverá ser simulado de modo a demonstrar que o modelo de luminária ofertada cumpre os requisitos mínimos definidos conforme ABNT NBR 5101, indicados no projeto luminotécnico.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Para a simulação luminotécnica deve-se utilizar o software DIALux EVO.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Fica convencionado que a apuração de resultados dos indicadores de cada “cenário/padrão” será com base na malha de pontos de medição do software “DIALux EVO”. </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matriz de pontos de medição para vias e calçadas do software “DIALux EVO” deverá corresponder de maneira fiel ao “cenário/padrão” indicado nos ANEXOS deste documento, ou seja, deve-se respeitar, dentre outros aspectos, o número de faixas de rolamento da via, uma vez que este indicador afeta diretamente a quantidade de linhas e colunas da respectiva malha.</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Frisa-se que a quantidade de pontos da grade de medição, resultante da quantidade de linhas e colunas de cada simulação, deverá estar adequado em relação ao número de faixas de rolamento indicado em cada “cenário/padrão”.</w:t>
      </w:r>
    </w:p>
    <w:p>
      <w:pPr>
        <w:pStyle w:val="ListParagraph"/>
        <w:numPr>
          <w:ilvl w:val="2"/>
          <w:numId w:val="2"/>
        </w:numPr>
        <w:spacing w:lineRule="auto" w:line="276" w:before="0" w:after="0"/>
        <w:ind w:left="1134" w:right="0" w:hanging="1134"/>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1134" w:right="0" w:hanging="113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Fator de manutenção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Para as simulações luminotécnicas no software “DIALux EVO” deverá ser adotado, obrigatoriamente, </w:t>
      </w:r>
      <w:r>
        <w:rPr>
          <w:rFonts w:cs="Arial" w:ascii="Arial" w:hAnsi="Arial"/>
          <w:b/>
          <w:bCs/>
          <w:color w:val="000000"/>
          <w:sz w:val="22"/>
          <w:szCs w:val="22"/>
          <w:shd w:fill="auto" w:val="clear"/>
        </w:rPr>
        <w:t>fator de manutenção igual a 0,80</w:t>
      </w:r>
      <w:r>
        <w:rPr>
          <w:rFonts w:cs="Arial" w:ascii="Arial" w:hAnsi="Arial"/>
          <w:color w:val="000000"/>
          <w:sz w:val="22"/>
          <w:szCs w:val="22"/>
          <w:shd w:fill="auto" w:val="clear"/>
        </w:rPr>
        <w:t>.</w:t>
      </w:r>
    </w:p>
    <w:p>
      <w:pPr>
        <w:pStyle w:val="ListParagraph"/>
        <w:numPr>
          <w:ilvl w:val="0"/>
          <w:numId w:val="2"/>
        </w:numPr>
        <w:spacing w:lineRule="auto" w:line="276" w:before="0" w:after="0"/>
        <w:ind w:left="357" w:right="0" w:hanging="357"/>
        <w:contextualSpacing w:val="false"/>
        <w:rPr>
          <w:rFonts w:ascii="Arial" w:hAnsi="Arial"/>
          <w:color w:val="000000"/>
          <w:sz w:val="22"/>
          <w:szCs w:val="22"/>
          <w:highlight w:val="none"/>
          <w:shd w:fill="auto" w:val="clear"/>
        </w:rPr>
      </w:pPr>
      <w:r>
        <w:rPr>
          <w:rFonts w:cs="Arial" w:ascii="Arial" w:hAnsi="Arial"/>
          <w:b/>
          <w:bCs/>
          <w:color w:val="000000"/>
          <w:sz w:val="22"/>
          <w:szCs w:val="22"/>
          <w:shd w:fill="auto" w:val="clear"/>
        </w:rPr>
        <w:t>Comprovação dos requisitos técnicos da luminária LED</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requisitos técnicos da luminária LED deverão ser comprovados por meio das seguintes condições:</w:t>
      </w:r>
    </w:p>
    <w:p>
      <w:pPr>
        <w:pStyle w:val="ListParagraph"/>
        <w:numPr>
          <w:ilvl w:val="1"/>
          <w:numId w:val="2"/>
        </w:numPr>
        <w:spacing w:lineRule="auto" w:line="276" w:before="0" w:after="0"/>
        <w:ind w:left="794" w:right="0" w:hanging="794"/>
        <w:contextualSpacing w:val="false"/>
        <w:jc w:val="both"/>
        <w:rPr>
          <w:rFonts w:cs="Arial"/>
          <w:b/>
          <w:bCs/>
        </w:rPr>
      </w:pPr>
      <w:r>
        <w:rPr>
          <w:rFonts w:ascii="Arial" w:hAnsi="Arial"/>
          <w:color w:val="000000"/>
          <w:sz w:val="22"/>
          <w:szCs w:val="22"/>
          <w:shd w:fill="auto" w:val="clear"/>
        </w:rPr>
      </w:r>
    </w:p>
    <w:p>
      <w:pPr>
        <w:pStyle w:val="ListParagraph"/>
        <w:numPr>
          <w:ilvl w:val="1"/>
          <w:numId w:val="2"/>
        </w:numPr>
        <w:spacing w:lineRule="auto" w:line="276" w:before="0" w:after="0"/>
        <w:ind w:left="794" w:right="0" w:hanging="794"/>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Catálogo técnico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 catálogo técnico do fabricante, de origem física e/ou virtual, deverá constar exatamente o mesmo modelo da luminária LED ofertada, inclusive no que se refere à geração do equipamento, caso o modelo tenha sido objeto de atualizações técnicas ao longo do tempo pelo fabricante.</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 catálogo técnico do fabricante, de origem física e/ou virtual, deverá constar exatamente o mesmo modelo utilizado para construção do arquivo IES (curva fotométrica) entregue pelo fornecedor e aplicado na simulação luminotécnica.</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Excepcionalmente, na hipótese de não constar no catálogo técnico do fabricante, por falta de atualização, exatamente o mesmo modelo da luminária ofertada pelo fornecedor, será admitida, para fins de comprovação, uma declaração em papel timbrado do próprio fabricante da luminária contendo, no mínimo:</w:t>
      </w:r>
    </w:p>
    <w:p>
      <w:pPr>
        <w:pStyle w:val="ListParagraph"/>
        <w:numPr>
          <w:ilvl w:val="1"/>
          <w:numId w:val="2"/>
        </w:numPr>
        <w:spacing w:lineRule="auto" w:line="276" w:before="0" w:after="0"/>
        <w:ind w:left="426" w:right="0" w:hanging="426"/>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Identificação;</w:t>
      </w:r>
    </w:p>
    <w:p>
      <w:pPr>
        <w:pStyle w:val="ListParagraph"/>
        <w:numPr>
          <w:ilvl w:val="1"/>
          <w:numId w:val="2"/>
        </w:numPr>
        <w:spacing w:lineRule="auto" w:line="276" w:before="0" w:after="0"/>
        <w:ind w:left="426" w:right="0" w:hanging="426"/>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Contato: telefone e e-mail;</w:t>
      </w:r>
    </w:p>
    <w:p>
      <w:pPr>
        <w:pStyle w:val="ListParagraph"/>
        <w:numPr>
          <w:ilvl w:val="1"/>
          <w:numId w:val="2"/>
        </w:numPr>
        <w:spacing w:lineRule="auto" w:line="276" w:before="0" w:after="0"/>
        <w:ind w:left="426" w:right="0" w:hanging="426"/>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Assinatura e data;</w:t>
      </w:r>
    </w:p>
    <w:p>
      <w:pPr>
        <w:pStyle w:val="ListParagraph"/>
        <w:widowControl w:val="false"/>
        <w:numPr>
          <w:ilvl w:val="1"/>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Citação direta do modelo ofertado acrescentado das informações sobre as características técnicas de construção, desempenho e operação, além do prazo de garantia.</w:t>
      </w:r>
    </w:p>
    <w:p>
      <w:pPr>
        <w:pStyle w:val="ListParagraph"/>
        <w:numPr>
          <w:ilvl w:val="2"/>
          <w:numId w:val="2"/>
        </w:numPr>
        <w:spacing w:lineRule="auto" w:line="276" w:before="75"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75"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Informações a serem verificadas junto ao catálogo</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Para fins de comprovação dos requisitos técnicos solicitados a seguir, será admitida a apresentação de um ou mais documentos, de origem física ou virtual, inclusive de declaração emitida pelo fabricante nas condições citadas anteriormente. </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Garantia Contratual</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Prazo mínimo de 5 anos.</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Potência nominal</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Em valor nominal abaixo ou igual à potência máxima estabelecida no projeto luminotécnico para o respectivo cenário/padrão, em Watts (W).</w:t>
      </w:r>
    </w:p>
    <w:p>
      <w:pPr>
        <w:pStyle w:val="ListParagraph"/>
        <w:numPr>
          <w:ilvl w:val="3"/>
          <w:numId w:val="2"/>
        </w:numPr>
        <w:spacing w:lineRule="auto" w:line="276" w:before="75"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75"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Corpo da luminária</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Alumínio injetado a alta pressão.</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Módulo LED</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Tecnologia SMD ou tecnologia LED COB </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Conjunto óptico</w:t>
      </w:r>
    </w:p>
    <w:p>
      <w:pPr>
        <w:pStyle w:val="ListParagraph"/>
        <w:numPr>
          <w:ilvl w:val="4"/>
          <w:numId w:val="2"/>
        </w:numPr>
        <w:spacing w:lineRule="auto" w:line="276" w:before="0" w:after="0"/>
        <w:ind w:left="1276" w:right="0" w:hanging="1276"/>
        <w:contextualSpacing w:val="false"/>
        <w:rPr>
          <w:rFonts w:ascii="Arial" w:hAnsi="Arial"/>
          <w:color w:val="000000"/>
          <w:sz w:val="22"/>
          <w:szCs w:val="22"/>
          <w:highlight w:val="none"/>
          <w:shd w:fill="auto" w:val="clear"/>
        </w:rPr>
      </w:pPr>
      <w:r>
        <w:rPr>
          <w:rFonts w:cs="Arial" w:ascii="Arial" w:hAnsi="Arial"/>
          <w:bCs/>
          <w:color w:val="000000"/>
          <w:sz w:val="22"/>
          <w:szCs w:val="22"/>
          <w:shd w:fill="auto" w:val="clear"/>
        </w:rPr>
        <w:t>Luminárias que utilizem tecnologia SMD</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Neste caso, o conjunto óptico da luminária LED deverá ser fechado por um refrator (confeccionado em vidro temperado ou policarbonato) ou por uma lente de policarbonato, ou seja, poderão ser fornecidas luminárias cujo conjunto óptico seja fechado por meio de um refrator (confeccionado em vidro temperado ou policarbonato) e também luminárias cujo conjunto óptico seja fechado por meio de uma lente de policarbonato.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Na hipótese do conjunto óptico da luminária ser fechado por meio de uma lente de policarbonato, esse componente deverá proteger toda a superfície do conjunto óptico visando garantir sua segurança e estanqueidade, de modo a prevenir a ocorrência de acidente, vandalismo, deterioração, além de infiltração de resíduos que prejudique seu desempenho. Neste caso, o refrator é opcional.</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Se porventura, a lente de policarbonato não proteger toda a superfície do conjunto óptico, de modo a garantir sua segurança e estanqueidade, o refrator (confeccionado em vidro temperado ou policarbonato) passa a ser obrigatório.</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No caso de as luminárias serem fechadas por meio de um refrator confeccionado em policarbonato ou por meio de uma lente confeccionada em policarbonato, por conta da aplicação externa sujeita à exposição ao tempo, deverá seguir as indicações da norma ASTM G154, ciclo 3, na câmara de UV (radiação ultravioleta) com um tempo de exposição de 2.016 horas, conforme Portaria Nº 62, de 17 de fevereiro de 2022 – Luminárias para a Iluminação Pública Viária – Consolidado. </w:t>
      </w:r>
    </w:p>
    <w:p>
      <w:pPr>
        <w:pStyle w:val="ListParagraph"/>
        <w:numPr>
          <w:ilvl w:val="4"/>
          <w:numId w:val="2"/>
        </w:numPr>
        <w:spacing w:lineRule="auto" w:line="276" w:before="0" w:after="0"/>
        <w:ind w:left="1276" w:right="0" w:hanging="1276"/>
        <w:contextualSpacing w:val="false"/>
        <w:rPr>
          <w:rFonts w:ascii="Arial" w:hAnsi="Arial"/>
          <w:color w:val="000000"/>
          <w:sz w:val="22"/>
          <w:szCs w:val="22"/>
          <w:highlight w:val="none"/>
          <w:shd w:fill="auto" w:val="clear"/>
        </w:rPr>
      </w:pPr>
      <w:r>
        <w:rPr>
          <w:rFonts w:cs="Arial" w:ascii="Arial" w:hAnsi="Arial"/>
          <w:bCs/>
          <w:color w:val="000000"/>
          <w:sz w:val="22"/>
          <w:szCs w:val="22"/>
          <w:shd w:fill="auto" w:val="clear"/>
        </w:rPr>
        <w:t>Luminárias que utilizam a tecnologia Chip on Board (COB)</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Luminárias que utilizam a tecnologia Chip on Board (COB) para encapsulamento do LED o sistema óptico secundário deverá ser confeccionado em vidro borosilicato. O respectivo material trata-se de vidro temperado com propriedades termorresistente, com elevada resistência química, além de possuir coeficiente de expansão térmico mínimo.</w:t>
      </w:r>
    </w:p>
    <w:p>
      <w:pPr>
        <w:pStyle w:val="ListParagraph"/>
        <w:numPr>
          <w:ilvl w:val="4"/>
          <w:numId w:val="2"/>
        </w:numPr>
        <w:spacing w:lineRule="auto" w:line="276" w:before="0" w:after="0"/>
        <w:ind w:left="1276" w:right="0" w:hanging="1276"/>
        <w:contextualSpacing w:val="false"/>
        <w:rPr>
          <w:rFonts w:ascii="Arial" w:hAnsi="Arial"/>
          <w:color w:val="000000"/>
          <w:sz w:val="22"/>
          <w:szCs w:val="22"/>
          <w:highlight w:val="none"/>
          <w:shd w:fill="auto" w:val="clear"/>
        </w:rPr>
      </w:pPr>
      <w:r>
        <w:rPr>
          <w:rFonts w:cs="Arial" w:ascii="Arial" w:hAnsi="Arial"/>
          <w:color w:val="000000"/>
          <w:sz w:val="22"/>
          <w:szCs w:val="22"/>
          <w:shd w:fill="auto" w:val="clear"/>
        </w:rPr>
        <w:t xml:space="preserve">A transparência mínima </w:t>
      </w:r>
      <w:r>
        <w:rPr>
          <w:rFonts w:cs="Arial" w:ascii="Arial" w:hAnsi="Arial"/>
          <w:bCs/>
          <w:color w:val="000000"/>
          <w:sz w:val="22"/>
          <w:szCs w:val="22"/>
          <w:shd w:fill="auto" w:val="clear"/>
        </w:rPr>
        <w:t>inicial</w:t>
      </w:r>
      <w:r>
        <w:rPr>
          <w:rFonts w:cs="Arial" w:ascii="Arial" w:hAnsi="Arial"/>
          <w:color w:val="000000"/>
          <w:sz w:val="22"/>
          <w:szCs w:val="22"/>
          <w:shd w:fill="auto" w:val="clear"/>
        </w:rPr>
        <w:t xml:space="preserve"> das lentes deverá ser de 90%.</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Temperatura de Cor Correlata (TCC)</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Manter as faixas de temperatura de cor definidas na Portaria nº 62/2022, vigente até o presente momento, ou seja, mínima (2.700 K) e máxima (6.500 K), seguindo a especificação técnica do Procel Reluz com TCC até 4.000K, observado o tópico de áreas de preservação ambiental definidos pela NBR 5101:2024.</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Vida útil do Conjunto</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de 50.000 horas.</w:t>
      </w:r>
    </w:p>
    <w:p>
      <w:pPr>
        <w:pStyle w:val="ListParagraph"/>
        <w:numPr>
          <w:ilvl w:val="3"/>
          <w:numId w:val="2"/>
        </w:numPr>
        <w:spacing w:lineRule="auto" w:line="276" w:before="75"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Sistema óptico secundário (lente)</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Confeccionado em policarbonato, acrílico ou vidro borosilicato. A transparência mínima inicial das lentes deve ser de 90%.</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Na hipótese da lente ser de material acrílico, a luminária deverá contar com um refrator que poderá ser de policarbonato ou vidro.</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Grau de proteção das luminárias</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Os alojamentos das partes vitais (LED, sistema óptico secundário e controlador) deverão ter no mínimo grau de proteção IP-66.</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Resistência a impactos mecânicos (Classificação IK)</w:t>
      </w:r>
    </w:p>
    <w:p>
      <w:pPr>
        <w:pStyle w:val="Normal"/>
        <w:numPr>
          <w:ilvl w:val="3"/>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Mínimo IK-08.</w:t>
      </w:r>
    </w:p>
    <w:p>
      <w:pPr>
        <w:pStyle w:val="ListParagraph"/>
        <w:numPr>
          <w:ilvl w:val="3"/>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3"/>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Temperatura de Operação: </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luminária deverá operar, sem prejuízos a quaisquer materiais e/ou equipamentos entre temperaturas de-5°C a 50°C.</w:t>
      </w:r>
    </w:p>
    <w:p>
      <w:pPr>
        <w:pStyle w:val="ListParagraph"/>
        <w:numPr>
          <w:ilvl w:val="3"/>
          <w:numId w:val="2"/>
        </w:numPr>
        <w:spacing w:lineRule="auto" w:line="276" w:before="360" w:after="12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Montagem</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devem possibilitar a fixação em braços através de, no mínimo, 02 (dois) parafusos de fixação de aço inox.</w:t>
      </w:r>
    </w:p>
    <w:p>
      <w:pPr>
        <w:pStyle w:val="ListParagraph"/>
        <w:numPr>
          <w:ilvl w:val="3"/>
          <w:numId w:val="2"/>
        </w:numPr>
        <w:spacing w:lineRule="auto" w:line="276" w:before="360" w:after="12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Ajuste do ângulo de montagem</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Somente na hipótese de a luminária ter sido ofertada na categoria que obriga a presença de ajuste de ângulo de montagem direto na luminária, com ou sem adaptador.</w:t>
      </w:r>
    </w:p>
    <w:p>
      <w:pPr>
        <w:pStyle w:val="ListParagraph"/>
        <w:numPr>
          <w:ilvl w:val="3"/>
          <w:numId w:val="2"/>
        </w:numPr>
        <w:spacing w:lineRule="auto" w:line="276" w:before="18"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Tomada integrada de 7 posições para relé fotocontrolador</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devem ser fornecidas com uma tomada embutida para relé fotocontrolador de 7 contatos sendo 3 para carga e 4 para dimerização e dados, conforme ANSI C136.41.</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Base (tomada) deverá permitir a perfeita conexão de qualquer relé fotocontrolador, cujas dimensões estejam de acordo com a NBR 5123. O conjunto: base (tomada) + relé fotocontrolador, após conectados, deverão ser capazes de vedar completamente a infiltração de água para o interior da luminária.</w:t>
      </w:r>
    </w:p>
    <w:p>
      <w:pPr>
        <w:pStyle w:val="ListParagraph"/>
        <w:numPr>
          <w:ilvl w:val="1"/>
          <w:numId w:val="2"/>
        </w:numPr>
        <w:spacing w:lineRule="auto" w:line="276" w:before="0" w:after="0"/>
        <w:ind w:left="792" w:right="0" w:hanging="7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Relatórios de simulação luminotécnica </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 critério do município, a comprovação do cumprimento de todas as características determinadas para a simulação do “cenário/padrão”, além do atendimento aos indicadores luminotécnicos mínimos estabelecidos, poderá ser realizada de 2 (duas) formas. Caberá ao município optar pela forma de recebimento que entenda mais adequada, a saber:</w:t>
      </w:r>
    </w:p>
    <w:p>
      <w:pPr>
        <w:pStyle w:val="ListParagraph"/>
        <w:numPr>
          <w:ilvl w:val="2"/>
          <w:numId w:val="2"/>
        </w:numPr>
        <w:spacing w:lineRule="auto" w:line="276" w:before="0"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1ª opção de comprovação</w:t>
      </w:r>
    </w:p>
    <w:p>
      <w:pPr>
        <w:pStyle w:val="Normal"/>
        <w:numPr>
          <w:ilvl w:val="2"/>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Por meio do relatório de simulação luminotécnica gerado pelo software “Dialux evo”, entregue em meio virtual, pelo fornecedor da Luminária LED.</w:t>
      </w:r>
    </w:p>
    <w:p>
      <w:pPr>
        <w:pStyle w:val="ListParagraph"/>
        <w:numPr>
          <w:ilvl w:val="0"/>
          <w:numId w:val="2"/>
        </w:numPr>
        <w:spacing w:lineRule="auto" w:line="276" w:before="0" w:after="0"/>
        <w:ind w:left="360" w:right="0" w:hanging="36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Meio virtual: Relatório extraído do software “Dialux evo” em Pdf;</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w:t>
      </w:r>
      <w:bookmarkStart w:id="10" w:name="_Hlk41904982"/>
      <w:r>
        <w:rPr>
          <w:rFonts w:cs="Arial" w:ascii="Arial" w:hAnsi="Arial"/>
          <w:color w:val="000000"/>
          <w:sz w:val="22"/>
          <w:szCs w:val="22"/>
          <w:shd w:fill="auto" w:val="clear"/>
        </w:rPr>
        <w:t>técnico do município, ou por ele indicado</w:t>
      </w:r>
      <w:bookmarkEnd w:id="10"/>
      <w:r>
        <w:rPr>
          <w:rFonts w:cs="Arial" w:ascii="Arial" w:hAnsi="Arial"/>
          <w:color w:val="000000"/>
          <w:sz w:val="22"/>
          <w:szCs w:val="22"/>
          <w:shd w:fill="auto" w:val="clear"/>
        </w:rPr>
        <w:t>, avalia os resultados do relatório entregue e realiza seu parecer sobre o atendimento ou não da luminária LED ofertada;</w:t>
      </w:r>
    </w:p>
    <w:p>
      <w:pPr>
        <w:pStyle w:val="ListParagraph"/>
        <w:numPr>
          <w:ilvl w:val="2"/>
          <w:numId w:val="2"/>
        </w:numPr>
        <w:spacing w:lineRule="auto" w:line="276" w:before="0"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2ª opção de comprovação</w:t>
      </w:r>
    </w:p>
    <w:p>
      <w:pPr>
        <w:pStyle w:val="Normal"/>
        <w:numPr>
          <w:ilvl w:val="0"/>
          <w:numId w:val="0"/>
        </w:numPr>
        <w:spacing w:lineRule="auto" w:line="276" w:before="0" w:after="12"/>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Por meio da simulação luminotécnica realizada no software “Dialux evo” diretamente por um técnico do município, ou por ele indicado, cujos procedimentos estão definidos abaixo:</w:t>
      </w:r>
    </w:p>
    <w:p>
      <w:pPr>
        <w:pStyle w:val="ListParagraph"/>
        <w:numPr>
          <w:ilvl w:val="0"/>
          <w:numId w:val="2"/>
        </w:numPr>
        <w:spacing w:lineRule="auto" w:line="276" w:before="0" w:after="12"/>
        <w:ind w:left="426" w:right="0" w:hanging="426"/>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fornecedor entrega a “curva fotométrica” da luminária LED ofertada;</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técnico do município, ou por ele indicado, no software “Dialux evo” constrói o “cenário/padrão” com as mesmas características determinadas no projeto luminotécnico;</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técnico do município, ou por ele indicado, importa a “curva fotométrica” para o software “Dialux evo” e aplica a curva no respectivo “cenário/padrão” definido no projeto luminotécnico;</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técnico do município, ou por ele indicado, avalia os resultados e realiza seu parecer sobre</w:t>
      </w:r>
      <w:bookmarkStart w:id="11" w:name="_GoBack_Copia_1"/>
      <w:bookmarkEnd w:id="11"/>
      <w:r>
        <w:rPr>
          <w:rFonts w:cs="Arial" w:ascii="Arial" w:hAnsi="Arial"/>
          <w:color w:val="000000"/>
          <w:sz w:val="22"/>
          <w:szCs w:val="22"/>
          <w:shd w:fill="auto" w:val="clear"/>
        </w:rPr>
        <w:t xml:space="preserve"> o atendimento ou não da luminária LED ofertada;</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técnico do município, ou por ele indicado, extrai do software “Dialux evo” o relatório de simulação luminotécnica, em formato Pdf, para dar publicidade dos resultados e de seu parecer;</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O relatório de simulação luminotécnica fica disponível para comprovação do atendimento ou não da luminária LED ofertada.</w:t>
      </w:r>
    </w:p>
    <w:p>
      <w:pPr>
        <w:pStyle w:val="ListParagraph"/>
        <w:numPr>
          <w:ilvl w:val="2"/>
          <w:numId w:val="2"/>
        </w:numPr>
        <w:spacing w:lineRule="auto" w:line="276" w:before="0"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Curva fotométrica: Arquivo. IES</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 relatório de simulação luminotécnica deverá constar o modelo da luminária que originou a curva fotométrica utilizada na simulação, para isso, basta habilitar a informação no software quando produzir o relatório luminotécnico.</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modelo que originou a curva fotométrica utilizada na simulação deverá </w:t>
      </w:r>
      <w:bookmarkStart w:id="12" w:name="_Hlk41568102"/>
      <w:r>
        <w:rPr>
          <w:rFonts w:cs="Arial" w:ascii="Arial" w:hAnsi="Arial"/>
          <w:color w:val="000000"/>
          <w:sz w:val="22"/>
          <w:szCs w:val="22"/>
          <w:shd w:fill="auto" w:val="clear"/>
        </w:rPr>
        <w:t>coincidir com o modelo da luminária ofertada e citada no catálogo ou declaração do fabricante.</w:t>
      </w:r>
      <w:bookmarkEnd w:id="12"/>
      <w:r>
        <w:rPr>
          <w:rFonts w:cs="Arial" w:ascii="Arial" w:hAnsi="Arial"/>
          <w:color w:val="000000"/>
          <w:sz w:val="22"/>
          <w:szCs w:val="22"/>
          <w:shd w:fill="auto" w:val="clear"/>
        </w:rPr>
        <w:t xml:space="preserve"> Pode-se então concluir que deverá haver uma unidade na informação, ou seja, o modelo de luminária LED ofertada deverá ser a mesma no catálogo ou declaração do fabricante, na curva fotométrica e no relatório de simulação luminotécnica.</w:t>
      </w:r>
    </w:p>
    <w:p>
      <w:pPr>
        <w:pStyle w:val="ListParagraph"/>
        <w:numPr>
          <w:ilvl w:val="2"/>
          <w:numId w:val="2"/>
        </w:numPr>
        <w:spacing w:lineRule="auto" w:line="276" w:before="0"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Fator de manutenção: 0,80</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 relatório de simulação luminotécnica deverá constar o fator de manutenção igual a 0,80.</w:t>
      </w:r>
    </w:p>
    <w:p>
      <w:pPr>
        <w:pStyle w:val="ListParagraph"/>
        <w:numPr>
          <w:ilvl w:val="2"/>
          <w:numId w:val="2"/>
        </w:numPr>
        <w:spacing w:lineRule="auto" w:line="276" w:before="0" w:after="0"/>
        <w:ind w:left="851" w:right="0" w:hanging="851"/>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851" w:right="0" w:hanging="851"/>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Índices mínimos estabelecidos na ABNT NBR 5101</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No relatório de simulação luminotécnica deverão constar os valores dos índices mínimos estabelecidos na ABNT NBR 5101 para a classe de iluminação definida para cada padrão/cenário. Os índices estabelecidos na norma por classe de iluminação são:</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cs="Arial"/>
          <w:b/>
          <w:bCs/>
        </w:rPr>
      </w:pPr>
      <w:r>
        <w:rPr>
          <w:rFonts w:ascii="Arial" w:hAnsi="Arial"/>
          <w:color w:val="000000"/>
          <w:sz w:val="22"/>
          <w:szCs w:val="22"/>
          <w:shd w:fill="auto" w:val="clear"/>
        </w:rPr>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Classes de iluminação M (vias de tráfego motorizado):</w:t>
      </w:r>
      <w:r>
        <w:rPr>
          <w:rFonts w:cs="Arial" w:ascii="Arial" w:hAnsi="Arial"/>
          <w:color w:val="000000"/>
          <w:sz w:val="22"/>
          <w:szCs w:val="22"/>
          <w:shd w:fill="auto" w:val="clear"/>
        </w:rPr>
        <w:t xml:space="preserve"> Luminância média mantida na superfície da via (L</w:t>
      </w:r>
      <w:r>
        <w:rPr>
          <w:rFonts w:cs="Arial" w:ascii="Arial" w:hAnsi="Arial"/>
          <w:color w:val="000000"/>
          <w:sz w:val="22"/>
          <w:szCs w:val="22"/>
          <w:shd w:fill="auto" w:val="clear"/>
          <w:vertAlign w:val="subscript"/>
        </w:rPr>
        <w:t>méd</w:t>
      </w:r>
      <w:r>
        <w:rPr>
          <w:rFonts w:cs="Arial" w:ascii="Arial" w:hAnsi="Arial"/>
          <w:color w:val="000000"/>
          <w:sz w:val="22"/>
          <w:szCs w:val="22"/>
          <w:shd w:fill="auto" w:val="clear"/>
        </w:rPr>
        <w:t>), uniformidades gerais (U</w:t>
      </w:r>
      <w:r>
        <w:rPr>
          <w:rFonts w:cs="Arial" w:ascii="Arial" w:hAnsi="Arial"/>
          <w:color w:val="000000"/>
          <w:sz w:val="22"/>
          <w:szCs w:val="22"/>
          <w:shd w:fill="auto" w:val="clear"/>
          <w:vertAlign w:val="subscript"/>
        </w:rPr>
        <w:t>o</w:t>
      </w:r>
      <w:r>
        <w:rPr>
          <w:rFonts w:cs="Arial" w:ascii="Arial" w:hAnsi="Arial"/>
          <w:color w:val="000000"/>
          <w:sz w:val="22"/>
          <w:szCs w:val="22"/>
          <w:shd w:fill="auto" w:val="clear"/>
        </w:rPr>
        <w:t>) e longitudinal (U</w:t>
      </w:r>
      <w:r>
        <w:rPr>
          <w:rFonts w:cs="Arial" w:ascii="Arial" w:hAnsi="Arial"/>
          <w:color w:val="000000"/>
          <w:sz w:val="22"/>
          <w:szCs w:val="22"/>
          <w:shd w:fill="auto" w:val="clear"/>
          <w:vertAlign w:val="subscript"/>
        </w:rPr>
        <w:t>L</w:t>
      </w:r>
      <w:r>
        <w:rPr>
          <w:rFonts w:cs="Arial" w:ascii="Arial" w:hAnsi="Arial"/>
          <w:color w:val="000000"/>
          <w:sz w:val="22"/>
          <w:szCs w:val="22"/>
          <w:shd w:fill="auto" w:val="clear"/>
        </w:rPr>
        <w:t>) da luminância, razão das iluminâncias adjacentes à via (EIR) e o percentual do incremento de limiar f</w:t>
      </w:r>
      <w:r>
        <w:rPr>
          <w:rFonts w:cs="Arial" w:ascii="Arial" w:hAnsi="Arial"/>
          <w:color w:val="000000"/>
          <w:sz w:val="22"/>
          <w:szCs w:val="22"/>
          <w:shd w:fill="auto" w:val="clear"/>
          <w:vertAlign w:val="subscript"/>
        </w:rPr>
        <w:t>TI</w:t>
      </w:r>
      <w:r>
        <w:rPr>
          <w:rFonts w:cs="Arial" w:ascii="Arial" w:hAnsi="Arial"/>
          <w:color w:val="000000"/>
          <w:sz w:val="22"/>
          <w:szCs w:val="22"/>
          <w:shd w:fill="auto" w:val="clear"/>
        </w:rPr>
        <w:t xml:space="preserve"> (%);</w:t>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cs="Arial"/>
          <w:b/>
          <w:bCs/>
        </w:rPr>
      </w:pPr>
      <w:r>
        <w:rPr>
          <w:rFonts w:ascii="Arial" w:hAnsi="Arial"/>
          <w:color w:val="000000"/>
          <w:sz w:val="22"/>
          <w:szCs w:val="22"/>
          <w:shd w:fill="auto" w:val="clear"/>
        </w:rPr>
      </w:r>
    </w:p>
    <w:p>
      <w:pPr>
        <w:pStyle w:val="ListParagraph"/>
        <w:widowControl w:val="false"/>
        <w:numPr>
          <w:ilvl w:val="0"/>
          <w:numId w:val="2"/>
        </w:numPr>
        <w:suppressAutoHyphens w:val="true"/>
        <w:overflowPunct w:val="false"/>
        <w:bidi w:val="0"/>
        <w:spacing w:lineRule="auto" w:line="276" w:before="0" w:after="0"/>
        <w:ind w:left="0" w:right="0" w:hanging="0"/>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Classes de iluminação C (vias com (áreas de conflito)</w:t>
      </w:r>
      <w:r>
        <w:rPr>
          <w:rFonts w:cs="Arial" w:ascii="Arial" w:hAnsi="Arial"/>
          <w:color w:val="000000"/>
          <w:sz w:val="22"/>
          <w:szCs w:val="22"/>
          <w:shd w:fill="auto" w:val="clear"/>
        </w:rPr>
        <w:t>: Iluminância horizontal média (E</w:t>
      </w:r>
      <w:r>
        <w:rPr>
          <w:rFonts w:cs="Arial" w:ascii="Arial" w:hAnsi="Arial"/>
          <w:color w:val="000000"/>
          <w:sz w:val="22"/>
          <w:szCs w:val="22"/>
          <w:shd w:fill="auto" w:val="clear"/>
          <w:vertAlign w:val="subscript"/>
        </w:rPr>
        <w:t>méd</w:t>
      </w:r>
      <w:r>
        <w:rPr>
          <w:rFonts w:cs="Arial" w:ascii="Arial" w:hAnsi="Arial"/>
          <w:color w:val="000000"/>
          <w:sz w:val="22"/>
          <w:szCs w:val="22"/>
          <w:shd w:fill="auto" w:val="clear"/>
        </w:rPr>
        <w:t>), uniformidade geral da iluminância U</w:t>
      </w:r>
      <w:r>
        <w:rPr>
          <w:rFonts w:cs="Arial" w:ascii="Arial" w:hAnsi="Arial"/>
          <w:color w:val="000000"/>
          <w:sz w:val="22"/>
          <w:szCs w:val="22"/>
          <w:shd w:fill="auto" w:val="clear"/>
          <w:vertAlign w:val="subscript"/>
        </w:rPr>
        <w:t>o</w:t>
      </w:r>
      <w:r>
        <w:rPr>
          <w:rFonts w:cs="Arial" w:ascii="Arial" w:hAnsi="Arial"/>
          <w:color w:val="000000"/>
          <w:sz w:val="22"/>
          <w:szCs w:val="22"/>
          <w:shd w:fill="auto" w:val="clear"/>
        </w:rPr>
        <w:t>(E) e incremento de limiar f</w:t>
      </w:r>
      <w:r>
        <w:rPr>
          <w:rFonts w:cs="Arial" w:ascii="Arial" w:hAnsi="Arial"/>
          <w:color w:val="000000"/>
          <w:sz w:val="22"/>
          <w:szCs w:val="22"/>
          <w:shd w:fill="auto" w:val="clear"/>
          <w:vertAlign w:val="subscript"/>
        </w:rPr>
        <w:t>TI</w:t>
      </w:r>
      <w:r>
        <w:rPr>
          <w:rFonts w:cs="Arial" w:ascii="Arial" w:hAnsi="Arial"/>
          <w:color w:val="000000"/>
          <w:sz w:val="22"/>
          <w:szCs w:val="22"/>
          <w:shd w:fill="auto" w:val="clear"/>
        </w:rPr>
        <w:t xml:space="preserve"> (%);</w:t>
      </w:r>
    </w:p>
    <w:p>
      <w:pPr>
        <w:pStyle w:val="ListParagraph"/>
        <w:widowControl w:val="false"/>
        <w:numPr>
          <w:ilvl w:val="0"/>
          <w:numId w:val="2"/>
        </w:numPr>
        <w:suppressAutoHyphens w:val="true"/>
        <w:overflowPunct w:val="false"/>
        <w:bidi w:val="0"/>
        <w:spacing w:lineRule="auto" w:line="276" w:before="0" w:after="0"/>
        <w:ind w:left="-57" w:right="0" w:hanging="0"/>
        <w:contextualSpacing w:val="false"/>
        <w:jc w:val="both"/>
        <w:rPr>
          <w:rFonts w:cs="Arial"/>
          <w:b/>
          <w:bCs/>
        </w:rPr>
      </w:pPr>
      <w:r>
        <w:rPr>
          <w:rFonts w:ascii="Arial" w:hAnsi="Arial"/>
          <w:color w:val="000000"/>
          <w:sz w:val="22"/>
          <w:szCs w:val="22"/>
          <w:shd w:fill="auto" w:val="clear"/>
        </w:rPr>
      </w:r>
    </w:p>
    <w:p>
      <w:pPr>
        <w:pStyle w:val="ListParagraph"/>
        <w:widowControl w:val="false"/>
        <w:numPr>
          <w:ilvl w:val="0"/>
          <w:numId w:val="2"/>
        </w:numPr>
        <w:suppressAutoHyphens w:val="true"/>
        <w:overflowPunct w:val="false"/>
        <w:bidi w:val="0"/>
        <w:spacing w:lineRule="auto" w:line="276" w:before="0" w:after="0"/>
        <w:ind w:left="-57" w:right="0" w:hanging="0"/>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Classes de iluminação P (áreas de uso por pedestres):</w:t>
      </w:r>
      <w:r>
        <w:rPr>
          <w:rFonts w:cs="Arial" w:ascii="Arial" w:hAnsi="Arial"/>
          <w:color w:val="000000"/>
          <w:sz w:val="22"/>
          <w:szCs w:val="22"/>
          <w:shd w:fill="auto" w:val="clear"/>
        </w:rPr>
        <w:t xml:space="preserve"> Iluminância média horizontal E (lx), Iluminância mínima horizontal E (lx) e iluminância vertical mínima E (lx).</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Todos os valores deverão atender as condições mínimas estabelecidas no projeto luminotécnico.</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O relatório deverá conter, no mínimo, os seguintes gráficos:</w:t>
      </w:r>
    </w:p>
    <w:p>
      <w:pPr>
        <w:pStyle w:val="ListParagraph"/>
        <w:numPr>
          <w:ilvl w:val="0"/>
          <w:numId w:val="0"/>
        </w:numPr>
        <w:spacing w:lineRule="auto" w:line="276" w:before="0" w:after="0"/>
        <w:ind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Gráfico de valores, pista e passeios;</w:t>
      </w:r>
    </w:p>
    <w:p>
      <w:pPr>
        <w:pStyle w:val="ListParagraph"/>
        <w:numPr>
          <w:ilvl w:val="0"/>
          <w:numId w:val="0"/>
        </w:numPr>
        <w:spacing w:lineRule="auto" w:line="276" w:before="0" w:after="0"/>
        <w:ind w:right="0" w:hanging="0"/>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Campo de avaliação, pistas e passeios – Linhas isográfica;</w:t>
      </w:r>
    </w:p>
    <w:p>
      <w:pPr>
        <w:pStyle w:val="ListParagraph"/>
        <w:numPr>
          <w:ilvl w:val="2"/>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Rotação da luminária LED no software Dialux Evo</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Deve-se checar no momento de importar a curva fotométrica da luminária LED no software Dialux Evo se ela está rotacionada corretamente em relação a via, pois do contrário todos os resultados estarão comprometidos e invalidados.</w:t>
      </w:r>
    </w:p>
    <w:p>
      <w:pPr>
        <w:pStyle w:val="Normal"/>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A informação acima é relevante pois trata-se de um equívoco muito comum em simulações luminotécnicas, cujo erro causa muitas reprovações.</w:t>
      </w:r>
    </w:p>
    <w:p>
      <w:pPr>
        <w:pStyle w:val="ListParagraph"/>
        <w:numPr>
          <w:ilvl w:val="2"/>
          <w:numId w:val="2"/>
        </w:numPr>
        <w:spacing w:lineRule="auto" w:line="276" w:before="0" w:after="0"/>
        <w:ind w:left="993" w:right="0" w:hanging="993"/>
        <w:contextualSpacing w:val="false"/>
        <w:jc w:val="both"/>
        <w:rPr>
          <w:rFonts w:cs="Arial"/>
          <w:b/>
          <w:bCs/>
        </w:rPr>
      </w:pPr>
      <w:r>
        <w:rPr>
          <w:rFonts w:ascii="Arial" w:hAnsi="Arial"/>
          <w:color w:val="000000"/>
          <w:sz w:val="22"/>
          <w:szCs w:val="22"/>
          <w:shd w:fill="auto" w:val="clear"/>
        </w:rPr>
      </w:r>
    </w:p>
    <w:p>
      <w:pPr>
        <w:pStyle w:val="ListParagraph"/>
        <w:numPr>
          <w:ilvl w:val="2"/>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Aspectos físicos do “cenário/padrão”</w:t>
      </w:r>
    </w:p>
    <w:p>
      <w:pPr>
        <w:pStyle w:val="Normal"/>
        <w:numPr>
          <w:ilvl w:val="2"/>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No relatório de simulação luminotécnica deverá constar: </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bookmarkStart w:id="13" w:name="_Hlk41496731"/>
      <w:r>
        <w:rPr>
          <w:rFonts w:cs="Arial" w:ascii="Arial" w:hAnsi="Arial"/>
          <w:color w:val="000000"/>
          <w:sz w:val="22"/>
          <w:szCs w:val="22"/>
          <w:shd w:fill="auto" w:val="clear"/>
        </w:rPr>
        <w:t>perfil das vias e passeios (largura);</w:t>
      </w:r>
      <w:bookmarkEnd w:id="13"/>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Quantidade de faixas de rodagem;</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distribuição das luminárias (arranjo);</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Distância entre postes;</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Altura de montagem;</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Pendor do ponto de luz;</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Ângulo de inclinação do braço;</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Comprimento do braço;</w:t>
      </w:r>
    </w:p>
    <w:p>
      <w:pPr>
        <w:pStyle w:val="ListParagraph"/>
        <w:numPr>
          <w:ilvl w:val="0"/>
          <w:numId w:val="2"/>
        </w:numPr>
        <w:spacing w:lineRule="auto" w:line="276" w:before="0" w:after="0"/>
        <w:ind w:left="425" w:right="0" w:hanging="425"/>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Distância do poste ao meio-fio.</w:t>
      </w:r>
    </w:p>
    <w:p>
      <w:pPr>
        <w:pStyle w:val="ListParagraph"/>
        <w:numPr>
          <w:ilvl w:val="0"/>
          <w:numId w:val="0"/>
        </w:numPr>
        <w:spacing w:lineRule="auto" w:line="276" w:before="0" w:after="69"/>
        <w:ind w:left="0" w:right="0" w:hanging="0"/>
        <w:contextualSpacing/>
        <w:jc w:val="both"/>
        <w:rPr>
          <w:rFonts w:ascii="Arial" w:hAnsi="Arial"/>
          <w:color w:val="000000"/>
          <w:sz w:val="22"/>
          <w:szCs w:val="22"/>
          <w:highlight w:val="none"/>
          <w:shd w:fill="auto" w:val="clear"/>
        </w:rPr>
      </w:pPr>
      <w:r>
        <w:rPr>
          <w:rFonts w:cs="Arial" w:ascii="Arial" w:hAnsi="Arial"/>
          <w:color w:val="000000"/>
          <w:sz w:val="22"/>
          <w:szCs w:val="22"/>
          <w:shd w:fill="auto" w:val="clear"/>
        </w:rPr>
        <w:t>Com base nos itens acima, deve-se atestar se as características físicas do “cenário/padrão” estabelecidas no projeto luminotécnico foram, de fato, respeitadas.</w:t>
      </w:r>
    </w:p>
    <w:p>
      <w:pPr>
        <w:pStyle w:val="ListParagraph"/>
        <w:numPr>
          <w:ilvl w:val="0"/>
          <w:numId w:val="2"/>
        </w:numPr>
        <w:spacing w:lineRule="auto" w:line="276" w:before="0" w:after="0"/>
        <w:ind w:left="0" w:right="0" w:firstLine="425"/>
        <w:contextualSpacing/>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ListParagraph"/>
        <w:numPr>
          <w:ilvl w:val="2"/>
          <w:numId w:val="2"/>
        </w:numPr>
        <w:spacing w:lineRule="auto" w:line="276" w:before="0" w:after="0"/>
        <w:ind w:left="993" w:right="0" w:hanging="993"/>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Características da luminária: Potência (W)</w:t>
      </w:r>
    </w:p>
    <w:p>
      <w:pPr>
        <w:pStyle w:val="Normal"/>
        <w:numPr>
          <w:ilvl w:val="2"/>
          <w:numId w:val="2"/>
        </w:numPr>
        <w:spacing w:lineRule="auto" w:line="276" w:before="0" w:after="0"/>
        <w:jc w:val="both"/>
        <w:rPr>
          <w:rFonts w:ascii="Arial" w:hAnsi="Arial"/>
          <w:color w:val="000000"/>
          <w:sz w:val="22"/>
          <w:szCs w:val="22"/>
          <w:highlight w:val="none"/>
          <w:shd w:fill="auto" w:val="clear"/>
        </w:rPr>
      </w:pPr>
      <w:r>
        <w:rPr>
          <w:rFonts w:cs="Arial" w:ascii="Arial" w:hAnsi="Arial"/>
          <w:color w:val="000000"/>
          <w:sz w:val="22"/>
          <w:szCs w:val="22"/>
          <w:shd w:fill="auto" w:val="clear"/>
        </w:rPr>
        <w:t>No relatório de simulação luminotécnica</w:t>
      </w:r>
      <w:bookmarkStart w:id="14" w:name="_Hlk41567823"/>
      <w:r>
        <w:rPr>
          <w:rFonts w:cs="Arial" w:ascii="Arial" w:hAnsi="Arial"/>
          <w:color w:val="000000"/>
          <w:sz w:val="22"/>
          <w:szCs w:val="22"/>
          <w:shd w:fill="auto" w:val="clear"/>
        </w:rPr>
        <w:t xml:space="preserve"> deverá constar: </w:t>
      </w:r>
      <w:bookmarkEnd w:id="14"/>
    </w:p>
    <w:p>
      <w:pPr>
        <w:pStyle w:val="ListParagraph"/>
        <w:numPr>
          <w:ilvl w:val="0"/>
          <w:numId w:val="2"/>
        </w:numPr>
        <w:spacing w:lineRule="auto" w:line="276" w:before="0" w:after="12"/>
        <w:ind w:left="426" w:right="0" w:hanging="426"/>
        <w:contextualSpacing w:val="false"/>
        <w:jc w:val="both"/>
        <w:rPr>
          <w:rFonts w:ascii="Arial" w:hAnsi="Arial"/>
          <w:color w:val="000000"/>
          <w:sz w:val="22"/>
          <w:szCs w:val="22"/>
          <w:highlight w:val="none"/>
          <w:shd w:fill="auto" w:val="clear"/>
        </w:rPr>
      </w:pPr>
      <w:r>
        <w:rPr>
          <w:rFonts w:cs="Arial" w:ascii="Arial" w:hAnsi="Arial"/>
          <w:color w:val="000000"/>
          <w:sz w:val="22"/>
          <w:szCs w:val="22"/>
          <w:shd w:fill="auto" w:val="clear"/>
        </w:rPr>
        <w:t>a potência (W) da luminária LED;</w:t>
      </w:r>
    </w:p>
    <w:p>
      <w:pPr>
        <w:pStyle w:val="ListParagraph"/>
        <w:numPr>
          <w:ilvl w:val="0"/>
          <w:numId w:val="0"/>
        </w:numPr>
        <w:spacing w:lineRule="auto" w:line="276" w:before="0" w:after="0"/>
        <w:ind w:left="0" w:right="0" w:hanging="0"/>
        <w:contextualSpacing/>
        <w:jc w:val="both"/>
        <w:rPr>
          <w:rFonts w:ascii="Arial" w:hAnsi="Arial"/>
          <w:color w:val="000000"/>
          <w:sz w:val="22"/>
          <w:szCs w:val="22"/>
          <w:highlight w:val="none"/>
          <w:shd w:fill="auto" w:val="clear"/>
        </w:rPr>
      </w:pPr>
      <w:r>
        <w:rPr>
          <w:rFonts w:cs="Arial" w:ascii="Arial" w:hAnsi="Arial"/>
          <w:color w:val="000000"/>
          <w:sz w:val="22"/>
          <w:szCs w:val="22"/>
          <w:shd w:fill="auto" w:val="clear"/>
        </w:rPr>
        <w:t>Com base no item citado acima, deve-se atestar se a potência apresentada na curva fotométrica é compatível com a potência nominal declarada no catálogo ou declaração do fabricante apresentado pelo fornecedor, respeitada as tolerâncias que constam na Portaria Nº 62, de 17 de fevereiro de 2022 – Luminárias para a Iluminação Pública Viária – Consolidado.</w:t>
      </w:r>
    </w:p>
    <w:p>
      <w:pPr>
        <w:pStyle w:val="ListParagraph"/>
        <w:numPr>
          <w:ilvl w:val="1"/>
          <w:numId w:val="2"/>
        </w:numPr>
        <w:spacing w:lineRule="auto" w:line="276" w:before="0" w:after="0"/>
        <w:ind w:left="792" w:right="0" w:hanging="792"/>
        <w:contextualSpacing w:val="false"/>
        <w:jc w:val="both"/>
        <w:rPr>
          <w:rFonts w:cs="Arial"/>
          <w:b/>
          <w:bCs/>
        </w:rPr>
      </w:pPr>
      <w:r>
        <w:rPr>
          <w:rFonts w:ascii="Arial" w:hAnsi="Arial"/>
          <w:color w:val="000000"/>
          <w:sz w:val="22"/>
          <w:szCs w:val="22"/>
          <w:shd w:fill="auto" w:val="clear"/>
        </w:rPr>
      </w:r>
    </w:p>
    <w:p>
      <w:pPr>
        <w:pStyle w:val="ListParagraph"/>
        <w:numPr>
          <w:ilvl w:val="1"/>
          <w:numId w:val="2"/>
        </w:numPr>
        <w:spacing w:lineRule="auto" w:line="276" w:before="0" w:after="0"/>
        <w:ind w:left="792" w:right="0" w:hanging="792"/>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Parâmetros definidos para Luminárias LED</w:t>
      </w:r>
    </w:p>
    <w:p>
      <w:pPr>
        <w:pStyle w:val="Normal"/>
        <w:numPr>
          <w:ilvl w:val="0"/>
          <w:numId w:val="0"/>
        </w:numPr>
        <w:spacing w:lineRule="auto" w:line="276"/>
        <w:ind w:right="0" w:hanging="0"/>
        <w:jc w:val="both"/>
        <w:rPr/>
      </w:pPr>
      <w:r>
        <w:rPr>
          <w:rFonts w:cs="Arial" w:ascii="Arial" w:hAnsi="Arial"/>
          <w:color w:val="000000"/>
          <w:sz w:val="22"/>
          <w:szCs w:val="22"/>
          <w:shd w:fill="auto" w:val="clear"/>
        </w:rPr>
        <w:t xml:space="preserve">As luminárias LED para Iluminação Pública fornecidas no âmbito desta especificação deverão ser, obrigatoriamente, energeticamente eficientes. Consideram-se luminárias LED energeticamente eficientes, aquelas que possuem Selo do Programa Nacional de Conservação de Energia Elétrica – Procel. A comprovação de que a luminária apossui Selo Procel se dará pela apresentação da Tabela Procel para Luminárias LED atualizada, disponível em </w:t>
      </w:r>
      <w:hyperlink r:id="rId16">
        <w:r>
          <w:rPr>
            <w:rStyle w:val="LinkdaInternet"/>
            <w:rFonts w:cs="Arial" w:ascii="Arial" w:hAnsi="Arial"/>
            <w:color w:val="000000"/>
            <w:sz w:val="22"/>
            <w:szCs w:val="22"/>
            <w:shd w:fill="auto" w:val="clear"/>
          </w:rPr>
          <w:t>www.procelinfo.com.br</w:t>
        </w:r>
      </w:hyperlink>
      <w:r>
        <w:rPr>
          <w:rFonts w:cs="Arial" w:ascii="Arial" w:hAnsi="Arial"/>
          <w:color w:val="000000"/>
          <w:sz w:val="22"/>
          <w:szCs w:val="22"/>
          <w:shd w:fill="auto" w:val="clear"/>
        </w:rPr>
        <w:t>. No documento enviado, deverá ser destacado o modelo da luminária ofertada, cujo equipamento deverá ser o mesmo utilizado na simulação luminotécnica, além de coincidir com o modelo citado no catálogo ou na declaração do fabricante.</w:t>
      </w:r>
    </w:p>
    <w:p>
      <w:pPr>
        <w:pStyle w:val="Normal"/>
        <w:numPr>
          <w:ilvl w:val="0"/>
          <w:numId w:val="0"/>
        </w:numPr>
        <w:spacing w:lineRule="auto" w:line="276" w:before="0" w:after="0"/>
        <w:ind w:right="0" w:hanging="0"/>
        <w:jc w:val="both"/>
        <w:rPr/>
      </w:pPr>
      <w:r>
        <w:rPr>
          <w:rFonts w:cs="Arial" w:ascii="Arial" w:hAnsi="Arial"/>
          <w:color w:val="000000"/>
          <w:sz w:val="22"/>
          <w:szCs w:val="22"/>
          <w:shd w:fill="auto" w:val="clear"/>
        </w:rPr>
        <w:t xml:space="preserve">As luminárias LED fornecidas no âmbito desta especificação deverão ter sido submetidas ao Programa de Avaliação da Conformidade do INMETRO e atender às determinações contidas na Portaria Nº 62, de 17 de fevereiro de 2022 – Luminárias para a Iluminação Pública Viária – Consolidado. A comprovação de atendimento à respectiva Portaria do INMETRO se dará pela apresentação do </w:t>
      </w:r>
      <w:r>
        <w:rPr>
          <w:rFonts w:cs="Arial" w:ascii="Arial" w:hAnsi="Arial"/>
          <w:b/>
          <w:bCs/>
          <w:color w:val="000000"/>
          <w:sz w:val="22"/>
          <w:szCs w:val="22"/>
          <w:shd w:fill="auto" w:val="clear"/>
        </w:rPr>
        <w:t>Certificado de Conformidade, ou documento de mesmo efeito</w:t>
      </w:r>
      <w:r>
        <w:rPr>
          <w:rFonts w:cs="Arial" w:ascii="Arial" w:hAnsi="Arial"/>
          <w:color w:val="000000"/>
          <w:sz w:val="22"/>
          <w:szCs w:val="22"/>
          <w:shd w:fill="auto" w:val="clear"/>
        </w:rPr>
        <w:t xml:space="preserve">. O documento de origem virtual, disponível em </w:t>
      </w:r>
      <w:hyperlink r:id="rId17">
        <w:r>
          <w:rPr>
            <w:rStyle w:val="LinkdaInternet"/>
            <w:rFonts w:cs="Arial" w:ascii="Arial" w:hAnsi="Arial"/>
            <w:color w:val="000000"/>
            <w:sz w:val="22"/>
            <w:szCs w:val="22"/>
            <w:shd w:fill="auto" w:val="clear"/>
          </w:rPr>
          <w:t>www.gov.br/inmetro</w:t>
        </w:r>
      </w:hyperlink>
      <w:r>
        <w:rPr>
          <w:rFonts w:cs="Arial" w:ascii="Arial" w:hAnsi="Arial"/>
          <w:color w:val="000000"/>
          <w:sz w:val="22"/>
          <w:szCs w:val="22"/>
          <w:shd w:fill="auto" w:val="clear"/>
        </w:rPr>
        <w:t>, deverá citar o modelo da luminária ofertada, cujo equipamento deverá ser o mesmo utilizado na simulação luminotécnica, além de coincidir com o modelo citado no catálogo ou na declaração do fabricante.</w:t>
      </w:r>
    </w:p>
    <w:p>
      <w:pPr>
        <w:pStyle w:val="ListParagraph"/>
        <w:numPr>
          <w:ilvl w:val="0"/>
          <w:numId w:val="2"/>
        </w:numPr>
        <w:spacing w:lineRule="auto" w:line="276" w:before="0" w:after="0"/>
        <w:ind w:left="357" w:right="0" w:hanging="357"/>
        <w:contextualSpacing w:val="false"/>
        <w:jc w:val="both"/>
        <w:rPr>
          <w:rFonts w:cs="Arial"/>
          <w:b/>
          <w:bCs/>
        </w:rPr>
      </w:pPr>
      <w:r>
        <w:rPr>
          <w:rFonts w:ascii="Arial" w:hAnsi="Arial"/>
          <w:color w:val="000000"/>
          <w:sz w:val="22"/>
          <w:szCs w:val="22"/>
          <w:shd w:fill="auto" w:val="clear"/>
        </w:rPr>
      </w:r>
    </w:p>
    <w:p>
      <w:pPr>
        <w:pStyle w:val="ListParagraph"/>
        <w:numPr>
          <w:ilvl w:val="0"/>
          <w:numId w:val="2"/>
        </w:numPr>
        <w:spacing w:lineRule="auto" w:line="276" w:before="0" w:after="0"/>
        <w:ind w:left="357" w:right="0" w:hanging="357"/>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Garantia</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prazo de </w:t>
      </w:r>
      <w:r>
        <w:rPr>
          <w:rFonts w:cs="Arial" w:ascii="Arial" w:hAnsi="Arial"/>
          <w:b/>
          <w:bCs/>
          <w:color w:val="000000"/>
          <w:sz w:val="22"/>
          <w:szCs w:val="22"/>
          <w:shd w:fill="auto" w:val="clear"/>
        </w:rPr>
        <w:t>Garantia Contratual</w:t>
      </w:r>
      <w:r>
        <w:rPr>
          <w:rFonts w:cs="Arial" w:ascii="Arial" w:hAnsi="Arial"/>
          <w:color w:val="000000"/>
          <w:sz w:val="22"/>
          <w:szCs w:val="22"/>
          <w:shd w:fill="auto" w:val="clear"/>
        </w:rPr>
        <w:t xml:space="preserve"> da luminária LED deverá ser de 5 (cinco) anos de funcionamento, a partir da data da nota fiscal de venda, contra qualquer defeito dos componentes, controlador, dispositivos, materiais, montagem ou de fabricação.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Em caso de devolução ao fornecedor das luminárias para reparo ou substituição, dentro do período de garantia contratual, todas as despesas decorrentes do transporte, substituição ou reparação do material defeituoso no almoxarifado ou no poste, correrão por conta do fornecedor, bem como as despesas para entrega e instalação das respectivas luminárias novas ou reparadas.</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Conforme preceitua o Código de Defesa do Consumidor o prazo para reclamações de vícios existentes em produtos duráveis é fixado em 90 (noventa) dias, o qual a doutrina trata como </w:t>
      </w:r>
      <w:r>
        <w:rPr>
          <w:rFonts w:cs="Arial" w:ascii="Arial" w:hAnsi="Arial"/>
          <w:b/>
          <w:bCs/>
          <w:color w:val="000000"/>
          <w:sz w:val="22"/>
          <w:szCs w:val="22"/>
          <w:shd w:fill="auto" w:val="clear"/>
        </w:rPr>
        <w:t>Garantia Legal</w:t>
      </w:r>
      <w:r>
        <w:rPr>
          <w:rFonts w:cs="Arial" w:ascii="Arial" w:hAnsi="Arial"/>
          <w:color w:val="000000"/>
          <w:sz w:val="22"/>
          <w:szCs w:val="22"/>
          <w:shd w:fill="auto" w:val="clear"/>
        </w:rPr>
        <w:t xml:space="preserve">. O mesmo documento, em seu artigo 50, cita a </w:t>
      </w:r>
      <w:r>
        <w:rPr>
          <w:rFonts w:cs="Arial" w:ascii="Arial" w:hAnsi="Arial"/>
          <w:b/>
          <w:bCs/>
          <w:color w:val="000000"/>
          <w:sz w:val="22"/>
          <w:szCs w:val="22"/>
          <w:shd w:fill="auto" w:val="clear"/>
        </w:rPr>
        <w:t>Garantia Contratual</w:t>
      </w:r>
      <w:r>
        <w:rPr>
          <w:rFonts w:cs="Arial" w:ascii="Arial" w:hAnsi="Arial"/>
          <w:color w:val="000000"/>
          <w:sz w:val="22"/>
          <w:szCs w:val="22"/>
          <w:shd w:fill="auto" w:val="clear"/>
        </w:rPr>
        <w:t xml:space="preserve">, aquela concedida de modo facultativo pelo fornecedor através de um </w:t>
      </w:r>
      <w:r>
        <w:rPr>
          <w:rFonts w:cs="Arial" w:ascii="Arial" w:hAnsi="Arial"/>
          <w:b/>
          <w:bCs/>
          <w:color w:val="000000"/>
          <w:sz w:val="22"/>
          <w:szCs w:val="22"/>
          <w:shd w:fill="auto" w:val="clear"/>
        </w:rPr>
        <w:t>Termo de Garantia, cujos efeitos são complementares à Garantia Legal</w:t>
      </w:r>
      <w:r>
        <w:rPr>
          <w:rFonts w:cs="Arial" w:ascii="Arial" w:hAnsi="Arial"/>
          <w:color w:val="000000"/>
          <w:sz w:val="22"/>
          <w:szCs w:val="22"/>
          <w:shd w:fill="auto" w:val="clear"/>
        </w:rPr>
        <w:t xml:space="preserve">, ou seja, elas se somam para compor a garantia total do bem. </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Logo, fica estabelecido que o fabricante da luminária LED ao conceder a </w:t>
      </w:r>
      <w:r>
        <w:rPr>
          <w:rFonts w:cs="Arial" w:ascii="Arial" w:hAnsi="Arial"/>
          <w:b/>
          <w:bCs/>
          <w:color w:val="000000"/>
          <w:sz w:val="22"/>
          <w:szCs w:val="22"/>
          <w:shd w:fill="auto" w:val="clear"/>
        </w:rPr>
        <w:t>Garantia Contratual</w:t>
      </w:r>
      <w:r>
        <w:rPr>
          <w:rFonts w:cs="Arial" w:ascii="Arial" w:hAnsi="Arial"/>
          <w:color w:val="000000"/>
          <w:sz w:val="22"/>
          <w:szCs w:val="22"/>
          <w:shd w:fill="auto" w:val="clear"/>
        </w:rPr>
        <w:t xml:space="preserve"> de 5 (cinco) anos de seu produto, o consumidor então gozará de 5 (cinco) anos de </w:t>
      </w:r>
      <w:r>
        <w:rPr>
          <w:rFonts w:cs="Arial" w:ascii="Arial" w:hAnsi="Arial"/>
          <w:b/>
          <w:bCs/>
          <w:color w:val="000000"/>
          <w:sz w:val="22"/>
          <w:szCs w:val="22"/>
          <w:shd w:fill="auto" w:val="clear"/>
        </w:rPr>
        <w:t>Garantia Contratual</w:t>
      </w:r>
      <w:r>
        <w:rPr>
          <w:rFonts w:cs="Arial" w:ascii="Arial" w:hAnsi="Arial"/>
          <w:color w:val="000000"/>
          <w:sz w:val="22"/>
          <w:szCs w:val="22"/>
          <w:shd w:fill="auto" w:val="clear"/>
        </w:rPr>
        <w:t xml:space="preserve"> acrescido de mais 90 (noventa) dias de </w:t>
      </w:r>
      <w:r>
        <w:rPr>
          <w:rFonts w:cs="Arial" w:ascii="Arial" w:hAnsi="Arial"/>
          <w:b/>
          <w:bCs/>
          <w:color w:val="000000"/>
          <w:sz w:val="22"/>
          <w:szCs w:val="22"/>
          <w:shd w:fill="auto" w:val="clear"/>
        </w:rPr>
        <w:t>Garantia Legal</w:t>
      </w:r>
      <w:r>
        <w:rPr>
          <w:rFonts w:cs="Arial" w:ascii="Arial" w:hAnsi="Arial"/>
          <w:color w:val="000000"/>
          <w:sz w:val="22"/>
          <w:szCs w:val="22"/>
          <w:shd w:fill="auto" w:val="clear"/>
        </w:rPr>
        <w:t xml:space="preserve">, salientando que o prazo da </w:t>
      </w:r>
      <w:r>
        <w:rPr>
          <w:rFonts w:cs="Arial" w:ascii="Arial" w:hAnsi="Arial"/>
          <w:b/>
          <w:bCs/>
          <w:color w:val="000000"/>
          <w:sz w:val="22"/>
          <w:szCs w:val="22"/>
          <w:shd w:fill="auto" w:val="clear"/>
        </w:rPr>
        <w:t>Garantia Legal</w:t>
      </w:r>
      <w:r>
        <w:rPr>
          <w:rFonts w:cs="Arial" w:ascii="Arial" w:hAnsi="Arial"/>
          <w:color w:val="000000"/>
          <w:sz w:val="22"/>
          <w:szCs w:val="22"/>
          <w:shd w:fill="auto" w:val="clear"/>
        </w:rPr>
        <w:t xml:space="preserve"> somente passará a ser contado quando esgotado o prazo da </w:t>
      </w:r>
      <w:r>
        <w:rPr>
          <w:rFonts w:cs="Arial" w:ascii="Arial" w:hAnsi="Arial"/>
          <w:b/>
          <w:bCs/>
          <w:color w:val="000000"/>
          <w:sz w:val="22"/>
          <w:szCs w:val="22"/>
          <w:shd w:fill="auto" w:val="clear"/>
        </w:rPr>
        <w:t>Garantia Contratual</w:t>
      </w:r>
      <w:r>
        <w:rPr>
          <w:rFonts w:cs="Arial" w:ascii="Arial" w:hAnsi="Arial"/>
          <w:color w:val="000000"/>
          <w:sz w:val="22"/>
          <w:szCs w:val="22"/>
          <w:shd w:fill="auto" w:val="clear"/>
        </w:rPr>
        <w:t xml:space="preserve">. </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Por fim, fica estabelecido que quando o produto for trocado em razão de vícios pelo fabricante, </w:t>
      </w:r>
      <w:r>
        <w:rPr>
          <w:rFonts w:cs="Arial" w:ascii="Arial" w:hAnsi="Arial"/>
          <w:b/>
          <w:bCs/>
          <w:color w:val="000000"/>
          <w:sz w:val="22"/>
          <w:szCs w:val="22"/>
          <w:shd w:fill="auto" w:val="clear"/>
        </w:rPr>
        <w:t>o consumidor terá direito ao prazo que restar da Garantia Contratual acrescido de mais 90 (noventa) dias de Garantia Legal</w:t>
      </w:r>
      <w:r>
        <w:rPr>
          <w:rFonts w:cs="Arial" w:ascii="Arial" w:hAnsi="Arial"/>
          <w:color w:val="000000"/>
          <w:sz w:val="22"/>
          <w:szCs w:val="22"/>
          <w:shd w:fill="auto" w:val="clear"/>
        </w:rPr>
        <w:t>, frisa-se: cuja referência será a data de emissão da Nota Fiscal que conste o produto.</w:t>
      </w:r>
    </w:p>
    <w:p>
      <w:pPr>
        <w:pStyle w:val="Normal"/>
        <w:numPr>
          <w:ilvl w:val="0"/>
          <w:numId w:val="0"/>
        </w:numPr>
        <w:spacing w:lineRule="auto" w:line="276"/>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Na hipótese de defeito dentro do prazo de garantia, o fornecedor terá o prazo estabelecido pelo CDC (Código de Defesa do Consumidor brasileiro) para sanar o defeito, contados a partir da comunicação, por escrito, do município. </w:t>
      </w:r>
    </w:p>
    <w:p>
      <w:pPr>
        <w:pStyle w:val="Normal"/>
        <w:numPr>
          <w:ilvl w:val="0"/>
          <w:numId w:val="0"/>
        </w:numPr>
        <w:spacing w:lineRule="auto" w:line="276" w:before="0" w:after="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 luminárias fornecidas em substituição às defeituosas somente serão aceitas após a constatação, pelo município, de que elas se encontram em perfeitas condições.</w:t>
      </w:r>
    </w:p>
    <w:p>
      <w:pPr>
        <w:pStyle w:val="ListParagraph"/>
        <w:numPr>
          <w:ilvl w:val="0"/>
          <w:numId w:val="2"/>
        </w:numPr>
        <w:spacing w:lineRule="auto" w:line="276" w:before="0" w:after="0"/>
        <w:ind w:left="357" w:right="0" w:hanging="357"/>
        <w:contextualSpacing w:val="false"/>
        <w:jc w:val="both"/>
        <w:rPr>
          <w:rFonts w:cs="Arial"/>
          <w:b/>
          <w:bCs/>
        </w:rPr>
      </w:pPr>
      <w:r>
        <w:rPr>
          <w:rFonts w:ascii="Arial" w:hAnsi="Arial"/>
          <w:color w:val="000000"/>
          <w:sz w:val="22"/>
          <w:szCs w:val="22"/>
          <w:shd w:fill="auto" w:val="clear"/>
        </w:rPr>
      </w:r>
    </w:p>
    <w:p>
      <w:pPr>
        <w:pStyle w:val="ListParagraph"/>
        <w:numPr>
          <w:ilvl w:val="0"/>
          <w:numId w:val="2"/>
        </w:numPr>
        <w:spacing w:lineRule="auto" w:line="276" w:before="0" w:after="0"/>
        <w:ind w:left="357" w:right="0" w:hanging="357"/>
        <w:contextualSpacing w:val="false"/>
        <w:jc w:val="both"/>
        <w:rPr>
          <w:rFonts w:ascii="Arial" w:hAnsi="Arial"/>
          <w:color w:val="000000"/>
          <w:sz w:val="22"/>
          <w:szCs w:val="22"/>
          <w:highlight w:val="none"/>
          <w:shd w:fill="auto" w:val="clear"/>
        </w:rPr>
      </w:pPr>
      <w:r>
        <w:rPr>
          <w:rFonts w:cs="Arial" w:ascii="Arial" w:hAnsi="Arial"/>
          <w:b/>
          <w:bCs/>
          <w:color w:val="000000"/>
          <w:sz w:val="22"/>
          <w:szCs w:val="22"/>
          <w:shd w:fill="auto" w:val="clear"/>
        </w:rPr>
        <w:t>Arquivo digital: Curva fotométrica</w:t>
      </w:r>
    </w:p>
    <w:p>
      <w:pPr>
        <w:pStyle w:val="Normal"/>
        <w:numPr>
          <w:ilvl w:val="0"/>
          <w:numId w:val="0"/>
        </w:numPr>
        <w:spacing w:lineRule="auto" w:line="276" w:before="0" w:after="240"/>
        <w:ind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O fornecedor deverá disponibilizar para o município, gratuitamente, o arquivo digital (curva fotométrica) de todas as luminárias fornecidas, em formato IES. Os dados do arquivo fotométrico devem estar de acordo com a ANSI/IES LM-63-19.</w:t>
      </w:r>
    </w:p>
    <w:p>
      <w:pPr>
        <w:pStyle w:val="Cabealho"/>
        <w:numPr>
          <w:ilvl w:val="0"/>
          <w:numId w:val="2"/>
        </w:numPr>
        <w:spacing w:lineRule="auto" w:line="276"/>
        <w:ind w:left="709" w:right="981" w:hanging="0"/>
        <w:jc w:val="center"/>
        <w:rPr>
          <w:rFonts w:ascii="Arial" w:hAnsi="Arial"/>
          <w:color w:val="000000"/>
          <w:sz w:val="22"/>
          <w:szCs w:val="22"/>
          <w:highlight w:val="none"/>
          <w:shd w:fill="auto" w:val="clear"/>
        </w:rPr>
      </w:pPr>
      <w:r>
        <w:rPr>
          <w:rFonts w:cs="Arial" w:ascii="Arial" w:hAnsi="Arial"/>
          <w:bCs/>
          <w:color w:val="000000"/>
          <w:sz w:val="22"/>
          <w:szCs w:val="22"/>
          <w:shd w:fill="auto" w:val="clear"/>
        </w:rPr>
        <w:t>DIMENSÕES DOS CARACTERES ALFANUMÉRICOS PARA MARCAÇÃO DA POTÊNCIA DA LUMINÁRIA</w:t>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rPr>
          <w:rFonts w:ascii="Arial" w:hAnsi="Arial"/>
          <w:color w:val="000000"/>
          <w:sz w:val="22"/>
          <w:szCs w:val="22"/>
          <w:highlight w:val="none"/>
          <w:shd w:fill="auto" w:val="clear"/>
        </w:rPr>
      </w:pPr>
      <w:r>
        <w:rPr>
          <w:rFonts w:cs="Arial" w:ascii="Arial" w:hAnsi="Arial"/>
          <w:color w:val="000000"/>
          <w:sz w:val="22"/>
          <w:szCs w:val="22"/>
          <w:shd w:fill="auto" w:val="clear"/>
        </w:rPr>
        <w:t>Material da Etiqueta: Adesivo na cor branca de PVC, fonte Arial na cor preta, material com proteção UV. Resistência a Intempérie.</w:t>
      </w:r>
    </w:p>
    <w:tbl>
      <w:tblPr>
        <w:tblW w:w="9583" w:type="dxa"/>
        <w:jc w:val="left"/>
        <w:tblInd w:w="226" w:type="dxa"/>
        <w:tblLayout w:type="fixed"/>
        <w:tblCellMar>
          <w:top w:w="0" w:type="dxa"/>
          <w:left w:w="108" w:type="dxa"/>
          <w:bottom w:w="0" w:type="dxa"/>
          <w:right w:w="108" w:type="dxa"/>
        </w:tblCellMar>
      </w:tblPr>
      <w:tblGrid>
        <w:gridCol w:w="1589"/>
        <w:gridCol w:w="3376"/>
        <w:gridCol w:w="4618"/>
      </w:tblGrid>
      <w:tr>
        <w:trPr>
          <w:trHeight w:val="397" w:hRule="atLeast"/>
        </w:trPr>
        <w:tc>
          <w:tcPr>
            <w:tcW w:w="1589" w:type="dxa"/>
            <w:vMerge w:val="restart"/>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napToGrid w:val="false"/>
              <w:spacing w:lineRule="auto" w:line="276" w:before="8" w:after="0"/>
              <w:rPr>
                <w:rFonts w:ascii="Arial" w:hAnsi="Arial" w:cs="Calibri"/>
                <w:b w:val="false"/>
                <w:bCs/>
                <w:color w:val="000000"/>
                <w:kern w:val="0"/>
                <w:sz w:val="18"/>
                <w:szCs w:val="18"/>
                <w:highlight w:val="none"/>
                <w:shd w:fill="auto" w:val="clear"/>
                <w:lang w:bidi="ar-SA"/>
              </w:rPr>
            </w:pPr>
            <w:r>
              <w:rPr>
                <w:rFonts w:cs="Calibri" w:ascii="Arial" w:hAnsi="Arial"/>
                <w:b w:val="false"/>
                <w:bCs/>
                <w:color w:val="000000"/>
                <w:kern w:val="0"/>
                <w:sz w:val="18"/>
                <w:szCs w:val="18"/>
                <w:shd w:fill="auto" w:val="clear"/>
                <w:lang w:bidi="ar-SA"/>
              </w:rPr>
            </w:r>
          </w:p>
          <w:p>
            <w:pPr>
              <w:pStyle w:val="TableParagraph"/>
              <w:widowControl w:val="false"/>
              <w:numPr>
                <w:ilvl w:val="0"/>
                <w:numId w:val="2"/>
              </w:numPr>
              <w:spacing w:lineRule="auto" w:line="276" w:before="0" w:after="0"/>
              <w:ind w:left="508"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Cotas</w:t>
            </w:r>
          </w:p>
        </w:tc>
        <w:tc>
          <w:tcPr>
            <w:tcW w:w="7994" w:type="dxa"/>
            <w:gridSpan w:val="2"/>
            <w:tcBorders>
              <w:top w:val="single" w:sz="8" w:space="0" w:color="000000"/>
              <w:left w:val="single" w:sz="8" w:space="0" w:color="000000"/>
              <w:bottom w:val="single" w:sz="18" w:space="0" w:color="000000"/>
              <w:right w:val="single" w:sz="8" w:space="0" w:color="000000"/>
            </w:tcBorders>
            <w:vAlign w:val="center"/>
          </w:tcPr>
          <w:p>
            <w:pPr>
              <w:pStyle w:val="TableParagraph"/>
              <w:widowControl w:val="false"/>
              <w:numPr>
                <w:ilvl w:val="0"/>
                <w:numId w:val="2"/>
              </w:numPr>
              <w:spacing w:lineRule="auto" w:line="276" w:before="0" w:after="0"/>
              <w:ind w:left="0"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Marcação da potência</w:t>
            </w:r>
          </w:p>
        </w:tc>
      </w:tr>
      <w:tr>
        <w:trPr>
          <w:trHeight w:val="397" w:hRule="atLeast"/>
        </w:trPr>
        <w:tc>
          <w:tcPr>
            <w:tcW w:w="1589" w:type="dxa"/>
            <w:vMerge w:val="continue"/>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0"/>
              </w:numPr>
              <w:snapToGrid w:val="false"/>
              <w:spacing w:lineRule="auto" w:line="276" w:before="0" w:after="0"/>
              <w:ind w:left="0" w:hanging="0"/>
              <w:jc w:val="left"/>
              <w:rPr>
                <w:rFonts w:ascii="Arial" w:hAnsi="Arial" w:eastAsia="" w:cs="Calibri"/>
                <w:b/>
                <w:bCs/>
                <w:color w:val="000000"/>
                <w:kern w:val="0"/>
                <w:sz w:val="18"/>
                <w:szCs w:val="18"/>
                <w:highlight w:val="none"/>
                <w:shd w:fill="auto" w:val="clear"/>
                <w:lang w:val="en-US" w:eastAsia="en-US" w:bidi="ar-SA"/>
              </w:rPr>
            </w:pPr>
            <w:r>
              <w:rPr>
                <w:rFonts w:eastAsia="" w:cs="Calibri" w:ascii="Arial" w:hAnsi="Arial"/>
                <w:b/>
                <w:bCs/>
                <w:color w:val="000000"/>
                <w:kern w:val="0"/>
                <w:sz w:val="18"/>
                <w:szCs w:val="18"/>
                <w:shd w:fill="auto" w:val="clear"/>
                <w:lang w:val="en-US" w:eastAsia="en-US" w:bidi="ar-SA"/>
              </w:rPr>
            </w:r>
          </w:p>
        </w:tc>
        <w:tc>
          <w:tcPr>
            <w:tcW w:w="7994" w:type="dxa"/>
            <w:gridSpan w:val="2"/>
            <w:tcBorders>
              <w:top w:val="single" w:sz="8" w:space="0" w:color="000000"/>
              <w:left w:val="single" w:sz="8" w:space="0" w:color="000000"/>
              <w:bottom w:val="single" w:sz="8" w:space="0" w:color="000000"/>
              <w:right w:val="single" w:sz="8" w:space="0" w:color="000000"/>
            </w:tcBorders>
            <w:vAlign w:val="center"/>
          </w:tcPr>
          <w:p>
            <w:pPr>
              <w:pStyle w:val="TableParagraph"/>
              <w:widowControl w:val="false"/>
              <w:numPr>
                <w:ilvl w:val="0"/>
                <w:numId w:val="2"/>
              </w:numPr>
              <w:spacing w:lineRule="auto" w:line="276" w:before="0" w:after="0"/>
              <w:ind w:left="1891" w:right="1879"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Dimensões (mm)</w:t>
            </w:r>
          </w:p>
        </w:tc>
      </w:tr>
      <w:tr>
        <w:trPr>
          <w:trHeight w:val="397" w:hRule="atLeast"/>
        </w:trPr>
        <w:tc>
          <w:tcPr>
            <w:tcW w:w="1589" w:type="dxa"/>
            <w:vMerge w:val="continue"/>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0"/>
              </w:numPr>
              <w:snapToGrid w:val="false"/>
              <w:spacing w:lineRule="auto" w:line="276" w:before="0" w:after="0"/>
              <w:ind w:left="0" w:hanging="0"/>
              <w:jc w:val="left"/>
              <w:rPr>
                <w:rFonts w:ascii="Arial" w:hAnsi="Arial" w:eastAsia="" w:cs="Calibri"/>
                <w:b/>
                <w:bCs/>
                <w:color w:val="000000"/>
                <w:kern w:val="0"/>
                <w:sz w:val="18"/>
                <w:szCs w:val="18"/>
                <w:highlight w:val="none"/>
                <w:shd w:fill="auto" w:val="clear"/>
                <w:lang w:val="en-US" w:eastAsia="en-US" w:bidi="ar-SA"/>
              </w:rPr>
            </w:pPr>
            <w:r>
              <w:rPr>
                <w:rFonts w:eastAsia="" w:cs="Calibri" w:ascii="Arial" w:hAnsi="Arial"/>
                <w:b/>
                <w:bCs/>
                <w:color w:val="000000"/>
                <w:kern w:val="0"/>
                <w:sz w:val="18"/>
                <w:szCs w:val="18"/>
                <w:shd w:fill="auto" w:val="clear"/>
                <w:lang w:val="en-US" w:eastAsia="en-US" w:bidi="ar-SA"/>
              </w:rPr>
            </w:r>
          </w:p>
        </w:tc>
        <w:tc>
          <w:tcPr>
            <w:tcW w:w="3376"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0" w:after="0"/>
              <w:ind w:left="570" w:right="557" w:hanging="0"/>
              <w:rPr>
                <w:rFonts w:ascii="Arial" w:hAnsi="Arial"/>
                <w:color w:val="000000"/>
                <w:sz w:val="18"/>
                <w:szCs w:val="18"/>
                <w:highlight w:val="none"/>
                <w:shd w:fill="auto" w:val="clear"/>
              </w:rPr>
            </w:pPr>
            <w:r>
              <w:rPr>
                <w:rFonts w:cs="Calibri" w:ascii="Arial" w:hAnsi="Arial"/>
                <w:color w:val="000000"/>
                <w:kern w:val="0"/>
                <w:sz w:val="18"/>
                <w:szCs w:val="18"/>
                <w:shd w:fill="auto" w:val="clear"/>
                <w:lang w:bidi="ar-SA"/>
              </w:rPr>
              <w:t>Pequena</w:t>
            </w:r>
          </w:p>
        </w:tc>
        <w:tc>
          <w:tcPr>
            <w:tcW w:w="4618"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0" w:after="0"/>
              <w:ind w:left="716" w:right="709"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Grande</w:t>
            </w:r>
          </w:p>
        </w:tc>
      </w:tr>
      <w:tr>
        <w:trPr>
          <w:trHeight w:val="383" w:hRule="atLeast"/>
        </w:trPr>
        <w:tc>
          <w:tcPr>
            <w:tcW w:w="1589"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62" w:after="0"/>
              <w:ind w:left="10"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A</w:t>
            </w:r>
          </w:p>
        </w:tc>
        <w:tc>
          <w:tcPr>
            <w:tcW w:w="3376"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62" w:after="0"/>
              <w:ind w:left="570" w:right="560" w:hanging="0"/>
              <w:rPr>
                <w:rFonts w:ascii="Arial" w:hAnsi="Arial"/>
                <w:color w:val="000000"/>
                <w:sz w:val="18"/>
                <w:szCs w:val="18"/>
                <w:highlight w:val="none"/>
                <w:shd w:fill="auto" w:val="clear"/>
              </w:rPr>
            </w:pPr>
            <w:r>
              <w:rPr>
                <w:rFonts w:cs="Calibri" w:ascii="Arial" w:hAnsi="Arial"/>
                <w:color w:val="000000"/>
                <w:kern w:val="0"/>
                <w:sz w:val="18"/>
                <w:szCs w:val="18"/>
                <w:shd w:fill="auto" w:val="clear"/>
                <w:lang w:bidi="ar-SA"/>
              </w:rPr>
              <w:t xml:space="preserve">25,4 </w:t>
            </w:r>
            <w:r>
              <w:rPr>
                <w:rFonts w:cs="Calibri" w:ascii="Arial" w:hAnsi="Arial"/>
                <w:color w:val="000000"/>
                <w:kern w:val="0"/>
                <w:sz w:val="18"/>
                <w:szCs w:val="18"/>
                <w:u w:val="single"/>
                <w:shd w:fill="auto" w:val="clear"/>
                <w:lang w:bidi="ar-SA"/>
              </w:rPr>
              <w:t>+</w:t>
            </w:r>
            <w:r>
              <w:rPr>
                <w:rFonts w:cs="Calibri" w:ascii="Arial" w:hAnsi="Arial"/>
                <w:color w:val="000000"/>
                <w:kern w:val="0"/>
                <w:sz w:val="18"/>
                <w:szCs w:val="18"/>
                <w:shd w:fill="auto" w:val="clear"/>
                <w:lang w:bidi="ar-SA"/>
              </w:rPr>
              <w:t xml:space="preserve"> 1,6</w:t>
            </w:r>
          </w:p>
        </w:tc>
        <w:tc>
          <w:tcPr>
            <w:tcW w:w="4618"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62" w:after="0"/>
              <w:ind w:left="716" w:right="709"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 xml:space="preserve">76,2 </w:t>
            </w:r>
            <w:r>
              <w:rPr>
                <w:rFonts w:cs="Calibri" w:ascii="Arial" w:hAnsi="Arial"/>
                <w:b/>
                <w:bCs/>
                <w:color w:val="000000"/>
                <w:kern w:val="0"/>
                <w:sz w:val="18"/>
                <w:szCs w:val="18"/>
                <w:u w:val="single"/>
                <w:shd w:fill="auto" w:val="clear"/>
                <w:lang w:bidi="ar-SA"/>
              </w:rPr>
              <w:t>+</w:t>
            </w:r>
            <w:r>
              <w:rPr>
                <w:rFonts w:cs="Calibri" w:ascii="Arial" w:hAnsi="Arial"/>
                <w:b/>
                <w:bCs/>
                <w:color w:val="000000"/>
                <w:kern w:val="0"/>
                <w:sz w:val="18"/>
                <w:szCs w:val="18"/>
                <w:shd w:fill="auto" w:val="clear"/>
                <w:lang w:bidi="ar-SA"/>
              </w:rPr>
              <w:t xml:space="preserve"> 1,6</w:t>
            </w:r>
          </w:p>
        </w:tc>
      </w:tr>
      <w:tr>
        <w:trPr>
          <w:trHeight w:val="405" w:hRule="atLeast"/>
        </w:trPr>
        <w:tc>
          <w:tcPr>
            <w:tcW w:w="1589"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74" w:after="0"/>
              <w:ind w:left="10"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B</w:t>
            </w:r>
          </w:p>
        </w:tc>
        <w:tc>
          <w:tcPr>
            <w:tcW w:w="3376" w:type="dxa"/>
            <w:vMerge w:val="restart"/>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napToGrid w:val="false"/>
              <w:spacing w:lineRule="auto" w:line="276" w:before="2" w:after="0"/>
              <w:rPr>
                <w:rFonts w:ascii="Arial" w:hAnsi="Arial" w:cs="Calibri"/>
                <w:b/>
                <w:color w:val="000000"/>
                <w:kern w:val="0"/>
                <w:sz w:val="18"/>
                <w:szCs w:val="18"/>
                <w:highlight w:val="none"/>
                <w:shd w:fill="auto" w:val="clear"/>
                <w:lang w:bidi="ar-SA"/>
              </w:rPr>
            </w:pPr>
            <w:r>
              <w:rPr>
                <w:rFonts w:cs="Calibri" w:ascii="Arial" w:hAnsi="Arial"/>
                <w:b/>
                <w:color w:val="000000"/>
                <w:kern w:val="0"/>
                <w:sz w:val="18"/>
                <w:szCs w:val="18"/>
                <w:shd w:fill="auto" w:val="clear"/>
                <w:lang w:bidi="ar-SA"/>
              </w:rPr>
            </w:r>
          </w:p>
          <w:p>
            <w:pPr>
              <w:pStyle w:val="TableParagraph"/>
              <w:widowControl w:val="false"/>
              <w:numPr>
                <w:ilvl w:val="0"/>
                <w:numId w:val="2"/>
              </w:numPr>
              <w:spacing w:lineRule="auto" w:line="276" w:before="0" w:after="0"/>
              <w:ind w:left="590" w:right="0" w:hanging="0"/>
              <w:rPr>
                <w:rFonts w:ascii="Arial" w:hAnsi="Arial"/>
                <w:color w:val="000000"/>
                <w:sz w:val="18"/>
                <w:szCs w:val="18"/>
                <w:highlight w:val="none"/>
                <w:shd w:fill="auto" w:val="clear"/>
              </w:rPr>
            </w:pPr>
            <w:r>
              <w:rPr>
                <w:rFonts w:cs="Calibri" w:ascii="Arial" w:hAnsi="Arial"/>
                <w:color w:val="000000"/>
                <w:kern w:val="0"/>
                <w:sz w:val="18"/>
                <w:szCs w:val="18"/>
                <w:shd w:fill="auto" w:val="clear"/>
                <w:lang w:bidi="ar-SA"/>
              </w:rPr>
              <w:t>9,525 (mínimo)</w:t>
            </w:r>
          </w:p>
        </w:tc>
        <w:tc>
          <w:tcPr>
            <w:tcW w:w="4618" w:type="dxa"/>
            <w:vMerge w:val="restart"/>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napToGrid w:val="false"/>
              <w:spacing w:lineRule="auto" w:line="276" w:before="2" w:after="0"/>
              <w:rPr>
                <w:rFonts w:ascii="Arial" w:hAnsi="Arial" w:cs="Calibri"/>
                <w:b w:val="false"/>
                <w:bCs/>
                <w:color w:val="000000"/>
                <w:kern w:val="0"/>
                <w:sz w:val="18"/>
                <w:szCs w:val="18"/>
                <w:highlight w:val="none"/>
                <w:shd w:fill="auto" w:val="clear"/>
                <w:lang w:bidi="ar-SA"/>
              </w:rPr>
            </w:pPr>
            <w:r>
              <w:rPr>
                <w:rFonts w:cs="Calibri" w:ascii="Arial" w:hAnsi="Arial"/>
                <w:b w:val="false"/>
                <w:bCs/>
                <w:color w:val="000000"/>
                <w:kern w:val="0"/>
                <w:sz w:val="18"/>
                <w:szCs w:val="18"/>
                <w:shd w:fill="auto" w:val="clear"/>
                <w:lang w:bidi="ar-SA"/>
              </w:rPr>
            </w:r>
          </w:p>
          <w:p>
            <w:pPr>
              <w:pStyle w:val="TableParagraph"/>
              <w:widowControl w:val="false"/>
              <w:numPr>
                <w:ilvl w:val="0"/>
                <w:numId w:val="2"/>
              </w:numPr>
              <w:spacing w:lineRule="auto" w:line="276" w:before="0" w:after="0"/>
              <w:ind w:left="675"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31,75 (mínimo)</w:t>
            </w:r>
          </w:p>
        </w:tc>
      </w:tr>
      <w:tr>
        <w:trPr>
          <w:trHeight w:val="424" w:hRule="atLeast"/>
        </w:trPr>
        <w:tc>
          <w:tcPr>
            <w:tcW w:w="1589"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84" w:after="0"/>
              <w:ind w:left="8"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C</w:t>
            </w:r>
          </w:p>
        </w:tc>
        <w:tc>
          <w:tcPr>
            <w:tcW w:w="3376" w:type="dxa"/>
            <w:vMerge w:val="continue"/>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0"/>
              </w:numPr>
              <w:snapToGrid w:val="false"/>
              <w:spacing w:lineRule="auto" w:line="276" w:before="0" w:after="0"/>
              <w:ind w:left="0" w:hanging="0"/>
              <w:jc w:val="left"/>
              <w:rPr>
                <w:rFonts w:ascii="Arial" w:hAnsi="Arial" w:eastAsia="Calibri" w:cs="Calibri"/>
                <w:color w:val="000000"/>
                <w:kern w:val="0"/>
                <w:sz w:val="18"/>
                <w:szCs w:val="18"/>
                <w:highlight w:val="none"/>
                <w:shd w:fill="auto" w:val="clear"/>
                <w:lang w:val="en-US" w:eastAsia="en-US" w:bidi="ar-SA"/>
              </w:rPr>
            </w:pPr>
            <w:r>
              <w:rPr>
                <w:rFonts w:eastAsia="Calibri" w:cs="Calibri" w:ascii="Arial" w:hAnsi="Arial"/>
                <w:color w:val="000000"/>
                <w:kern w:val="0"/>
                <w:sz w:val="18"/>
                <w:szCs w:val="18"/>
                <w:shd w:fill="auto" w:val="clear"/>
                <w:lang w:val="en-US" w:eastAsia="en-US" w:bidi="ar-SA"/>
              </w:rPr>
            </w:r>
          </w:p>
        </w:tc>
        <w:tc>
          <w:tcPr>
            <w:tcW w:w="4618" w:type="dxa"/>
            <w:vMerge w:val="continue"/>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0"/>
              </w:numPr>
              <w:snapToGrid w:val="false"/>
              <w:spacing w:lineRule="auto" w:line="276" w:before="0" w:after="0"/>
              <w:ind w:left="0" w:hanging="0"/>
              <w:jc w:val="left"/>
              <w:rPr>
                <w:rFonts w:ascii="Arial" w:hAnsi="Arial" w:eastAsia="" w:cs="Calibri"/>
                <w:b/>
                <w:bCs/>
                <w:color w:val="000000"/>
                <w:kern w:val="0"/>
                <w:sz w:val="18"/>
                <w:szCs w:val="18"/>
                <w:highlight w:val="none"/>
                <w:shd w:fill="auto" w:val="clear"/>
                <w:lang w:val="en-US" w:eastAsia="en-US" w:bidi="ar-SA"/>
              </w:rPr>
            </w:pPr>
            <w:r>
              <w:rPr>
                <w:rFonts w:eastAsia="" w:cs="Calibri" w:ascii="Arial" w:hAnsi="Arial"/>
                <w:b/>
                <w:bCs/>
                <w:color w:val="000000"/>
                <w:kern w:val="0"/>
                <w:sz w:val="18"/>
                <w:szCs w:val="18"/>
                <w:shd w:fill="auto" w:val="clear"/>
                <w:lang w:val="en-US" w:eastAsia="en-US" w:bidi="ar-SA"/>
              </w:rPr>
            </w:r>
          </w:p>
        </w:tc>
      </w:tr>
      <w:tr>
        <w:trPr>
          <w:trHeight w:val="455" w:hRule="atLeast"/>
        </w:trPr>
        <w:tc>
          <w:tcPr>
            <w:tcW w:w="1589"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98" w:after="0"/>
              <w:ind w:left="8" w:right="0"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D</w:t>
            </w:r>
          </w:p>
        </w:tc>
        <w:tc>
          <w:tcPr>
            <w:tcW w:w="3376"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98" w:after="0"/>
              <w:ind w:left="570" w:right="561" w:hanging="0"/>
              <w:rPr>
                <w:rFonts w:ascii="Arial" w:hAnsi="Arial"/>
                <w:color w:val="000000"/>
                <w:sz w:val="18"/>
                <w:szCs w:val="18"/>
                <w:highlight w:val="none"/>
                <w:shd w:fill="auto" w:val="clear"/>
              </w:rPr>
            </w:pPr>
            <w:r>
              <w:rPr>
                <w:rFonts w:cs="Calibri" w:ascii="Arial" w:hAnsi="Arial"/>
                <w:color w:val="000000"/>
                <w:kern w:val="0"/>
                <w:sz w:val="18"/>
                <w:szCs w:val="18"/>
                <w:shd w:fill="auto" w:val="clear"/>
                <w:lang w:bidi="ar-SA"/>
              </w:rPr>
              <w:t>3,175 (mínimo)</w:t>
            </w:r>
          </w:p>
        </w:tc>
        <w:tc>
          <w:tcPr>
            <w:tcW w:w="4618" w:type="dxa"/>
            <w:tcBorders>
              <w:top w:val="single" w:sz="8" w:space="0" w:color="000000"/>
              <w:left w:val="single" w:sz="8" w:space="0" w:color="000000"/>
              <w:bottom w:val="single" w:sz="8" w:space="0" w:color="000000"/>
              <w:right w:val="single" w:sz="8" w:space="0" w:color="000000"/>
            </w:tcBorders>
          </w:tcPr>
          <w:p>
            <w:pPr>
              <w:pStyle w:val="TableParagraph"/>
              <w:widowControl w:val="false"/>
              <w:numPr>
                <w:ilvl w:val="0"/>
                <w:numId w:val="2"/>
              </w:numPr>
              <w:spacing w:lineRule="auto" w:line="276" w:before="98" w:after="0"/>
              <w:ind w:left="717" w:right="709" w:hanging="0"/>
              <w:rPr>
                <w:rFonts w:ascii="Arial" w:hAnsi="Arial"/>
                <w:color w:val="000000"/>
                <w:sz w:val="18"/>
                <w:szCs w:val="18"/>
                <w:highlight w:val="none"/>
                <w:shd w:fill="auto" w:val="clear"/>
              </w:rPr>
            </w:pPr>
            <w:r>
              <w:rPr>
                <w:rFonts w:cs="Calibri" w:ascii="Arial" w:hAnsi="Arial"/>
                <w:b/>
                <w:bCs/>
                <w:color w:val="000000"/>
                <w:kern w:val="0"/>
                <w:sz w:val="18"/>
                <w:szCs w:val="18"/>
                <w:shd w:fill="auto" w:val="clear"/>
                <w:lang w:bidi="ar-SA"/>
              </w:rPr>
              <w:t>6,35 (mínimo)</w:t>
            </w:r>
          </w:p>
        </w:tc>
      </w:tr>
    </w:tbl>
    <w:p>
      <w:pPr>
        <w:pStyle w:val="Corpodotexto"/>
        <w:numPr>
          <w:ilvl w:val="0"/>
          <w:numId w:val="2"/>
        </w:numPr>
        <w:spacing w:lineRule="auto" w:line="276"/>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Corpodotexto"/>
        <w:numPr>
          <w:ilvl w:val="0"/>
          <w:numId w:val="2"/>
        </w:numPr>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drawing>
          <wp:inline distT="0" distB="0" distL="0" distR="0">
            <wp:extent cx="3115945" cy="3021965"/>
            <wp:effectExtent l="0" t="0" r="0" b="0"/>
            <wp:docPr id="31" name="Figura3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3 Copia 1" descr=""/>
                    <pic:cNvPicPr>
                      <a:picLocks noChangeAspect="1" noChangeArrowheads="1"/>
                    </pic:cNvPicPr>
                  </pic:nvPicPr>
                  <pic:blipFill>
                    <a:blip r:embed="rId18"/>
                    <a:srcRect l="-84" t="-86" r="-84" b="-86"/>
                    <a:stretch>
                      <a:fillRect/>
                    </a:stretch>
                  </pic:blipFill>
                  <pic:spPr bwMode="auto">
                    <a:xfrm>
                      <a:off x="0" y="0"/>
                      <a:ext cx="3115945" cy="3021965"/>
                    </a:xfrm>
                    <a:prstGeom prst="rect">
                      <a:avLst/>
                    </a:prstGeom>
                  </pic:spPr>
                </pic:pic>
              </a:graphicData>
            </a:graphic>
          </wp:inline>
        </w:drawing>
      </w:r>
    </w:p>
    <w:p>
      <w:pPr>
        <w:pStyle w:val="Corpodotexto"/>
        <w:spacing w:lineRule="auto" w:line="276" w:before="0" w:after="0"/>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tabs>
          <w:tab w:val="clear" w:pos="408"/>
          <w:tab w:val="left" w:pos="5359" w:leader="none"/>
        </w:tabs>
        <w:spacing w:lineRule="auto" w:line="276"/>
        <w:rPr>
          <w:rFonts w:ascii="Arial" w:hAnsi="Arial"/>
          <w:color w:val="000000"/>
          <w:sz w:val="22"/>
          <w:szCs w:val="22"/>
          <w:highlight w:val="none"/>
          <w:shd w:fill="auto" w:val="clear"/>
        </w:rPr>
      </w:pPr>
      <w:r>
        <w:rPr>
          <w:rFonts w:cs="Arial" w:ascii="Arial" w:hAnsi="Arial"/>
          <w:b/>
          <w:color w:val="000000"/>
          <w:sz w:val="22"/>
          <w:szCs w:val="22"/>
          <w:shd w:fill="auto" w:val="clear"/>
        </w:rPr>
        <w:t xml:space="preserve">Obs.: </w:t>
      </w:r>
      <w:r>
        <w:rPr>
          <w:rFonts w:cs="Arial" w:ascii="Arial" w:hAnsi="Arial"/>
          <w:color w:val="000000"/>
          <w:sz w:val="22"/>
          <w:szCs w:val="22"/>
          <w:shd w:fill="auto" w:val="clear"/>
        </w:rPr>
        <w:t xml:space="preserve">em razão das características do padrão não será avaliado </w:t>
      </w:r>
      <w:r>
        <w:rPr>
          <w:rFonts w:cs="Arial" w:ascii="Arial" w:hAnsi="Arial"/>
          <w:bCs/>
          <w:color w:val="000000"/>
          <w:sz w:val="22"/>
          <w:szCs w:val="22"/>
          <w:shd w:fill="auto" w:val="clear"/>
        </w:rPr>
        <w:t>f</w:t>
      </w:r>
      <w:r>
        <w:rPr>
          <w:rFonts w:cs="Arial" w:ascii="Arial" w:hAnsi="Arial"/>
          <w:b/>
          <w:bCs/>
          <w:color w:val="000000"/>
          <w:sz w:val="22"/>
          <w:szCs w:val="22"/>
          <w:shd w:fill="auto" w:val="clear"/>
          <w:vertAlign w:val="subscript"/>
        </w:rPr>
        <w:t xml:space="preserve">TI </w:t>
      </w:r>
      <w:r>
        <w:rPr>
          <w:rFonts w:cs="Arial" w:ascii="Arial" w:hAnsi="Arial"/>
          <w:color w:val="000000"/>
          <w:sz w:val="22"/>
          <w:szCs w:val="22"/>
          <w:shd w:fill="auto" w:val="clear"/>
        </w:rPr>
        <w:t>(%) na pista de rodagem</w:t>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5000" w:type="pct"/>
        <w:jc w:val="center"/>
        <w:tblInd w:w="0" w:type="dxa"/>
        <w:tblLayout w:type="fixed"/>
        <w:tblCellMar>
          <w:top w:w="0" w:type="dxa"/>
          <w:left w:w="108" w:type="dxa"/>
          <w:bottom w:w="0" w:type="dxa"/>
          <w:right w:w="108" w:type="dxa"/>
        </w:tblCellMar>
      </w:tblPr>
      <w:tblGrid>
        <w:gridCol w:w="442"/>
        <w:gridCol w:w="1336"/>
        <w:gridCol w:w="445"/>
        <w:gridCol w:w="236"/>
        <w:gridCol w:w="920"/>
        <w:gridCol w:w="534"/>
        <w:gridCol w:w="533"/>
        <w:gridCol w:w="622"/>
        <w:gridCol w:w="239"/>
        <w:gridCol w:w="474"/>
        <w:gridCol w:w="800"/>
        <w:gridCol w:w="534"/>
        <w:gridCol w:w="267"/>
        <w:gridCol w:w="849"/>
        <w:gridCol w:w="575"/>
        <w:gridCol w:w="887"/>
      </w:tblGrid>
      <w:tr>
        <w:trPr>
          <w:trHeight w:val="227" w:hRule="atLeast"/>
        </w:trPr>
        <w:tc>
          <w:tcPr>
            <w:tcW w:w="9693" w:type="dxa"/>
            <w:gridSpan w:val="16"/>
            <w:tcBorders>
              <w:bottom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LUMINÁRIA LED PÚBLICA VIÁRIA POTÊNCIA </w:t>
            </w:r>
            <w:r>
              <w:rPr>
                <w:rFonts w:eastAsia="Times New Roman" w:cs="Calibri" w:ascii="Arial" w:hAnsi="Arial"/>
                <w:b/>
                <w:bCs/>
                <w:color w:val="000000"/>
                <w:kern w:val="0"/>
                <w:sz w:val="18"/>
                <w:szCs w:val="18"/>
                <w:shd w:fill="auto" w:val="clear"/>
                <w:lang w:val="pt-BR" w:eastAsia="pt-BR" w:bidi="ar-SA"/>
              </w:rPr>
              <w:t xml:space="preserve">POTÊNCIA </w:t>
            </w:r>
            <w:r>
              <w:rPr>
                <w:rFonts w:eastAsia="Times New Roman" w:cs="Arial;sans-serif" w:ascii="Arial" w:hAnsi="Arial"/>
                <w:b/>
                <w:bCs/>
                <w:color w:val="000000"/>
                <w:kern w:val="0"/>
                <w:sz w:val="18"/>
                <w:szCs w:val="18"/>
                <w:shd w:fill="auto" w:val="clear"/>
                <w:lang w:val="pt-BR" w:eastAsia="pt-BR" w:bidi="ar-SA"/>
              </w:rPr>
              <w:t>≤</w:t>
            </w:r>
            <w:r>
              <w:rPr>
                <w:rFonts w:eastAsia="Times New Roman" w:cs="Calibri" w:ascii="Arial" w:hAnsi="Arial"/>
                <w:b/>
                <w:bCs/>
                <w:color w:val="000000"/>
                <w:kern w:val="0"/>
                <w:sz w:val="18"/>
                <w:szCs w:val="18"/>
                <w:shd w:fill="auto" w:val="clear"/>
                <w:lang w:val="pt-BR" w:eastAsia="pt-BR" w:bidi="ar-SA"/>
              </w:rPr>
              <w:t xml:space="preserve"> 150 W – CENÁRIO DE SIMULAÇÃO A – ITEM IV</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Identificação</w:t>
            </w:r>
          </w:p>
        </w:tc>
        <w:tc>
          <w:tcPr>
            <w:tcW w:w="6314" w:type="dxa"/>
            <w:gridSpan w:val="11"/>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sistema IP que deverão ser adotadas na simulação luminotécnica</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Classificação conforme</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ABNT NBR 5101</w:t>
            </w:r>
          </w:p>
        </w:tc>
        <w:tc>
          <w:tcPr>
            <w:tcW w:w="1928" w:type="dxa"/>
            <w:gridSpan w:val="4"/>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Via</w:t>
            </w:r>
          </w:p>
        </w:tc>
        <w:tc>
          <w:tcPr>
            <w:tcW w:w="1808"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p>
        </w:tc>
        <w:tc>
          <w:tcPr>
            <w:tcW w:w="111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Passeio</w:t>
            </w:r>
          </w:p>
        </w:tc>
        <w:tc>
          <w:tcPr>
            <w:tcW w:w="1462"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p>
        </w:tc>
      </w:tr>
      <w:tr>
        <w:trPr>
          <w:trHeight w:val="227" w:hRule="atLeast"/>
        </w:trPr>
        <w:tc>
          <w:tcPr>
            <w:tcW w:w="2223" w:type="dxa"/>
            <w:gridSpan w:val="3"/>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Tipologia</w:t>
            </w:r>
          </w:p>
        </w:tc>
        <w:tc>
          <w:tcPr>
            <w:tcW w:w="1156"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PADRÃO “A”</w:t>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Obs.: o nº 1 representa a opção principal e o nº 2 representa a secundária (usar somente se necessário)</w:t>
            </w:r>
          </w:p>
        </w:tc>
      </w:tr>
      <w:tr>
        <w:trPr>
          <w:trHeight w:val="227" w:hRule="atLeast"/>
        </w:trPr>
        <w:tc>
          <w:tcPr>
            <w:tcW w:w="2223"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lef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Dimensões em metros (m)</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Cs/>
                <w:color w:val="000000"/>
                <w:kern w:val="0"/>
                <w:sz w:val="18"/>
                <w:szCs w:val="18"/>
                <w:shd w:fill="auto" w:val="clear"/>
                <w:lang w:val="pt-BR" w:eastAsia="pt-BR" w:bidi="ar-SA"/>
              </w:rPr>
              <w:t>Ajuste de ângulo direto na luminária: (x) determina a condição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Unilateral</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0,50</w:t>
            </w:r>
          </w:p>
        </w:tc>
      </w:tr>
      <w:tr>
        <w:trPr>
          <w:trHeight w:val="227" w:hRule="atLeast"/>
        </w:trPr>
        <w:tc>
          <w:tcPr>
            <w:tcW w:w="4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178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color w:val="000000"/>
                <w:kern w:val="0"/>
                <w:sz w:val="18"/>
                <w:szCs w:val="18"/>
                <w:shd w:fill="auto" w:val="clear"/>
                <w:lang w:val="pt-BR" w:eastAsia="pt-BR" w:bidi="ar-SA"/>
              </w:rPr>
              <w:t xml:space="preserve">Deverá </w:t>
            </w:r>
            <w:r>
              <w:rPr>
                <w:rFonts w:eastAsia="Times New Roman" w:cs="Calibri" w:ascii="Arial" w:hAnsi="Arial"/>
                <w:color w:val="000000"/>
                <w:kern w:val="0"/>
                <w:sz w:val="18"/>
                <w:szCs w:val="18"/>
                <w:shd w:fill="auto" w:val="clear"/>
                <w:lang w:val="pt-BR" w:eastAsia="pt-BR" w:bidi="ar-SA"/>
              </w:rPr>
              <w:t>possuir</w:t>
            </w:r>
          </w:p>
        </w:tc>
        <w:tc>
          <w:tcPr>
            <w:tcW w:w="2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Poderá </w:t>
            </w:r>
            <w:r>
              <w:rPr>
                <w:rFonts w:eastAsia="Times New Roman" w:cs="Calibri" w:ascii="Arial" w:hAnsi="Arial"/>
                <w:bCs/>
                <w:color w:val="000000"/>
                <w:kern w:val="0"/>
                <w:sz w:val="18"/>
                <w:szCs w:val="18"/>
                <w:shd w:fill="auto" w:val="clear"/>
                <w:lang w:val="pt-BR" w:eastAsia="pt-BR" w:bidi="ar-SA"/>
              </w:rPr>
              <w:t>possuir</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Considerações técnicas</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35</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Fator de manutenção</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0,80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Superfície do pavimento (via)</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CIE R3, q0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3,00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 para definição da malha de cálculo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1</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4</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8,50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2</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7382" w:type="dxa"/>
            <w:gridSpan w:val="1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Indicadores luminotécnicos mínimos que deverão ser atendidos na simulação luminotécnica</w:t>
            </w:r>
          </w:p>
        </w:tc>
        <w:tc>
          <w:tcPr>
            <w:tcW w:w="2311"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ambiente urbano</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Ordem do croqui de simulação: 1º item: localizado na parte superior do croqui</w:t>
            </w:r>
          </w:p>
        </w:tc>
        <w:tc>
          <w:tcPr>
            <w:tcW w:w="1690"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 “x” localiza a posição do poste de IP</w:t>
            </w:r>
          </w:p>
        </w:tc>
        <w:tc>
          <w:tcPr>
            <w:tcW w:w="53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méd </w:t>
            </w:r>
            <w:r>
              <w:rPr>
                <w:rFonts w:eastAsia="Times New Roman" w:cs="Calibri" w:ascii="Arial" w:hAnsi="Arial"/>
                <w:b/>
                <w:bCs/>
                <w:color w:val="000000"/>
                <w:kern w:val="0"/>
                <w:sz w:val="18"/>
                <w:szCs w:val="18"/>
                <w:shd w:fill="auto" w:val="clear"/>
                <w:lang w:val="pt-BR" w:eastAsia="pt-BR" w:bidi="ar-SA"/>
              </w:rPr>
              <w:t>(lx)</w:t>
            </w:r>
          </w:p>
        </w:tc>
        <w:tc>
          <w:tcPr>
            <w:tcW w:w="62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mín </w:t>
            </w:r>
            <w:r>
              <w:rPr>
                <w:rFonts w:eastAsia="Times New Roman" w:cs="Calibri" w:ascii="Arial" w:hAnsi="Arial"/>
                <w:b/>
                <w:bCs/>
                <w:color w:val="000000"/>
                <w:kern w:val="0"/>
                <w:sz w:val="18"/>
                <w:szCs w:val="18"/>
                <w:shd w:fill="auto" w:val="clear"/>
                <w:lang w:val="pt-BR" w:eastAsia="pt-BR" w:bidi="ar-SA"/>
              </w:rPr>
              <w:t>(lx)</w:t>
            </w:r>
          </w:p>
        </w:tc>
        <w:tc>
          <w:tcPr>
            <w:tcW w:w="713"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vert mín </w:t>
            </w:r>
            <w:r>
              <w:rPr>
                <w:rFonts w:eastAsia="Times New Roman" w:cs="Calibri" w:ascii="Arial" w:hAnsi="Arial"/>
                <w:b/>
                <w:bCs/>
                <w:color w:val="000000"/>
                <w:kern w:val="0"/>
                <w:sz w:val="18"/>
                <w:szCs w:val="18"/>
                <w:shd w:fill="auto" w:val="clear"/>
                <w:lang w:val="pt-BR" w:eastAsia="pt-BR" w:bidi="ar-SA"/>
              </w:rPr>
              <w:t>(lx)</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(se necessário)</w:t>
            </w:r>
          </w:p>
        </w:tc>
        <w:tc>
          <w:tcPr>
            <w:tcW w:w="80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w:t>
            </w:r>
            <w:r>
              <w:rPr>
                <w:rFonts w:eastAsia="Times New Roman" w:cs="Calibri" w:ascii="Arial" w:hAnsi="Arial"/>
                <w:b/>
                <w:bCs/>
                <w:color w:val="000000"/>
                <w:kern w:val="0"/>
                <w:sz w:val="18"/>
                <w:szCs w:val="18"/>
                <w:shd w:fill="auto" w:val="clear"/>
                <w:vertAlign w:val="subscript"/>
                <w:lang w:val="pt-BR" w:eastAsia="pt-BR" w:bidi="ar-SA"/>
              </w:rPr>
              <w:t>0</w:t>
            </w:r>
            <w:r>
              <w:rPr>
                <w:rFonts w:eastAsia="Times New Roman" w:cs="Calibri" w:ascii="Arial" w:hAnsi="Arial"/>
                <w:b/>
                <w:bCs/>
                <w:color w:val="000000"/>
                <w:kern w:val="0"/>
                <w:sz w:val="18"/>
                <w:szCs w:val="18"/>
                <w:shd w:fill="auto" w:val="clear"/>
                <w:lang w:val="pt-BR" w:eastAsia="pt-BR" w:bidi="ar-SA"/>
              </w:rPr>
              <w:t xml:space="preserve"> ≥</w:t>
            </w:r>
          </w:p>
        </w:tc>
        <w:tc>
          <w:tcPr>
            <w:tcW w:w="80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f</w:t>
            </w:r>
            <w:r>
              <w:rPr>
                <w:rFonts w:eastAsia="Times New Roman" w:cs="Calibri" w:ascii="Arial" w:hAnsi="Arial"/>
                <w:b/>
                <w:bCs/>
                <w:color w:val="000000"/>
                <w:kern w:val="0"/>
                <w:sz w:val="18"/>
                <w:szCs w:val="18"/>
                <w:shd w:fill="auto" w:val="clear"/>
                <w:vertAlign w:val="subscript"/>
                <w:lang w:val="pt-BR" w:eastAsia="pt-BR" w:bidi="ar-SA"/>
              </w:rPr>
              <w:t>TI</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w:t>
            </w:r>
          </w:p>
        </w:tc>
        <w:tc>
          <w:tcPr>
            <w:tcW w:w="231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Larguras em metros (m) / Área da praça (m2)</w:t>
            </w:r>
          </w:p>
        </w:tc>
      </w:tr>
      <w:tr>
        <w:trPr>
          <w:trHeight w:val="196" w:hRule="atLeast"/>
        </w:trPr>
        <w:tc>
          <w:tcPr>
            <w:tcW w:w="1778"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Requisitos mínimos:</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r>
              <w:rPr>
                <w:rFonts w:eastAsia="Times New Roman" w:cs="Calibri" w:ascii="Arial" w:hAnsi="Arial"/>
                <w:color w:val="000000"/>
                <w:kern w:val="0"/>
                <w:sz w:val="18"/>
                <w:szCs w:val="18"/>
                <w:shd w:fill="auto" w:val="clear"/>
                <w:lang w:val="pt-BR" w:eastAsia="pt-BR" w:bidi="ar-SA"/>
              </w:rPr>
              <w:t xml:space="preserve"> Iluminância horizontal média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uniformidade geral da iluminância U</w:t>
            </w:r>
            <w:r>
              <w:rPr>
                <w:rFonts w:eastAsia="Times New Roman" w:cs="Calibri" w:ascii="Arial" w:hAnsi="Arial"/>
                <w:color w:val="000000"/>
                <w:kern w:val="0"/>
                <w:sz w:val="18"/>
                <w:szCs w:val="18"/>
                <w:shd w:fill="auto" w:val="clear"/>
                <w:vertAlign w:val="subscript"/>
                <w:lang w:val="pt-BR" w:eastAsia="pt-BR" w:bidi="ar-SA"/>
              </w:rPr>
              <w:t>o</w:t>
            </w:r>
            <w:r>
              <w:rPr>
                <w:rFonts w:eastAsia="Times New Roman" w:cs="Calibri" w:ascii="Arial" w:hAnsi="Arial"/>
                <w:color w:val="000000"/>
                <w:kern w:val="0"/>
                <w:sz w:val="18"/>
                <w:szCs w:val="18"/>
                <w:shd w:fill="auto" w:val="clear"/>
                <w:lang w:val="pt-BR" w:eastAsia="pt-BR" w:bidi="ar-SA"/>
              </w:rPr>
              <w:t>(E) e incremento de limiar f</w:t>
            </w:r>
            <w:r>
              <w:rPr>
                <w:rFonts w:eastAsia="Times New Roman" w:cs="Calibri" w:ascii="Arial" w:hAnsi="Arial"/>
                <w:color w:val="000000"/>
                <w:kern w:val="0"/>
                <w:sz w:val="18"/>
                <w:szCs w:val="18"/>
                <w:shd w:fill="auto" w:val="clear"/>
                <w:vertAlign w:val="subscript"/>
                <w:lang w:val="pt-BR" w:eastAsia="pt-BR" w:bidi="ar-SA"/>
              </w:rPr>
              <w:t>TI</w:t>
            </w:r>
            <w:r>
              <w:rPr>
                <w:rFonts w:eastAsia="Times New Roman" w:cs="Calibri" w:ascii="Arial" w:hAnsi="Arial"/>
                <w:color w:val="000000"/>
                <w:kern w:val="0"/>
                <w:sz w:val="18"/>
                <w:szCs w:val="18"/>
                <w:shd w:fill="auto" w:val="clear"/>
                <w:lang w:val="pt-BR" w:eastAsia="pt-BR" w:bidi="ar-SA"/>
              </w:rPr>
              <w:t xml:space="preserve"> (%).</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r>
              <w:rPr>
                <w:rFonts w:eastAsia="Times New Roman" w:cs="Calibri" w:ascii="Arial" w:hAnsi="Arial"/>
                <w:color w:val="000000"/>
                <w:kern w:val="0"/>
                <w:sz w:val="18"/>
                <w:szCs w:val="18"/>
                <w:shd w:fill="auto" w:val="clear"/>
                <w:lang w:val="pt-BR" w:eastAsia="pt-BR" w:bidi="ar-SA"/>
              </w:rPr>
              <w:t xml:space="preserve"> Iluminância média horizontal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xml:space="preserve"> (lx), Iluminância mínima horizontal E</w:t>
            </w:r>
            <w:r>
              <w:rPr>
                <w:rFonts w:eastAsia="Times New Roman" w:cs="Calibri" w:ascii="Arial" w:hAnsi="Arial"/>
                <w:color w:val="000000"/>
                <w:kern w:val="0"/>
                <w:sz w:val="18"/>
                <w:szCs w:val="18"/>
                <w:shd w:fill="auto" w:val="clear"/>
                <w:vertAlign w:val="subscript"/>
                <w:lang w:val="pt-BR" w:eastAsia="pt-BR" w:bidi="ar-SA"/>
              </w:rPr>
              <w:t>mín</w:t>
            </w:r>
            <w:r>
              <w:rPr>
                <w:rFonts w:eastAsia="Times New Roman" w:cs="Calibri" w:ascii="Arial" w:hAnsi="Arial"/>
                <w:color w:val="000000"/>
                <w:kern w:val="0"/>
                <w:sz w:val="18"/>
                <w:szCs w:val="18"/>
                <w:shd w:fill="auto" w:val="clear"/>
                <w:lang w:val="pt-BR" w:eastAsia="pt-BR" w:bidi="ar-SA"/>
              </w:rPr>
              <w:t xml:space="preserve"> (lx) e iluminância vertical mínima E</w:t>
            </w:r>
            <w:r>
              <w:rPr>
                <w:rFonts w:eastAsia="Times New Roman" w:cs="Calibri" w:ascii="Arial" w:hAnsi="Arial"/>
                <w:color w:val="000000"/>
                <w:kern w:val="0"/>
                <w:sz w:val="18"/>
                <w:szCs w:val="18"/>
                <w:shd w:fill="auto" w:val="clear"/>
                <w:vertAlign w:val="subscript"/>
                <w:lang w:val="pt-BR" w:eastAsia="pt-BR" w:bidi="ar-SA"/>
              </w:rPr>
              <w:t>vert</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color w:val="000000"/>
                <w:kern w:val="0"/>
                <w:sz w:val="18"/>
                <w:szCs w:val="18"/>
                <w:shd w:fill="auto" w:val="clear"/>
                <w:vertAlign w:val="subscript"/>
                <w:lang w:val="pt-BR" w:eastAsia="pt-BR" w:bidi="ar-SA"/>
              </w:rPr>
              <w:t xml:space="preserve">mín </w:t>
            </w:r>
            <w:r>
              <w:rPr>
                <w:rFonts w:eastAsia="Times New Roman" w:cs="Calibri" w:ascii="Arial" w:hAnsi="Arial"/>
                <w:color w:val="000000"/>
                <w:kern w:val="0"/>
                <w:sz w:val="18"/>
                <w:szCs w:val="18"/>
                <w:shd w:fill="auto" w:val="clear"/>
                <w:lang w:val="pt-BR" w:eastAsia="pt-BR" w:bidi="ar-SA"/>
              </w:rPr>
              <w:t>(lx).</w:t>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3,00</w:t>
            </w:r>
          </w:p>
        </w:tc>
      </w:tr>
      <w:tr>
        <w:trPr>
          <w:trHeight w:val="227" w:hRule="atLeast"/>
          <w:cantSplit w:val="true"/>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3,00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0,18</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16,00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3</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3</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Estacionamento</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Estac.</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Ciclovia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Ciclovia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Praça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Área da praça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bl>
    <w:p>
      <w:pPr>
        <w:pStyle w:val="Normal"/>
        <w:numPr>
          <w:ilvl w:val="0"/>
          <w:numId w:val="2"/>
        </w:numPr>
        <w:spacing w:lineRule="auto" w:line="276"/>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5000" w:type="pct"/>
        <w:jc w:val="center"/>
        <w:tblInd w:w="0" w:type="dxa"/>
        <w:tblLayout w:type="fixed"/>
        <w:tblCellMar>
          <w:top w:w="0" w:type="dxa"/>
          <w:left w:w="108" w:type="dxa"/>
          <w:bottom w:w="0" w:type="dxa"/>
          <w:right w:w="108" w:type="dxa"/>
        </w:tblCellMar>
      </w:tblPr>
      <w:tblGrid>
        <w:gridCol w:w="442"/>
        <w:gridCol w:w="1336"/>
        <w:gridCol w:w="445"/>
        <w:gridCol w:w="236"/>
        <w:gridCol w:w="920"/>
        <w:gridCol w:w="534"/>
        <w:gridCol w:w="533"/>
        <w:gridCol w:w="622"/>
        <w:gridCol w:w="239"/>
        <w:gridCol w:w="474"/>
        <w:gridCol w:w="800"/>
        <w:gridCol w:w="534"/>
        <w:gridCol w:w="267"/>
        <w:gridCol w:w="849"/>
        <w:gridCol w:w="575"/>
        <w:gridCol w:w="887"/>
      </w:tblGrid>
      <w:tr>
        <w:trPr>
          <w:trHeight w:val="227" w:hRule="atLeast"/>
        </w:trPr>
        <w:tc>
          <w:tcPr>
            <w:tcW w:w="9693" w:type="dxa"/>
            <w:gridSpan w:val="16"/>
            <w:tcBorders>
              <w:bottom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LUMINÁRIA LED PÚBLICA VIÁRIA  </w:t>
            </w:r>
            <w:r>
              <w:rPr>
                <w:rFonts w:eastAsia="Times New Roman" w:cs="Calibri" w:ascii="Arial" w:hAnsi="Arial"/>
                <w:b/>
                <w:bCs/>
                <w:color w:val="000000"/>
                <w:kern w:val="0"/>
                <w:sz w:val="18"/>
                <w:szCs w:val="18"/>
                <w:shd w:fill="auto" w:val="clear"/>
                <w:lang w:val="pt-BR" w:eastAsia="pt-BR" w:bidi="ar-SA"/>
              </w:rPr>
              <w:t xml:space="preserve">POTÊNCIA </w:t>
            </w:r>
            <w:r>
              <w:rPr>
                <w:rFonts w:eastAsia="Times New Roman" w:cs="Arial;sans-serif" w:ascii="Arial" w:hAnsi="Arial"/>
                <w:b/>
                <w:bCs/>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 xml:space="preserve"> 120 W – CENÁRIO DE SIMULAÇÃO B – ITEM III</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Identificação</w:t>
            </w:r>
          </w:p>
        </w:tc>
        <w:tc>
          <w:tcPr>
            <w:tcW w:w="6314" w:type="dxa"/>
            <w:gridSpan w:val="11"/>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sistema IP que deverão ser adotadas na simulação luminotécnica</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Classificação conforme</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ABNT NBR 5101</w:t>
            </w:r>
          </w:p>
        </w:tc>
        <w:tc>
          <w:tcPr>
            <w:tcW w:w="1928" w:type="dxa"/>
            <w:gridSpan w:val="4"/>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Via</w:t>
            </w:r>
          </w:p>
        </w:tc>
        <w:tc>
          <w:tcPr>
            <w:tcW w:w="1808"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C3</w:t>
            </w:r>
          </w:p>
        </w:tc>
        <w:tc>
          <w:tcPr>
            <w:tcW w:w="111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Passeio</w:t>
            </w:r>
          </w:p>
        </w:tc>
        <w:tc>
          <w:tcPr>
            <w:tcW w:w="1462"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P3</w:t>
            </w:r>
          </w:p>
        </w:tc>
      </w:tr>
      <w:tr>
        <w:trPr>
          <w:trHeight w:val="227" w:hRule="atLeast"/>
        </w:trPr>
        <w:tc>
          <w:tcPr>
            <w:tcW w:w="2223" w:type="dxa"/>
            <w:gridSpan w:val="3"/>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Tipologia</w:t>
            </w:r>
          </w:p>
        </w:tc>
        <w:tc>
          <w:tcPr>
            <w:tcW w:w="1156"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PADRÃO “B”</w:t>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Obs.: o nº 1 representa a opção principal e o nº 2 representa a secundária (usar somente se necessário)</w:t>
            </w:r>
          </w:p>
        </w:tc>
      </w:tr>
      <w:tr>
        <w:trPr>
          <w:trHeight w:val="227" w:hRule="atLeast"/>
        </w:trPr>
        <w:tc>
          <w:tcPr>
            <w:tcW w:w="2223"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lef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Dimensões em metros (m)</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Cs/>
                <w:color w:val="000000"/>
                <w:kern w:val="0"/>
                <w:sz w:val="18"/>
                <w:szCs w:val="18"/>
                <w:shd w:fill="auto" w:val="clear"/>
                <w:lang w:val="pt-BR" w:eastAsia="pt-BR" w:bidi="ar-SA"/>
              </w:rPr>
              <w:t>Ajuste de ângulo direto na luminária: (x) determina a condição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Unilateral</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0,50</w:t>
            </w:r>
          </w:p>
        </w:tc>
      </w:tr>
      <w:tr>
        <w:trPr>
          <w:trHeight w:val="227" w:hRule="atLeast"/>
        </w:trPr>
        <w:tc>
          <w:tcPr>
            <w:tcW w:w="4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178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color w:val="000000"/>
                <w:kern w:val="0"/>
                <w:sz w:val="18"/>
                <w:szCs w:val="18"/>
                <w:shd w:fill="auto" w:val="clear"/>
                <w:lang w:val="pt-BR" w:eastAsia="pt-BR" w:bidi="ar-SA"/>
              </w:rPr>
              <w:t xml:space="preserve">Deverá </w:t>
            </w:r>
            <w:r>
              <w:rPr>
                <w:rFonts w:eastAsia="Times New Roman" w:cs="Calibri" w:ascii="Arial" w:hAnsi="Arial"/>
                <w:color w:val="000000"/>
                <w:kern w:val="0"/>
                <w:sz w:val="18"/>
                <w:szCs w:val="18"/>
                <w:shd w:fill="auto" w:val="clear"/>
                <w:lang w:val="pt-BR" w:eastAsia="pt-BR" w:bidi="ar-SA"/>
              </w:rPr>
              <w:t>possuir</w:t>
            </w:r>
          </w:p>
        </w:tc>
        <w:tc>
          <w:tcPr>
            <w:tcW w:w="2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Poderá </w:t>
            </w:r>
            <w:r>
              <w:rPr>
                <w:rFonts w:eastAsia="Times New Roman" w:cs="Calibri" w:ascii="Arial" w:hAnsi="Arial"/>
                <w:bCs/>
                <w:color w:val="000000"/>
                <w:kern w:val="0"/>
                <w:sz w:val="18"/>
                <w:szCs w:val="18"/>
                <w:shd w:fill="auto" w:val="clear"/>
                <w:lang w:val="pt-BR" w:eastAsia="pt-BR" w:bidi="ar-SA"/>
              </w:rPr>
              <w:t>possuir</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Considerações técnicas</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35</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Fator de manutenção</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0,80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Superfície do pavimento (via)</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CIE R3, q0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3,00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 para definição da malha de cálculo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1</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8,50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2</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7382" w:type="dxa"/>
            <w:gridSpan w:val="1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Indicadores luminotécnicos mínimos que deverão ser atendidos na simulação luminotécnica</w:t>
            </w:r>
          </w:p>
        </w:tc>
        <w:tc>
          <w:tcPr>
            <w:tcW w:w="2311"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ambiente urbano</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Ordem do croqui de simulação: 1º item: localizado na parte superior do croqui</w:t>
            </w:r>
          </w:p>
        </w:tc>
        <w:tc>
          <w:tcPr>
            <w:tcW w:w="1690"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 “x” localiza a posição do poste de IP</w:t>
            </w:r>
          </w:p>
        </w:tc>
        <w:tc>
          <w:tcPr>
            <w:tcW w:w="53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méd </w:t>
            </w:r>
            <w:r>
              <w:rPr>
                <w:rFonts w:eastAsia="Times New Roman" w:cs="Calibri" w:ascii="Arial" w:hAnsi="Arial"/>
                <w:b/>
                <w:bCs/>
                <w:color w:val="000000"/>
                <w:kern w:val="0"/>
                <w:sz w:val="18"/>
                <w:szCs w:val="18"/>
                <w:shd w:fill="auto" w:val="clear"/>
                <w:lang w:val="pt-BR" w:eastAsia="pt-BR" w:bidi="ar-SA"/>
              </w:rPr>
              <w:t>(lx)</w:t>
            </w:r>
          </w:p>
        </w:tc>
        <w:tc>
          <w:tcPr>
            <w:tcW w:w="62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mín </w:t>
            </w:r>
            <w:r>
              <w:rPr>
                <w:rFonts w:eastAsia="Times New Roman" w:cs="Calibri" w:ascii="Arial" w:hAnsi="Arial"/>
                <w:b/>
                <w:bCs/>
                <w:color w:val="000000"/>
                <w:kern w:val="0"/>
                <w:sz w:val="18"/>
                <w:szCs w:val="18"/>
                <w:shd w:fill="auto" w:val="clear"/>
                <w:lang w:val="pt-BR" w:eastAsia="pt-BR" w:bidi="ar-SA"/>
              </w:rPr>
              <w:t>(lx)</w:t>
            </w:r>
          </w:p>
        </w:tc>
        <w:tc>
          <w:tcPr>
            <w:tcW w:w="713"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vert mín </w:t>
            </w:r>
            <w:r>
              <w:rPr>
                <w:rFonts w:eastAsia="Times New Roman" w:cs="Calibri" w:ascii="Arial" w:hAnsi="Arial"/>
                <w:b/>
                <w:bCs/>
                <w:color w:val="000000"/>
                <w:kern w:val="0"/>
                <w:sz w:val="18"/>
                <w:szCs w:val="18"/>
                <w:shd w:fill="auto" w:val="clear"/>
                <w:lang w:val="pt-BR" w:eastAsia="pt-BR" w:bidi="ar-SA"/>
              </w:rPr>
              <w:t>(lx)</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(se necessário)</w:t>
            </w:r>
          </w:p>
        </w:tc>
        <w:tc>
          <w:tcPr>
            <w:tcW w:w="80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w:t>
            </w:r>
            <w:r>
              <w:rPr>
                <w:rFonts w:eastAsia="Times New Roman" w:cs="Calibri" w:ascii="Arial" w:hAnsi="Arial"/>
                <w:b/>
                <w:bCs/>
                <w:color w:val="000000"/>
                <w:kern w:val="0"/>
                <w:sz w:val="18"/>
                <w:szCs w:val="18"/>
                <w:shd w:fill="auto" w:val="clear"/>
                <w:vertAlign w:val="subscript"/>
                <w:lang w:val="pt-BR" w:eastAsia="pt-BR" w:bidi="ar-SA"/>
              </w:rPr>
              <w:t>0</w:t>
            </w:r>
            <w:r>
              <w:rPr>
                <w:rFonts w:eastAsia="Times New Roman" w:cs="Calibri" w:ascii="Arial" w:hAnsi="Arial"/>
                <w:b/>
                <w:bCs/>
                <w:color w:val="000000"/>
                <w:kern w:val="0"/>
                <w:sz w:val="18"/>
                <w:szCs w:val="18"/>
                <w:shd w:fill="auto" w:val="clear"/>
                <w:lang w:val="pt-BR" w:eastAsia="pt-BR" w:bidi="ar-SA"/>
              </w:rPr>
              <w:t xml:space="preserve"> ≥</w:t>
            </w:r>
          </w:p>
        </w:tc>
        <w:tc>
          <w:tcPr>
            <w:tcW w:w="80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f</w:t>
            </w:r>
            <w:r>
              <w:rPr>
                <w:rFonts w:eastAsia="Times New Roman" w:cs="Calibri" w:ascii="Arial" w:hAnsi="Arial"/>
                <w:b/>
                <w:bCs/>
                <w:color w:val="000000"/>
                <w:kern w:val="0"/>
                <w:sz w:val="18"/>
                <w:szCs w:val="18"/>
                <w:shd w:fill="auto" w:val="clear"/>
                <w:vertAlign w:val="subscript"/>
                <w:lang w:val="pt-BR" w:eastAsia="pt-BR" w:bidi="ar-SA"/>
              </w:rPr>
              <w:t>TI</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w:t>
            </w:r>
          </w:p>
        </w:tc>
        <w:tc>
          <w:tcPr>
            <w:tcW w:w="231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Larguras em metros (m) / Área da praça (m2)</w:t>
            </w:r>
          </w:p>
        </w:tc>
      </w:tr>
      <w:tr>
        <w:trPr>
          <w:trHeight w:val="196" w:hRule="atLeast"/>
        </w:trPr>
        <w:tc>
          <w:tcPr>
            <w:tcW w:w="1778"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Requisitos mínimos:</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C3:</w:t>
            </w:r>
            <w:r>
              <w:rPr>
                <w:rFonts w:eastAsia="Times New Roman" w:cs="Calibri" w:ascii="Arial" w:hAnsi="Arial"/>
                <w:color w:val="000000"/>
                <w:kern w:val="0"/>
                <w:sz w:val="18"/>
                <w:szCs w:val="18"/>
                <w:shd w:fill="auto" w:val="clear"/>
                <w:lang w:val="pt-BR" w:eastAsia="pt-BR" w:bidi="ar-SA"/>
              </w:rPr>
              <w:t xml:space="preserve"> Iluminância horizontal média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uniformidade geral da iluminância U</w:t>
            </w:r>
            <w:r>
              <w:rPr>
                <w:rFonts w:eastAsia="Times New Roman" w:cs="Calibri" w:ascii="Arial" w:hAnsi="Arial"/>
                <w:color w:val="000000"/>
                <w:kern w:val="0"/>
                <w:sz w:val="18"/>
                <w:szCs w:val="18"/>
                <w:shd w:fill="auto" w:val="clear"/>
                <w:vertAlign w:val="subscript"/>
                <w:lang w:val="pt-BR" w:eastAsia="pt-BR" w:bidi="ar-SA"/>
              </w:rPr>
              <w:t>o</w:t>
            </w:r>
            <w:r>
              <w:rPr>
                <w:rFonts w:eastAsia="Times New Roman" w:cs="Calibri" w:ascii="Arial" w:hAnsi="Arial"/>
                <w:color w:val="000000"/>
                <w:kern w:val="0"/>
                <w:sz w:val="18"/>
                <w:szCs w:val="18"/>
                <w:shd w:fill="auto" w:val="clear"/>
                <w:lang w:val="pt-BR" w:eastAsia="pt-BR" w:bidi="ar-SA"/>
              </w:rPr>
              <w:t>(E) e incremento de limiar f</w:t>
            </w:r>
            <w:r>
              <w:rPr>
                <w:rFonts w:eastAsia="Times New Roman" w:cs="Calibri" w:ascii="Arial" w:hAnsi="Arial"/>
                <w:color w:val="000000"/>
                <w:kern w:val="0"/>
                <w:sz w:val="18"/>
                <w:szCs w:val="18"/>
                <w:shd w:fill="auto" w:val="clear"/>
                <w:vertAlign w:val="subscript"/>
                <w:lang w:val="pt-BR" w:eastAsia="pt-BR" w:bidi="ar-SA"/>
              </w:rPr>
              <w:t>TI</w:t>
            </w:r>
            <w:r>
              <w:rPr>
                <w:rFonts w:eastAsia="Times New Roman" w:cs="Calibri" w:ascii="Arial" w:hAnsi="Arial"/>
                <w:color w:val="000000"/>
                <w:kern w:val="0"/>
                <w:sz w:val="18"/>
                <w:szCs w:val="18"/>
                <w:shd w:fill="auto" w:val="clear"/>
                <w:lang w:val="pt-BR" w:eastAsia="pt-BR" w:bidi="ar-SA"/>
              </w:rPr>
              <w:t xml:space="preserve"> (%).</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P3:</w:t>
            </w:r>
            <w:r>
              <w:rPr>
                <w:rFonts w:eastAsia="Times New Roman" w:cs="Calibri" w:ascii="Arial" w:hAnsi="Arial"/>
                <w:color w:val="000000"/>
                <w:kern w:val="0"/>
                <w:sz w:val="18"/>
                <w:szCs w:val="18"/>
                <w:shd w:fill="auto" w:val="clear"/>
                <w:lang w:val="pt-BR" w:eastAsia="pt-BR" w:bidi="ar-SA"/>
              </w:rPr>
              <w:t xml:space="preserve"> Iluminância média horizontal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xml:space="preserve"> (lx), Iluminância mínima horizontal E</w:t>
            </w:r>
            <w:r>
              <w:rPr>
                <w:rFonts w:eastAsia="Times New Roman" w:cs="Calibri" w:ascii="Arial" w:hAnsi="Arial"/>
                <w:color w:val="000000"/>
                <w:kern w:val="0"/>
                <w:sz w:val="18"/>
                <w:szCs w:val="18"/>
                <w:shd w:fill="auto" w:val="clear"/>
                <w:vertAlign w:val="subscript"/>
                <w:lang w:val="pt-BR" w:eastAsia="pt-BR" w:bidi="ar-SA"/>
              </w:rPr>
              <w:t>mín</w:t>
            </w:r>
            <w:r>
              <w:rPr>
                <w:rFonts w:eastAsia="Times New Roman" w:cs="Calibri" w:ascii="Arial" w:hAnsi="Arial"/>
                <w:color w:val="000000"/>
                <w:kern w:val="0"/>
                <w:sz w:val="18"/>
                <w:szCs w:val="18"/>
                <w:shd w:fill="auto" w:val="clear"/>
                <w:lang w:val="pt-BR" w:eastAsia="pt-BR" w:bidi="ar-SA"/>
              </w:rPr>
              <w:t xml:space="preserve"> (lx) e iluminância vertical mínima E</w:t>
            </w:r>
            <w:r>
              <w:rPr>
                <w:rFonts w:eastAsia="Times New Roman" w:cs="Calibri" w:ascii="Arial" w:hAnsi="Arial"/>
                <w:color w:val="000000"/>
                <w:kern w:val="0"/>
                <w:sz w:val="18"/>
                <w:szCs w:val="18"/>
                <w:shd w:fill="auto" w:val="clear"/>
                <w:vertAlign w:val="subscript"/>
                <w:lang w:val="pt-BR" w:eastAsia="pt-BR" w:bidi="ar-SA"/>
              </w:rPr>
              <w:t>vert</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color w:val="000000"/>
                <w:kern w:val="0"/>
                <w:sz w:val="18"/>
                <w:szCs w:val="18"/>
                <w:shd w:fill="auto" w:val="clear"/>
                <w:vertAlign w:val="subscript"/>
                <w:lang w:val="pt-BR" w:eastAsia="pt-BR" w:bidi="ar-SA"/>
              </w:rPr>
              <w:t xml:space="preserve">mín </w:t>
            </w:r>
            <w:r>
              <w:rPr>
                <w:rFonts w:eastAsia="Times New Roman" w:cs="Calibri" w:ascii="Arial" w:hAnsi="Arial"/>
                <w:color w:val="000000"/>
                <w:kern w:val="0"/>
                <w:sz w:val="18"/>
                <w:szCs w:val="18"/>
                <w:shd w:fill="auto" w:val="clear"/>
                <w:lang w:val="pt-BR" w:eastAsia="pt-BR" w:bidi="ar-SA"/>
              </w:rPr>
              <w:t>(lx).</w:t>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2,0</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cantSplit w:val="true"/>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2,0</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0,18</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11,00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3</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3</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Estacionamento</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Estac.</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Ciclovia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Ciclovia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Praça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Área da praça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bl>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5000" w:type="pct"/>
        <w:jc w:val="center"/>
        <w:tblInd w:w="0" w:type="dxa"/>
        <w:tblLayout w:type="fixed"/>
        <w:tblCellMar>
          <w:top w:w="0" w:type="dxa"/>
          <w:left w:w="108" w:type="dxa"/>
          <w:bottom w:w="0" w:type="dxa"/>
          <w:right w:w="108" w:type="dxa"/>
        </w:tblCellMar>
      </w:tblPr>
      <w:tblGrid>
        <w:gridCol w:w="442"/>
        <w:gridCol w:w="1336"/>
        <w:gridCol w:w="445"/>
        <w:gridCol w:w="236"/>
        <w:gridCol w:w="920"/>
        <w:gridCol w:w="534"/>
        <w:gridCol w:w="533"/>
        <w:gridCol w:w="622"/>
        <w:gridCol w:w="239"/>
        <w:gridCol w:w="474"/>
        <w:gridCol w:w="800"/>
        <w:gridCol w:w="534"/>
        <w:gridCol w:w="267"/>
        <w:gridCol w:w="849"/>
        <w:gridCol w:w="575"/>
        <w:gridCol w:w="887"/>
      </w:tblGrid>
      <w:tr>
        <w:trPr>
          <w:trHeight w:val="227" w:hRule="atLeast"/>
        </w:trPr>
        <w:tc>
          <w:tcPr>
            <w:tcW w:w="9693" w:type="dxa"/>
            <w:gridSpan w:val="16"/>
            <w:tcBorders>
              <w:bottom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LUMINÁRIA LED PÚBLICA VIÁRIA  </w:t>
            </w:r>
            <w:r>
              <w:rPr>
                <w:rFonts w:eastAsia="Times New Roman" w:cs="Calibri" w:ascii="Arial" w:hAnsi="Arial"/>
                <w:b/>
                <w:bCs/>
                <w:color w:val="000000"/>
                <w:kern w:val="0"/>
                <w:sz w:val="18"/>
                <w:szCs w:val="18"/>
                <w:shd w:fill="auto" w:val="clear"/>
                <w:lang w:val="pt-BR" w:eastAsia="pt-BR" w:bidi="ar-SA"/>
              </w:rPr>
              <w:t xml:space="preserve">POTÊNCIA </w:t>
            </w:r>
            <w:r>
              <w:rPr>
                <w:rFonts w:eastAsia="Times New Roman" w:cs="Arial;sans-serif" w:ascii="Arial" w:hAnsi="Arial"/>
                <w:b/>
                <w:bCs/>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 xml:space="preserve">  70 W – CENÁRIO DE SIMULAÇÃO C – ITEM II</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Identificação</w:t>
            </w:r>
          </w:p>
        </w:tc>
        <w:tc>
          <w:tcPr>
            <w:tcW w:w="6314" w:type="dxa"/>
            <w:gridSpan w:val="11"/>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sistema IP que deverão ser adotadas na simulação luminotécnica</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Classificação conforme</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ABNT NBR 5101</w:t>
            </w:r>
          </w:p>
        </w:tc>
        <w:tc>
          <w:tcPr>
            <w:tcW w:w="1928" w:type="dxa"/>
            <w:gridSpan w:val="4"/>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Via</w:t>
            </w:r>
          </w:p>
        </w:tc>
        <w:tc>
          <w:tcPr>
            <w:tcW w:w="1808"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p>
        </w:tc>
        <w:tc>
          <w:tcPr>
            <w:tcW w:w="111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Passeio</w:t>
            </w:r>
          </w:p>
        </w:tc>
        <w:tc>
          <w:tcPr>
            <w:tcW w:w="1462"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p>
        </w:tc>
      </w:tr>
      <w:tr>
        <w:trPr>
          <w:trHeight w:val="227" w:hRule="atLeast"/>
        </w:trPr>
        <w:tc>
          <w:tcPr>
            <w:tcW w:w="2223" w:type="dxa"/>
            <w:gridSpan w:val="3"/>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Tipologia</w:t>
            </w:r>
          </w:p>
        </w:tc>
        <w:tc>
          <w:tcPr>
            <w:tcW w:w="1156"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PADRÃO “C”</w:t>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Obs.: o nº 1 representa a opção principal e o nº 2 representa a secundária (usar somente se necessário)</w:t>
            </w:r>
          </w:p>
        </w:tc>
      </w:tr>
      <w:tr>
        <w:trPr>
          <w:trHeight w:val="227" w:hRule="atLeast"/>
        </w:trPr>
        <w:tc>
          <w:tcPr>
            <w:tcW w:w="2223"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lef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Dimensões em metros (m)</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Cs/>
                <w:color w:val="000000"/>
                <w:kern w:val="0"/>
                <w:sz w:val="18"/>
                <w:szCs w:val="18"/>
                <w:shd w:fill="auto" w:val="clear"/>
                <w:lang w:val="pt-BR" w:eastAsia="pt-BR" w:bidi="ar-SA"/>
              </w:rPr>
              <w:t>Ajuste de ângulo direto na luminária: (x) determina a condição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Unilateral</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0,50</w:t>
            </w:r>
          </w:p>
        </w:tc>
      </w:tr>
      <w:tr>
        <w:trPr>
          <w:trHeight w:val="227" w:hRule="atLeast"/>
        </w:trPr>
        <w:tc>
          <w:tcPr>
            <w:tcW w:w="4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178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color w:val="000000"/>
                <w:kern w:val="0"/>
                <w:sz w:val="18"/>
                <w:szCs w:val="18"/>
                <w:shd w:fill="auto" w:val="clear"/>
                <w:lang w:val="pt-BR" w:eastAsia="pt-BR" w:bidi="ar-SA"/>
              </w:rPr>
              <w:t xml:space="preserve">Deverá </w:t>
            </w:r>
            <w:r>
              <w:rPr>
                <w:rFonts w:eastAsia="Times New Roman" w:cs="Calibri" w:ascii="Arial" w:hAnsi="Arial"/>
                <w:color w:val="000000"/>
                <w:kern w:val="0"/>
                <w:sz w:val="18"/>
                <w:szCs w:val="18"/>
                <w:shd w:fill="auto" w:val="clear"/>
                <w:lang w:val="pt-BR" w:eastAsia="pt-BR" w:bidi="ar-SA"/>
              </w:rPr>
              <w:t>possuir</w:t>
            </w:r>
          </w:p>
        </w:tc>
        <w:tc>
          <w:tcPr>
            <w:tcW w:w="2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Poderá </w:t>
            </w:r>
            <w:r>
              <w:rPr>
                <w:rFonts w:eastAsia="Times New Roman" w:cs="Calibri" w:ascii="Arial" w:hAnsi="Arial"/>
                <w:bCs/>
                <w:color w:val="000000"/>
                <w:kern w:val="0"/>
                <w:sz w:val="18"/>
                <w:szCs w:val="18"/>
                <w:shd w:fill="auto" w:val="clear"/>
                <w:lang w:val="pt-BR" w:eastAsia="pt-BR" w:bidi="ar-SA"/>
              </w:rPr>
              <w:t>possuir</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Considerações técnicas</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35</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2,00</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Fator de manutenção</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0,80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Superfície do pavimento (via)</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CIE R3, q0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 para definição da malha de cálculo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1</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8,50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2</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7382" w:type="dxa"/>
            <w:gridSpan w:val="1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Indicadores luminotécnicos mínimos que deverão ser atendidos na simulação luminotécnica</w:t>
            </w:r>
          </w:p>
        </w:tc>
        <w:tc>
          <w:tcPr>
            <w:tcW w:w="2311"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ambiente urbano</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Ordem do croqui de simulação: 1º item: localizado na parte superior do croqui</w:t>
            </w:r>
          </w:p>
        </w:tc>
        <w:tc>
          <w:tcPr>
            <w:tcW w:w="1690"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 “x” localiza a posição do poste de IP</w:t>
            </w:r>
          </w:p>
        </w:tc>
        <w:tc>
          <w:tcPr>
            <w:tcW w:w="53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méd </w:t>
            </w:r>
            <w:r>
              <w:rPr>
                <w:rFonts w:eastAsia="Times New Roman" w:cs="Calibri" w:ascii="Arial" w:hAnsi="Arial"/>
                <w:b/>
                <w:bCs/>
                <w:color w:val="000000"/>
                <w:kern w:val="0"/>
                <w:sz w:val="18"/>
                <w:szCs w:val="18"/>
                <w:shd w:fill="auto" w:val="clear"/>
                <w:lang w:val="pt-BR" w:eastAsia="pt-BR" w:bidi="ar-SA"/>
              </w:rPr>
              <w:t>(lx)</w:t>
            </w:r>
          </w:p>
        </w:tc>
        <w:tc>
          <w:tcPr>
            <w:tcW w:w="62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mín </w:t>
            </w:r>
            <w:r>
              <w:rPr>
                <w:rFonts w:eastAsia="Times New Roman" w:cs="Calibri" w:ascii="Arial" w:hAnsi="Arial"/>
                <w:b/>
                <w:bCs/>
                <w:color w:val="000000"/>
                <w:kern w:val="0"/>
                <w:sz w:val="18"/>
                <w:szCs w:val="18"/>
                <w:shd w:fill="auto" w:val="clear"/>
                <w:lang w:val="pt-BR" w:eastAsia="pt-BR" w:bidi="ar-SA"/>
              </w:rPr>
              <w:t>(lx)</w:t>
            </w:r>
          </w:p>
        </w:tc>
        <w:tc>
          <w:tcPr>
            <w:tcW w:w="713"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vert mín </w:t>
            </w:r>
            <w:r>
              <w:rPr>
                <w:rFonts w:eastAsia="Times New Roman" w:cs="Calibri" w:ascii="Arial" w:hAnsi="Arial"/>
                <w:b/>
                <w:bCs/>
                <w:color w:val="000000"/>
                <w:kern w:val="0"/>
                <w:sz w:val="18"/>
                <w:szCs w:val="18"/>
                <w:shd w:fill="auto" w:val="clear"/>
                <w:lang w:val="pt-BR" w:eastAsia="pt-BR" w:bidi="ar-SA"/>
              </w:rPr>
              <w:t>(lx)</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(se necessário)</w:t>
            </w:r>
          </w:p>
        </w:tc>
        <w:tc>
          <w:tcPr>
            <w:tcW w:w="80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w:t>
            </w:r>
            <w:r>
              <w:rPr>
                <w:rFonts w:eastAsia="Times New Roman" w:cs="Calibri" w:ascii="Arial" w:hAnsi="Arial"/>
                <w:b/>
                <w:bCs/>
                <w:color w:val="000000"/>
                <w:kern w:val="0"/>
                <w:sz w:val="18"/>
                <w:szCs w:val="18"/>
                <w:shd w:fill="auto" w:val="clear"/>
                <w:vertAlign w:val="subscript"/>
                <w:lang w:val="pt-BR" w:eastAsia="pt-BR" w:bidi="ar-SA"/>
              </w:rPr>
              <w:t>0</w:t>
            </w:r>
            <w:r>
              <w:rPr>
                <w:rFonts w:eastAsia="Times New Roman" w:cs="Calibri" w:ascii="Arial" w:hAnsi="Arial"/>
                <w:b/>
                <w:bCs/>
                <w:color w:val="000000"/>
                <w:kern w:val="0"/>
                <w:sz w:val="18"/>
                <w:szCs w:val="18"/>
                <w:shd w:fill="auto" w:val="clear"/>
                <w:lang w:val="pt-BR" w:eastAsia="pt-BR" w:bidi="ar-SA"/>
              </w:rPr>
              <w:t xml:space="preserve"> ≥</w:t>
            </w:r>
          </w:p>
        </w:tc>
        <w:tc>
          <w:tcPr>
            <w:tcW w:w="80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f</w:t>
            </w:r>
            <w:r>
              <w:rPr>
                <w:rFonts w:eastAsia="Times New Roman" w:cs="Calibri" w:ascii="Arial" w:hAnsi="Arial"/>
                <w:b/>
                <w:bCs/>
                <w:color w:val="000000"/>
                <w:kern w:val="0"/>
                <w:sz w:val="18"/>
                <w:szCs w:val="18"/>
                <w:shd w:fill="auto" w:val="clear"/>
                <w:vertAlign w:val="subscript"/>
                <w:lang w:val="pt-BR" w:eastAsia="pt-BR" w:bidi="ar-SA"/>
              </w:rPr>
              <w:t>TI</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w:t>
            </w:r>
          </w:p>
        </w:tc>
        <w:tc>
          <w:tcPr>
            <w:tcW w:w="231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Larguras em metros (m) / Área da praça (m2)</w:t>
            </w:r>
          </w:p>
        </w:tc>
      </w:tr>
      <w:tr>
        <w:trPr>
          <w:trHeight w:val="196" w:hRule="atLeast"/>
        </w:trPr>
        <w:tc>
          <w:tcPr>
            <w:tcW w:w="1778"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Requisitos mínimos:</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r>
              <w:rPr>
                <w:rFonts w:eastAsia="Times New Roman" w:cs="Calibri" w:ascii="Arial" w:hAnsi="Arial"/>
                <w:color w:val="000000"/>
                <w:kern w:val="0"/>
                <w:sz w:val="18"/>
                <w:szCs w:val="18"/>
                <w:shd w:fill="auto" w:val="clear"/>
                <w:lang w:val="pt-BR" w:eastAsia="pt-BR" w:bidi="ar-SA"/>
              </w:rPr>
              <w:t xml:space="preserve"> Iluminância horizontal média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uniformidade geral da iluminância U</w:t>
            </w:r>
            <w:r>
              <w:rPr>
                <w:rFonts w:eastAsia="Times New Roman" w:cs="Calibri" w:ascii="Arial" w:hAnsi="Arial"/>
                <w:color w:val="000000"/>
                <w:kern w:val="0"/>
                <w:sz w:val="18"/>
                <w:szCs w:val="18"/>
                <w:shd w:fill="auto" w:val="clear"/>
                <w:vertAlign w:val="subscript"/>
                <w:lang w:val="pt-BR" w:eastAsia="pt-BR" w:bidi="ar-SA"/>
              </w:rPr>
              <w:t>o</w:t>
            </w:r>
            <w:r>
              <w:rPr>
                <w:rFonts w:eastAsia="Times New Roman" w:cs="Calibri" w:ascii="Arial" w:hAnsi="Arial"/>
                <w:color w:val="000000"/>
                <w:kern w:val="0"/>
                <w:sz w:val="18"/>
                <w:szCs w:val="18"/>
                <w:shd w:fill="auto" w:val="clear"/>
                <w:lang w:val="pt-BR" w:eastAsia="pt-BR" w:bidi="ar-SA"/>
              </w:rPr>
              <w:t>(E) e incremento de limiar f</w:t>
            </w:r>
            <w:r>
              <w:rPr>
                <w:rFonts w:eastAsia="Times New Roman" w:cs="Calibri" w:ascii="Arial" w:hAnsi="Arial"/>
                <w:color w:val="000000"/>
                <w:kern w:val="0"/>
                <w:sz w:val="18"/>
                <w:szCs w:val="18"/>
                <w:shd w:fill="auto" w:val="clear"/>
                <w:vertAlign w:val="subscript"/>
                <w:lang w:val="pt-BR" w:eastAsia="pt-BR" w:bidi="ar-SA"/>
              </w:rPr>
              <w:t>TI</w:t>
            </w:r>
            <w:r>
              <w:rPr>
                <w:rFonts w:eastAsia="Times New Roman" w:cs="Calibri" w:ascii="Arial" w:hAnsi="Arial"/>
                <w:color w:val="000000"/>
                <w:kern w:val="0"/>
                <w:sz w:val="18"/>
                <w:szCs w:val="18"/>
                <w:shd w:fill="auto" w:val="clear"/>
                <w:lang w:val="pt-BR" w:eastAsia="pt-BR" w:bidi="ar-SA"/>
              </w:rPr>
              <w:t xml:space="preserve"> (%).</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r>
              <w:rPr>
                <w:rFonts w:eastAsia="Times New Roman" w:cs="Calibri" w:ascii="Arial" w:hAnsi="Arial"/>
                <w:color w:val="000000"/>
                <w:kern w:val="0"/>
                <w:sz w:val="18"/>
                <w:szCs w:val="18"/>
                <w:shd w:fill="auto" w:val="clear"/>
                <w:lang w:val="pt-BR" w:eastAsia="pt-BR" w:bidi="ar-SA"/>
              </w:rPr>
              <w:t xml:space="preserve"> Iluminância média horizontal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xml:space="preserve"> (lx), Iluminância mínima horizontal E</w:t>
            </w:r>
            <w:r>
              <w:rPr>
                <w:rFonts w:eastAsia="Times New Roman" w:cs="Calibri" w:ascii="Arial" w:hAnsi="Arial"/>
                <w:color w:val="000000"/>
                <w:kern w:val="0"/>
                <w:sz w:val="18"/>
                <w:szCs w:val="18"/>
                <w:shd w:fill="auto" w:val="clear"/>
                <w:vertAlign w:val="subscript"/>
                <w:lang w:val="pt-BR" w:eastAsia="pt-BR" w:bidi="ar-SA"/>
              </w:rPr>
              <w:t>mín</w:t>
            </w:r>
            <w:r>
              <w:rPr>
                <w:rFonts w:eastAsia="Times New Roman" w:cs="Calibri" w:ascii="Arial" w:hAnsi="Arial"/>
                <w:color w:val="000000"/>
                <w:kern w:val="0"/>
                <w:sz w:val="18"/>
                <w:szCs w:val="18"/>
                <w:shd w:fill="auto" w:val="clear"/>
                <w:lang w:val="pt-BR" w:eastAsia="pt-BR" w:bidi="ar-SA"/>
              </w:rPr>
              <w:t xml:space="preserve"> (lx) e iluminância vertical mínima E</w:t>
            </w:r>
            <w:r>
              <w:rPr>
                <w:rFonts w:eastAsia="Times New Roman" w:cs="Calibri" w:ascii="Arial" w:hAnsi="Arial"/>
                <w:color w:val="000000"/>
                <w:kern w:val="0"/>
                <w:sz w:val="18"/>
                <w:szCs w:val="18"/>
                <w:shd w:fill="auto" w:val="clear"/>
                <w:vertAlign w:val="subscript"/>
                <w:lang w:val="pt-BR" w:eastAsia="pt-BR" w:bidi="ar-SA"/>
              </w:rPr>
              <w:t>vert</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color w:val="000000"/>
                <w:kern w:val="0"/>
                <w:sz w:val="18"/>
                <w:szCs w:val="18"/>
                <w:shd w:fill="auto" w:val="clear"/>
                <w:vertAlign w:val="subscript"/>
                <w:lang w:val="pt-BR" w:eastAsia="pt-BR" w:bidi="ar-SA"/>
              </w:rPr>
              <w:t xml:space="preserve">mín </w:t>
            </w:r>
            <w:r>
              <w:rPr>
                <w:rFonts w:eastAsia="Times New Roman" w:cs="Calibri" w:ascii="Arial" w:hAnsi="Arial"/>
                <w:color w:val="000000"/>
                <w:kern w:val="0"/>
                <w:sz w:val="18"/>
                <w:szCs w:val="18"/>
                <w:shd w:fill="auto" w:val="clear"/>
                <w:lang w:val="pt-BR" w:eastAsia="pt-BR" w:bidi="ar-SA"/>
              </w:rPr>
              <w:t>(lx).</w:t>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cantSplit w:val="true"/>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0,18</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16</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10,00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3</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3</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Estacionamento</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Estac.</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Ciclovia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Ciclovia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Praça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Área da praça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bl>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5000" w:type="pct"/>
        <w:jc w:val="center"/>
        <w:tblInd w:w="0" w:type="dxa"/>
        <w:tblLayout w:type="fixed"/>
        <w:tblCellMar>
          <w:top w:w="0" w:type="dxa"/>
          <w:left w:w="108" w:type="dxa"/>
          <w:bottom w:w="0" w:type="dxa"/>
          <w:right w:w="108" w:type="dxa"/>
        </w:tblCellMar>
      </w:tblPr>
      <w:tblGrid>
        <w:gridCol w:w="442"/>
        <w:gridCol w:w="1336"/>
        <w:gridCol w:w="445"/>
        <w:gridCol w:w="236"/>
        <w:gridCol w:w="920"/>
        <w:gridCol w:w="534"/>
        <w:gridCol w:w="533"/>
        <w:gridCol w:w="622"/>
        <w:gridCol w:w="239"/>
        <w:gridCol w:w="474"/>
        <w:gridCol w:w="800"/>
        <w:gridCol w:w="534"/>
        <w:gridCol w:w="267"/>
        <w:gridCol w:w="849"/>
        <w:gridCol w:w="575"/>
        <w:gridCol w:w="887"/>
      </w:tblGrid>
      <w:tr>
        <w:trPr>
          <w:trHeight w:val="227" w:hRule="atLeast"/>
        </w:trPr>
        <w:tc>
          <w:tcPr>
            <w:tcW w:w="9693" w:type="dxa"/>
            <w:gridSpan w:val="16"/>
            <w:tcBorders>
              <w:bottom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LUMINÁRIA LED PÚBLICA VIÁRIA </w:t>
            </w:r>
            <w:r>
              <w:rPr>
                <w:rFonts w:eastAsia="Times New Roman" w:cs="Calibri" w:ascii="Arial" w:hAnsi="Arial"/>
                <w:b/>
                <w:bCs/>
                <w:color w:val="000000"/>
                <w:kern w:val="0"/>
                <w:sz w:val="18"/>
                <w:szCs w:val="18"/>
                <w:shd w:fill="auto" w:val="clear"/>
                <w:lang w:val="pt-BR" w:eastAsia="pt-BR" w:bidi="ar-SA"/>
              </w:rPr>
              <w:t xml:space="preserve">POTÊNCIA </w:t>
            </w:r>
            <w:r>
              <w:rPr>
                <w:rFonts w:eastAsia="Times New Roman" w:cs="Arial;sans-serif" w:ascii="Arial" w:hAnsi="Arial"/>
                <w:b/>
                <w:bCs/>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50 W – CENÁRIO DE SIMULAÇÃO D – ITEM I</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Identificação</w:t>
            </w:r>
          </w:p>
        </w:tc>
        <w:tc>
          <w:tcPr>
            <w:tcW w:w="6314" w:type="dxa"/>
            <w:gridSpan w:val="11"/>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sistema IP que deverão ser adotadas na simulação luminotécnica</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Classificação conforme</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b/>
                <w:bCs/>
                <w:color w:val="000000"/>
                <w:kern w:val="0"/>
                <w:sz w:val="18"/>
                <w:szCs w:val="18"/>
                <w:shd w:fill="auto" w:val="clear"/>
                <w:lang w:val="pt-BR" w:eastAsia="pt-BR" w:bidi="ar-SA"/>
              </w:rPr>
              <w:t>ABNT NBR 5101</w:t>
            </w:r>
          </w:p>
        </w:tc>
        <w:tc>
          <w:tcPr>
            <w:tcW w:w="1928" w:type="dxa"/>
            <w:gridSpan w:val="4"/>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Via</w:t>
            </w:r>
          </w:p>
        </w:tc>
        <w:tc>
          <w:tcPr>
            <w:tcW w:w="1808"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p>
        </w:tc>
        <w:tc>
          <w:tcPr>
            <w:tcW w:w="111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Passeio</w:t>
            </w:r>
          </w:p>
        </w:tc>
        <w:tc>
          <w:tcPr>
            <w:tcW w:w="1462"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p>
        </w:tc>
      </w:tr>
      <w:tr>
        <w:trPr>
          <w:trHeight w:val="227" w:hRule="atLeast"/>
        </w:trPr>
        <w:tc>
          <w:tcPr>
            <w:tcW w:w="2223" w:type="dxa"/>
            <w:gridSpan w:val="3"/>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Tipologia</w:t>
            </w:r>
          </w:p>
        </w:tc>
        <w:tc>
          <w:tcPr>
            <w:tcW w:w="1156"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PADRÃO “D”</w:t>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Obs.: o nº 1 representa a opção principal e o nº 2 representa a secundária (usar somente se necessário)</w:t>
            </w:r>
          </w:p>
        </w:tc>
      </w:tr>
      <w:tr>
        <w:trPr>
          <w:trHeight w:val="227" w:hRule="atLeast"/>
        </w:trPr>
        <w:tc>
          <w:tcPr>
            <w:tcW w:w="2223"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lef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31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Dimensões em metros (m)</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Cs/>
                <w:color w:val="000000"/>
                <w:kern w:val="0"/>
                <w:sz w:val="18"/>
                <w:szCs w:val="18"/>
                <w:shd w:fill="auto" w:val="clear"/>
                <w:lang w:val="pt-BR" w:eastAsia="pt-BR" w:bidi="ar-SA"/>
              </w:rPr>
              <w:t>Ajuste de ângulo direto na luminária: (x) determina a condição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Unilateral</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0,50</w:t>
            </w:r>
          </w:p>
        </w:tc>
      </w:tr>
      <w:tr>
        <w:trPr>
          <w:trHeight w:val="227" w:hRule="atLeast"/>
        </w:trPr>
        <w:tc>
          <w:tcPr>
            <w:tcW w:w="4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color w:val="000000"/>
                <w:kern w:val="0"/>
                <w:sz w:val="18"/>
                <w:szCs w:val="18"/>
                <w:highlight w:val="none"/>
                <w:shd w:fill="auto" w:val="clear"/>
                <w:lang w:val="pt-BR" w:eastAsia="pt-BR" w:bidi="ar-SA"/>
              </w:rPr>
            </w:pPr>
            <w:r>
              <w:rPr>
                <w:rFonts w:eastAsia="Times New Roman" w:cs="Calibri" w:ascii="Arial" w:hAnsi="Arial"/>
                <w:b/>
                <w:color w:val="000000"/>
                <w:kern w:val="0"/>
                <w:sz w:val="18"/>
                <w:szCs w:val="18"/>
                <w:shd w:fill="auto" w:val="clear"/>
                <w:lang w:val="pt-BR" w:eastAsia="pt-BR" w:bidi="ar-SA"/>
              </w:rPr>
            </w:r>
          </w:p>
        </w:tc>
        <w:tc>
          <w:tcPr>
            <w:tcW w:w="178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color w:val="000000"/>
                <w:kern w:val="0"/>
                <w:sz w:val="18"/>
                <w:szCs w:val="18"/>
                <w:shd w:fill="auto" w:val="clear"/>
                <w:lang w:val="pt-BR" w:eastAsia="pt-BR" w:bidi="ar-SA"/>
              </w:rPr>
              <w:t xml:space="preserve">Deverá </w:t>
            </w:r>
            <w:r>
              <w:rPr>
                <w:rFonts w:eastAsia="Times New Roman" w:cs="Calibri" w:ascii="Arial" w:hAnsi="Arial"/>
                <w:color w:val="000000"/>
                <w:kern w:val="0"/>
                <w:sz w:val="18"/>
                <w:szCs w:val="18"/>
                <w:shd w:fill="auto" w:val="clear"/>
                <w:lang w:val="pt-BR" w:eastAsia="pt-BR" w:bidi="ar-SA"/>
              </w:rPr>
              <w:t>possuir</w:t>
            </w:r>
          </w:p>
        </w:tc>
        <w:tc>
          <w:tcPr>
            <w:tcW w:w="2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xml:space="preserve">Poderá </w:t>
            </w:r>
            <w:r>
              <w:rPr>
                <w:rFonts w:eastAsia="Times New Roman" w:cs="Calibri" w:ascii="Arial" w:hAnsi="Arial"/>
                <w:bCs/>
                <w:color w:val="000000"/>
                <w:kern w:val="0"/>
                <w:sz w:val="18"/>
                <w:szCs w:val="18"/>
                <w:shd w:fill="auto" w:val="clear"/>
                <w:lang w:val="pt-BR" w:eastAsia="pt-BR" w:bidi="ar-SA"/>
              </w:rPr>
              <w:t>possuir</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Arranjo dos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 poste ao meio-fio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Considerações técnicas</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35</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1,50</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Fator de manutenção</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0,80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Distância entre postes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Pendor ponto luz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Superfície do pavimento (via)</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CIE R3, q0</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2,00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w:t>
            </w:r>
          </w:p>
        </w:tc>
      </w:tr>
      <w:tr>
        <w:trPr>
          <w:trHeight w:val="227" w:hRule="atLeast"/>
        </w:trPr>
        <w:tc>
          <w:tcPr>
            <w:tcW w:w="3379" w:type="dxa"/>
            <w:gridSpan w:val="5"/>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 para definição da malha de cálculo</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Projeção horizontal do braço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Ângulo incl. do braço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1</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w:t>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1</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8,50</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faixas tráfego na pista de rodagem 2</w:t>
            </w:r>
          </w:p>
        </w:tc>
        <w:tc>
          <w:tcPr>
            <w:tcW w:w="11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3202"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Altura do ponto de luz 2</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Nº luminárias / ponto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7382" w:type="dxa"/>
            <w:gridSpan w:val="1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Indicadores luminotécnicos mínimos que deverão ser atendidos na simulação luminotécnica</w:t>
            </w:r>
          </w:p>
        </w:tc>
        <w:tc>
          <w:tcPr>
            <w:tcW w:w="2311"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Características físicas do ambiente urbano</w:t>
            </w:r>
          </w:p>
        </w:tc>
      </w:tr>
      <w:tr>
        <w:trPr>
          <w:trHeight w:val="227" w:hRule="atLeast"/>
        </w:trPr>
        <w:tc>
          <w:tcPr>
            <w:tcW w:w="2223"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Ordem do croqui de simulação: 1º item: localizado na parte superior do croqui</w:t>
            </w:r>
          </w:p>
        </w:tc>
        <w:tc>
          <w:tcPr>
            <w:tcW w:w="1690"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O “x” localiza a posição do poste de IP</w:t>
            </w:r>
          </w:p>
        </w:tc>
        <w:tc>
          <w:tcPr>
            <w:tcW w:w="53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méd </w:t>
            </w:r>
            <w:r>
              <w:rPr>
                <w:rFonts w:eastAsia="Times New Roman" w:cs="Calibri" w:ascii="Arial" w:hAnsi="Arial"/>
                <w:b/>
                <w:bCs/>
                <w:color w:val="000000"/>
                <w:kern w:val="0"/>
                <w:sz w:val="18"/>
                <w:szCs w:val="18"/>
                <w:shd w:fill="auto" w:val="clear"/>
                <w:lang w:val="pt-BR" w:eastAsia="pt-BR" w:bidi="ar-SA"/>
              </w:rPr>
              <w:t>(lx)</w:t>
            </w:r>
          </w:p>
        </w:tc>
        <w:tc>
          <w:tcPr>
            <w:tcW w:w="62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mín </w:t>
            </w:r>
            <w:r>
              <w:rPr>
                <w:rFonts w:eastAsia="Times New Roman" w:cs="Calibri" w:ascii="Arial" w:hAnsi="Arial"/>
                <w:b/>
                <w:bCs/>
                <w:color w:val="000000"/>
                <w:kern w:val="0"/>
                <w:sz w:val="18"/>
                <w:szCs w:val="18"/>
                <w:shd w:fill="auto" w:val="clear"/>
                <w:lang w:val="pt-BR" w:eastAsia="pt-BR" w:bidi="ar-SA"/>
              </w:rPr>
              <w:t>(lx)</w:t>
            </w:r>
          </w:p>
        </w:tc>
        <w:tc>
          <w:tcPr>
            <w:tcW w:w="713"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E</w:t>
            </w:r>
            <w:r>
              <w:rPr>
                <w:rFonts w:eastAsia="Times New Roman" w:cs="Calibri" w:ascii="Arial" w:hAnsi="Arial"/>
                <w:b/>
                <w:bCs/>
                <w:color w:val="000000"/>
                <w:kern w:val="0"/>
                <w:sz w:val="18"/>
                <w:szCs w:val="18"/>
                <w:shd w:fill="auto" w:val="clear"/>
                <w:vertAlign w:val="subscript"/>
                <w:lang w:val="pt-BR" w:eastAsia="pt-BR" w:bidi="ar-SA"/>
              </w:rPr>
              <w:t xml:space="preserve">vert mín </w:t>
            </w:r>
            <w:r>
              <w:rPr>
                <w:rFonts w:eastAsia="Times New Roman" w:cs="Calibri" w:ascii="Arial" w:hAnsi="Arial"/>
                <w:b/>
                <w:bCs/>
                <w:color w:val="000000"/>
                <w:kern w:val="0"/>
                <w:sz w:val="18"/>
                <w:szCs w:val="18"/>
                <w:shd w:fill="auto" w:val="clear"/>
                <w:lang w:val="pt-BR" w:eastAsia="pt-BR" w:bidi="ar-SA"/>
              </w:rPr>
              <w:t>(lx)</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(se necessário)</w:t>
            </w:r>
          </w:p>
        </w:tc>
        <w:tc>
          <w:tcPr>
            <w:tcW w:w="80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U</w:t>
            </w:r>
            <w:r>
              <w:rPr>
                <w:rFonts w:eastAsia="Times New Roman" w:cs="Calibri" w:ascii="Arial" w:hAnsi="Arial"/>
                <w:b/>
                <w:bCs/>
                <w:color w:val="000000"/>
                <w:kern w:val="0"/>
                <w:sz w:val="18"/>
                <w:szCs w:val="18"/>
                <w:shd w:fill="auto" w:val="clear"/>
                <w:vertAlign w:val="subscript"/>
                <w:lang w:val="pt-BR" w:eastAsia="pt-BR" w:bidi="ar-SA"/>
              </w:rPr>
              <w:t>0</w:t>
            </w:r>
            <w:r>
              <w:rPr>
                <w:rFonts w:eastAsia="Times New Roman" w:cs="Calibri" w:ascii="Arial" w:hAnsi="Arial"/>
                <w:b/>
                <w:bCs/>
                <w:color w:val="000000"/>
                <w:kern w:val="0"/>
                <w:sz w:val="18"/>
                <w:szCs w:val="18"/>
                <w:shd w:fill="auto" w:val="clear"/>
                <w:lang w:val="pt-BR" w:eastAsia="pt-BR" w:bidi="ar-SA"/>
              </w:rPr>
              <w:t xml:space="preserve"> ≥</w:t>
            </w:r>
          </w:p>
        </w:tc>
        <w:tc>
          <w:tcPr>
            <w:tcW w:w="80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f</w:t>
            </w:r>
            <w:r>
              <w:rPr>
                <w:rFonts w:eastAsia="Times New Roman" w:cs="Calibri" w:ascii="Arial" w:hAnsi="Arial"/>
                <w:b/>
                <w:bCs/>
                <w:color w:val="000000"/>
                <w:kern w:val="0"/>
                <w:sz w:val="18"/>
                <w:szCs w:val="18"/>
                <w:shd w:fill="auto" w:val="clear"/>
                <w:vertAlign w:val="subscript"/>
                <w:lang w:val="pt-BR" w:eastAsia="pt-BR" w:bidi="ar-SA"/>
              </w:rPr>
              <w:t>TI</w:t>
            </w:r>
          </w:p>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 ≤</w:t>
            </w:r>
          </w:p>
        </w:tc>
        <w:tc>
          <w:tcPr>
            <w:tcW w:w="231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Larguras em metros (m) / Área da praça (m2)</w:t>
            </w:r>
          </w:p>
        </w:tc>
      </w:tr>
      <w:tr>
        <w:trPr>
          <w:trHeight w:val="196" w:hRule="atLeast"/>
        </w:trPr>
        <w:tc>
          <w:tcPr>
            <w:tcW w:w="1778"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Requisitos mínimos:</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C4:</w:t>
            </w:r>
            <w:r>
              <w:rPr>
                <w:rFonts w:eastAsia="Times New Roman" w:cs="Calibri" w:ascii="Arial" w:hAnsi="Arial"/>
                <w:color w:val="000000"/>
                <w:kern w:val="0"/>
                <w:sz w:val="18"/>
                <w:szCs w:val="18"/>
                <w:shd w:fill="auto" w:val="clear"/>
                <w:lang w:val="pt-BR" w:eastAsia="pt-BR" w:bidi="ar-SA"/>
              </w:rPr>
              <w:t xml:space="preserve"> Iluminância horizontal média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uniformidade geral da iluminância U</w:t>
            </w:r>
            <w:r>
              <w:rPr>
                <w:rFonts w:eastAsia="Times New Roman" w:cs="Calibri" w:ascii="Arial" w:hAnsi="Arial"/>
                <w:color w:val="000000"/>
                <w:kern w:val="0"/>
                <w:sz w:val="18"/>
                <w:szCs w:val="18"/>
                <w:shd w:fill="auto" w:val="clear"/>
                <w:vertAlign w:val="subscript"/>
                <w:lang w:val="pt-BR" w:eastAsia="pt-BR" w:bidi="ar-SA"/>
              </w:rPr>
              <w:t>o</w:t>
            </w:r>
            <w:r>
              <w:rPr>
                <w:rFonts w:eastAsia="Times New Roman" w:cs="Calibri" w:ascii="Arial" w:hAnsi="Arial"/>
                <w:color w:val="000000"/>
                <w:kern w:val="0"/>
                <w:sz w:val="18"/>
                <w:szCs w:val="18"/>
                <w:shd w:fill="auto" w:val="clear"/>
                <w:lang w:val="pt-BR" w:eastAsia="pt-BR" w:bidi="ar-SA"/>
              </w:rPr>
              <w:t>(E) e incremento de limiar f</w:t>
            </w:r>
            <w:r>
              <w:rPr>
                <w:rFonts w:eastAsia="Times New Roman" w:cs="Calibri" w:ascii="Arial" w:hAnsi="Arial"/>
                <w:color w:val="000000"/>
                <w:kern w:val="0"/>
                <w:sz w:val="18"/>
                <w:szCs w:val="18"/>
                <w:shd w:fill="auto" w:val="clear"/>
                <w:vertAlign w:val="subscript"/>
                <w:lang w:val="pt-BR" w:eastAsia="pt-BR" w:bidi="ar-SA"/>
              </w:rPr>
              <w:t>TI</w:t>
            </w:r>
            <w:r>
              <w:rPr>
                <w:rFonts w:eastAsia="Times New Roman" w:cs="Calibri" w:ascii="Arial" w:hAnsi="Arial"/>
                <w:color w:val="000000"/>
                <w:kern w:val="0"/>
                <w:sz w:val="18"/>
                <w:szCs w:val="18"/>
                <w:shd w:fill="auto" w:val="clear"/>
                <w:lang w:val="pt-BR" w:eastAsia="pt-BR" w:bidi="ar-SA"/>
              </w:rPr>
              <w:t xml:space="preserve"> (%).</w:t>
            </w:r>
          </w:p>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P4:</w:t>
            </w:r>
            <w:r>
              <w:rPr>
                <w:rFonts w:eastAsia="Times New Roman" w:cs="Calibri" w:ascii="Arial" w:hAnsi="Arial"/>
                <w:color w:val="000000"/>
                <w:kern w:val="0"/>
                <w:sz w:val="18"/>
                <w:szCs w:val="18"/>
                <w:shd w:fill="auto" w:val="clear"/>
                <w:lang w:val="pt-BR" w:eastAsia="pt-BR" w:bidi="ar-SA"/>
              </w:rPr>
              <w:t xml:space="preserve"> Iluminância média horizontal E</w:t>
            </w:r>
            <w:r>
              <w:rPr>
                <w:rFonts w:eastAsia="Times New Roman" w:cs="Calibri" w:ascii="Arial" w:hAnsi="Arial"/>
                <w:color w:val="000000"/>
                <w:kern w:val="0"/>
                <w:sz w:val="18"/>
                <w:szCs w:val="18"/>
                <w:shd w:fill="auto" w:val="clear"/>
                <w:vertAlign w:val="subscript"/>
                <w:lang w:val="pt-BR" w:eastAsia="pt-BR" w:bidi="ar-SA"/>
              </w:rPr>
              <w:t>méd</w:t>
            </w:r>
            <w:r>
              <w:rPr>
                <w:rFonts w:eastAsia="Times New Roman" w:cs="Calibri" w:ascii="Arial" w:hAnsi="Arial"/>
                <w:color w:val="000000"/>
                <w:kern w:val="0"/>
                <w:sz w:val="18"/>
                <w:szCs w:val="18"/>
                <w:shd w:fill="auto" w:val="clear"/>
                <w:lang w:val="pt-BR" w:eastAsia="pt-BR" w:bidi="ar-SA"/>
              </w:rPr>
              <w:t xml:space="preserve"> (lx), Iluminância mínima horizontal E</w:t>
            </w:r>
            <w:r>
              <w:rPr>
                <w:rFonts w:eastAsia="Times New Roman" w:cs="Calibri" w:ascii="Arial" w:hAnsi="Arial"/>
                <w:color w:val="000000"/>
                <w:kern w:val="0"/>
                <w:sz w:val="18"/>
                <w:szCs w:val="18"/>
                <w:shd w:fill="auto" w:val="clear"/>
                <w:vertAlign w:val="subscript"/>
                <w:lang w:val="pt-BR" w:eastAsia="pt-BR" w:bidi="ar-SA"/>
              </w:rPr>
              <w:t>mín</w:t>
            </w:r>
            <w:r>
              <w:rPr>
                <w:rFonts w:eastAsia="Times New Roman" w:cs="Calibri" w:ascii="Arial" w:hAnsi="Arial"/>
                <w:color w:val="000000"/>
                <w:kern w:val="0"/>
                <w:sz w:val="18"/>
                <w:szCs w:val="18"/>
                <w:shd w:fill="auto" w:val="clear"/>
                <w:lang w:val="pt-BR" w:eastAsia="pt-BR" w:bidi="ar-SA"/>
              </w:rPr>
              <w:t xml:space="preserve"> (lx) e iluminância vertical mínima E</w:t>
            </w:r>
            <w:r>
              <w:rPr>
                <w:rFonts w:eastAsia="Times New Roman" w:cs="Calibri" w:ascii="Arial" w:hAnsi="Arial"/>
                <w:color w:val="000000"/>
                <w:kern w:val="0"/>
                <w:sz w:val="18"/>
                <w:szCs w:val="18"/>
                <w:shd w:fill="auto" w:val="clear"/>
                <w:vertAlign w:val="subscript"/>
                <w:lang w:val="pt-BR" w:eastAsia="pt-BR" w:bidi="ar-SA"/>
              </w:rPr>
              <w:t>vert</w:t>
            </w:r>
            <w:r>
              <w:rPr>
                <w:rFonts w:eastAsia="Times New Roman" w:cs="Calibri" w:ascii="Arial" w:hAnsi="Arial"/>
                <w:color w:val="000000"/>
                <w:kern w:val="0"/>
                <w:sz w:val="18"/>
                <w:szCs w:val="18"/>
                <w:shd w:fill="auto" w:val="clear"/>
                <w:lang w:val="pt-BR" w:eastAsia="pt-BR" w:bidi="ar-SA"/>
              </w:rPr>
              <w:t xml:space="preserve"> </w:t>
            </w:r>
            <w:r>
              <w:rPr>
                <w:rFonts w:eastAsia="Times New Roman" w:cs="Calibri" w:ascii="Arial" w:hAnsi="Arial"/>
                <w:color w:val="000000"/>
                <w:kern w:val="0"/>
                <w:sz w:val="18"/>
                <w:szCs w:val="18"/>
                <w:shd w:fill="auto" w:val="clear"/>
                <w:vertAlign w:val="subscript"/>
                <w:lang w:val="pt-BR" w:eastAsia="pt-BR" w:bidi="ar-SA"/>
              </w:rPr>
              <w:t xml:space="preserve">mín </w:t>
            </w:r>
            <w:r>
              <w:rPr>
                <w:rFonts w:eastAsia="Times New Roman" w:cs="Calibri" w:ascii="Arial" w:hAnsi="Arial"/>
                <w:color w:val="000000"/>
                <w:kern w:val="0"/>
                <w:sz w:val="18"/>
                <w:szCs w:val="18"/>
                <w:shd w:fill="auto" w:val="clear"/>
                <w:lang w:val="pt-BR" w:eastAsia="pt-BR" w:bidi="ar-SA"/>
              </w:rPr>
              <w:t>(lx).</w:t>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x</w:t>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cantSplit w:val="true"/>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3º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Passeio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7,5</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1,5</w:t>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Passeio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2,50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2º</w:t>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10</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0,18</w:t>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center"/>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16</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right"/>
              <w:rPr>
                <w:rFonts w:ascii="Arial" w:hAnsi="Arial"/>
                <w:color w:val="000000"/>
                <w:sz w:val="18"/>
                <w:szCs w:val="18"/>
                <w:highlight w:val="none"/>
                <w:shd w:fill="auto" w:val="clear"/>
              </w:rPr>
            </w:pPr>
            <w:r>
              <w:rPr>
                <w:rFonts w:eastAsia="Times New Roman" w:cs="Calibri" w:ascii="Arial" w:hAnsi="Arial"/>
                <w:b/>
                <w:bCs/>
                <w:color w:val="000000"/>
                <w:kern w:val="0"/>
                <w:sz w:val="18"/>
                <w:szCs w:val="18"/>
                <w:shd w:fill="auto" w:val="clear"/>
                <w:lang w:val="pt-BR" w:eastAsia="pt-BR" w:bidi="ar-SA"/>
              </w:rPr>
              <w:t>8,00</w:t>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color w:val="000000"/>
                <w:kern w:val="0"/>
                <w:sz w:val="18"/>
                <w:szCs w:val="18"/>
                <w:highlight w:val="none"/>
                <w:shd w:fill="auto" w:val="clear"/>
                <w:lang w:val="pt-BR" w:eastAsia="pt-BR" w:bidi="ar-SA"/>
              </w:rPr>
            </w:pPr>
            <w:r>
              <w:rPr>
                <w:rFonts w:eastAsia="Times New Roman" w:cs="Calibri" w:ascii="Arial" w:hAnsi="Arial"/>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Pista de rodagem 3</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Pista 3</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1</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1</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Canteiro Central 2</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Canteiro 2</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Estacionamento</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do Estac.</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Ciclovia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Largura da Ciclovia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r>
        <w:trPr>
          <w:trHeight w:val="227" w:hRule="atLeast"/>
        </w:trPr>
        <w:tc>
          <w:tcPr>
            <w:tcW w:w="1778"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0"/>
              </w:numPr>
              <w:snapToGrid w:val="false"/>
              <w:spacing w:lineRule="auto" w:line="276" w:before="0" w:after="0"/>
              <w:ind w:left="0" w:hanging="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15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Praça</w:t>
            </w:r>
          </w:p>
        </w:tc>
        <w:tc>
          <w:tcPr>
            <w:tcW w:w="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71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80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center"/>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pacing w:lineRule="auto" w:line="276" w:before="0" w:after="0"/>
              <w:jc w:val="left"/>
              <w:rPr>
                <w:rFonts w:ascii="Arial" w:hAnsi="Arial"/>
                <w:color w:val="000000"/>
                <w:sz w:val="18"/>
                <w:szCs w:val="18"/>
                <w:highlight w:val="none"/>
                <w:shd w:fill="auto" w:val="clear"/>
              </w:rPr>
            </w:pPr>
            <w:r>
              <w:rPr>
                <w:rFonts w:eastAsia="Times New Roman" w:cs="Calibri" w:ascii="Arial" w:hAnsi="Arial"/>
                <w:color w:val="000000"/>
                <w:kern w:val="0"/>
                <w:sz w:val="18"/>
                <w:szCs w:val="18"/>
                <w:shd w:fill="auto" w:val="clear"/>
                <w:lang w:val="pt-BR" w:eastAsia="pt-BR" w:bidi="ar-SA"/>
              </w:rPr>
              <w:t>Área da praça</w:t>
            </w:r>
          </w:p>
        </w:tc>
        <w:tc>
          <w:tcPr>
            <w:tcW w:w="8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
              </w:numPr>
              <w:snapToGrid w:val="false"/>
              <w:spacing w:lineRule="auto" w:line="276" w:before="0" w:after="0"/>
              <w:jc w:val="right"/>
              <w:rPr>
                <w:rFonts w:ascii="Arial" w:hAnsi="Arial" w:eastAsia="Times New Roman" w:cs="Calibri"/>
                <w:b/>
                <w:bCs/>
                <w:color w:val="000000"/>
                <w:kern w:val="0"/>
                <w:sz w:val="18"/>
                <w:szCs w:val="18"/>
                <w:highlight w:val="none"/>
                <w:shd w:fill="auto" w:val="clear"/>
                <w:lang w:val="pt-BR" w:eastAsia="pt-BR" w:bidi="ar-SA"/>
              </w:rPr>
            </w:pPr>
            <w:r>
              <w:rPr>
                <w:rFonts w:eastAsia="Times New Roman" w:cs="Calibri" w:ascii="Arial" w:hAnsi="Arial"/>
                <w:b/>
                <w:bCs/>
                <w:color w:val="000000"/>
                <w:kern w:val="0"/>
                <w:sz w:val="18"/>
                <w:szCs w:val="18"/>
                <w:shd w:fill="auto" w:val="clear"/>
                <w:lang w:val="pt-BR" w:eastAsia="pt-BR" w:bidi="ar-SA"/>
              </w:rPr>
            </w:r>
          </w:p>
        </w:tc>
      </w:tr>
    </w:tbl>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LO-normal4"/>
        <w:numPr>
          <w:ilvl w:val="0"/>
          <w:numId w:val="2"/>
        </w:numPr>
        <w:spacing w:lineRule="auto" w:line="276"/>
        <w:ind w:left="0" w:right="0" w:hanging="2"/>
        <w:jc w:val="both"/>
        <w:rPr>
          <w:rFonts w:ascii="Arial" w:hAnsi="Arial" w:eastAsia="Times New Roman" w:cs="Times New Roman"/>
          <w:color w:val="000000"/>
          <w:sz w:val="22"/>
          <w:szCs w:val="22"/>
          <w:highlight w:val="none"/>
          <w:shd w:fill="auto" w:val="clear"/>
        </w:rPr>
      </w:pPr>
      <w:r>
        <w:rPr>
          <w:rFonts w:eastAsia="Times New Roman" w:cs="Times New Roman" w:ascii="Arial" w:hAnsi="Arial"/>
          <w:color w:val="000000"/>
          <w:sz w:val="22"/>
          <w:szCs w:val="22"/>
          <w:shd w:fill="auto" w:val="clear"/>
        </w:rPr>
      </w:r>
    </w:p>
    <w:p>
      <w:pPr>
        <w:pStyle w:val="LO-normal4"/>
        <w:numPr>
          <w:ilvl w:val="0"/>
          <w:numId w:val="2"/>
        </w:numPr>
        <w:spacing w:lineRule="auto" w:line="276"/>
        <w:ind w:left="0" w:right="0" w:hanging="2"/>
        <w:jc w:val="both"/>
        <w:rPr>
          <w:rFonts w:ascii="Arial" w:hAnsi="Arial" w:eastAsia="Times New Roman" w:cs="Times New Roman"/>
          <w:color w:val="000000"/>
          <w:sz w:val="22"/>
          <w:szCs w:val="22"/>
          <w:highlight w:val="none"/>
          <w:shd w:fill="auto" w:val="clear"/>
        </w:rPr>
      </w:pPr>
      <w:r>
        <w:rPr>
          <w:rFonts w:eastAsia="Times New Roman" w:cs="Times New Roman" w:ascii="Arial" w:hAnsi="Arial"/>
          <w:color w:val="000000"/>
          <w:sz w:val="22"/>
          <w:szCs w:val="22"/>
          <w:shd w:fill="auto" w:val="clear"/>
        </w:rPr>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t>ANEXO II – DECLARAÇÃO CONJUNTA</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DADOS DA EMPRESA:</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RAZÃO SOCIAL:</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CNPJ/MF/Nº</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ENDEREÇO: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108</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shd w:fill="auto" w:val="clear"/>
        </w:rPr>
        <w:t>, que a Empresa por mim apresentada:</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cumpre os requisitos para a habilitação e a conformidade de sua proposta com as exigências do edital, como condição de participação.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tomou conhecimento de todas as informações e das condições locais para o cumprimento das obrigações objeto da licitação.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inexistem fatos impeditivos para sua habilitação, estando ciente da obrigatoriedade de declarar ocorrências posteriores.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w:t>
        <w:tab/>
        <w:t xml:space="preserve">) Declara que não se enquadra em nenhuma das hipóteses de impedimento previstas no artigo 14º, da Lei Federal nº 14.133/21.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Ressalva CASO EMPREGUE MENOR: emprega menor, a partir de quatorze anos, na condição de aprendiz (</w:t>
        <w:tab/>
        <w:tab/>
        <w:t xml:space="preserve">). </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olor w:val="000000"/>
          <w:sz w:val="22"/>
          <w:szCs w:val="22"/>
          <w:highlight w:val="none"/>
          <w:shd w:fill="auto" w:val="clear"/>
        </w:rPr>
      </w:pPr>
      <w:r>
        <w:rPr>
          <w:rFonts w:cs="Arial" w:ascii="Arial" w:hAnsi="Arial"/>
          <w:color w:val="000000"/>
          <w:sz w:val="22"/>
          <w:szCs w:val="22"/>
          <w:shd w:fill="auto" w:val="clear"/>
        </w:rPr>
        <w:t>LOCAL: ________________________, ______ de __________________ de 2025.</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ASSINATURA:</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NOME:</w:t>
      </w:r>
    </w:p>
    <w:p>
      <w:pPr>
        <w:pStyle w:val="Normal"/>
        <w:tabs>
          <w:tab w:val="clear" w:pos="408"/>
          <w:tab w:val="left" w:pos="1134" w:leader="none"/>
        </w:tabs>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t xml:space="preserve">ANEXO III - </w:t>
      </w:r>
      <w:r>
        <w:rPr>
          <w:rFonts w:cs="Arial" w:ascii="Arial" w:hAnsi="Arial"/>
          <w:b/>
          <w:color w:val="000000"/>
          <w:sz w:val="22"/>
          <w:szCs w:val="22"/>
          <w:shd w:fill="auto" w:val="clear"/>
        </w:rPr>
        <w:t>MODELO DE DECLARAÇÃO DE ME OU EPP</w:t>
      </w:r>
    </w:p>
    <w:p>
      <w:pPr>
        <w:pStyle w:val="Default"/>
        <w:numPr>
          <w:ilvl w:val="0"/>
          <w:numId w:val="2"/>
        </w:numPr>
        <w:spacing w:lineRule="auto" w:line="276" w:before="0" w:after="0"/>
        <w:ind w:left="0" w:hanging="0"/>
        <w:jc w:val="both"/>
        <w:rPr>
          <w:rFonts w:ascii="Arial" w:hAnsi="Arial"/>
          <w:color w:val="000000"/>
          <w:sz w:val="22"/>
          <w:szCs w:val="22"/>
          <w:highlight w:val="none"/>
          <w:shd w:fill="auto" w:val="clear"/>
        </w:rPr>
      </w:pPr>
      <w:r>
        <w:rPr>
          <w:rFonts w:cs="Arial" w:ascii="Arial" w:hAnsi="Arial"/>
          <w:i/>
          <w:color w:val="000000"/>
          <w:sz w:val="22"/>
          <w:szCs w:val="22"/>
          <w:shd w:fill="auto" w:val="clear"/>
        </w:rPr>
        <w:t>(requisito parcial para comprovação da condição de ME ou EPP: benefícios da LC 123/2006)</w:t>
      </w:r>
    </w:p>
    <w:p>
      <w:pPr>
        <w:pStyle w:val="Default"/>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hanging="0"/>
        <w:jc w:val="both"/>
        <w:rPr>
          <w:rFonts w:ascii="Arial" w:hAnsi="Arial"/>
          <w:color w:val="000000"/>
          <w:sz w:val="22"/>
          <w:szCs w:val="22"/>
          <w:highlight w:val="none"/>
          <w:shd w:fill="auto" w:val="clear"/>
        </w:rPr>
      </w:pPr>
      <w:r>
        <w:rPr>
          <w:rFonts w:eastAsia="Calibri" w:cs="Arial" w:ascii="Arial" w:hAnsi="Arial"/>
          <w:color w:val="000000"/>
          <w:sz w:val="22"/>
          <w:szCs w:val="22"/>
          <w:shd w:fill="auto" w:val="clear"/>
        </w:rPr>
        <w:t>Ao Município de Vera Cruz/RS</w:t>
      </w:r>
    </w:p>
    <w:p>
      <w:pPr>
        <w:pStyle w:val="Default"/>
        <w:numPr>
          <w:ilvl w:val="0"/>
          <w:numId w:val="2"/>
        </w:numPr>
        <w:spacing w:lineRule="auto" w:line="276" w:before="0" w:after="0"/>
        <w:ind w:lef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Agente de Contratação</w:t>
      </w:r>
    </w:p>
    <w:p>
      <w:pPr>
        <w:pStyle w:val="Default"/>
        <w:numPr>
          <w:ilvl w:val="0"/>
          <w:numId w:val="2"/>
        </w:numPr>
        <w:spacing w:lineRule="auto" w:line="276" w:before="0" w:after="0"/>
        <w:ind w:left="0" w:hanging="0"/>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Pregão Eletrônico Nº </w:t>
      </w:r>
      <w:r>
        <w:rPr>
          <w:rFonts w:cs="Arial" w:ascii="Arial" w:hAnsi="Arial"/>
          <w:b/>
          <w:color w:val="000000"/>
          <w:sz w:val="22"/>
          <w:szCs w:val="22"/>
          <w:shd w:fill="auto" w:val="clear"/>
        </w:rPr>
        <w:fldChar w:fldCharType="begin"/>
      </w:r>
      <w:r>
        <w:rPr>
          <w:sz w:val="22"/>
          <w:b/>
          <w:shd w:fill="auto" w:val="clear"/>
          <w:szCs w:val="22"/>
          <w:rFonts w:cs="Arial" w:ascii="Arial" w:hAnsi="Arial"/>
          <w:color w:val="000000"/>
        </w:rPr>
        <w:instrText xml:space="preserve"> DOCVARIABLE Npregão </w:instrText>
      </w:r>
      <w:r>
        <w:rPr>
          <w:sz w:val="22"/>
          <w:b/>
          <w:shd w:fill="auto" w:val="clear"/>
          <w:szCs w:val="22"/>
          <w:rFonts w:cs="Arial" w:ascii="Arial" w:hAnsi="Arial"/>
          <w:color w:val="000000"/>
        </w:rPr>
        <w:fldChar w:fldCharType="separate"/>
      </w:r>
      <w:r>
        <w:rPr>
          <w:sz w:val="22"/>
          <w:b/>
          <w:shd w:fill="auto" w:val="clear"/>
          <w:szCs w:val="22"/>
          <w:rFonts w:cs="Arial" w:ascii="Arial" w:hAnsi="Arial"/>
          <w:color w:val="000000"/>
        </w:rPr>
        <w:t>108</w:t>
      </w:r>
      <w:r>
        <w:rPr>
          <w:sz w:val="22"/>
          <w:b/>
          <w:shd w:fill="auto" w:val="clear"/>
          <w:szCs w:val="22"/>
          <w:rFonts w:cs="Arial" w:ascii="Arial" w:hAnsi="Arial"/>
          <w:color w:val="000000"/>
        </w:rPr>
        <w:fldChar w:fldCharType="end"/>
      </w:r>
      <w:r>
        <w:rPr>
          <w:rFonts w:cs="Arial" w:ascii="Arial" w:hAnsi="Arial"/>
          <w:b/>
          <w:color w:val="000000"/>
          <w:sz w:val="22"/>
          <w:szCs w:val="22"/>
          <w:shd w:fill="auto" w:val="clear"/>
        </w:rPr>
        <w:t>/2025.</w:t>
      </w:r>
    </w:p>
    <w:p>
      <w:pPr>
        <w:pStyle w:val="Default"/>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 empresa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razão social do licitante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inscrita no CNPJ 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sediada na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nome da rua, número, bairro, cidade/estado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através do(a)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contador(a) ou técnico em contabilidade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responsável, Sr(a).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nome completo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inscrito no CRC/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estado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inscrito no CPF 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DECLARA, sob as penas da lei e para fins de direito, em cumprimento ao instrumento convocatório da licitação supracitada, que:</w:t>
      </w:r>
    </w:p>
    <w:p>
      <w:pPr>
        <w:pStyle w:val="Default"/>
        <w:numPr>
          <w:ilvl w:val="0"/>
          <w:numId w:val="2"/>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01) </w:t>
      </w:r>
      <w:r>
        <w:rPr>
          <w:rFonts w:cs="Arial" w:ascii="Arial" w:hAnsi="Arial"/>
          <w:b/>
          <w:color w:val="000000"/>
          <w:sz w:val="22"/>
          <w:szCs w:val="22"/>
          <w:u w:val="single"/>
          <w:shd w:fill="auto" w:val="clear"/>
        </w:rPr>
        <w:t>se enquadra como</w:t>
      </w:r>
      <w:r>
        <w:rPr>
          <w:rFonts w:cs="Arial" w:ascii="Arial" w:hAnsi="Arial"/>
          <w:color w:val="000000"/>
          <w:sz w:val="22"/>
          <w:szCs w:val="22"/>
          <w:shd w:fill="auto" w:val="clear"/>
        </w:rPr>
        <w:t>:</w:t>
      </w:r>
    </w:p>
    <w:p>
      <w:pPr>
        <w:pStyle w:val="Default"/>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u w:val="single"/>
          <w:shd w:fill="auto" w:val="clear"/>
        </w:rPr>
        <w:t xml:space="preserve">(  ) </w:t>
      </w:r>
      <w:r>
        <w:rPr>
          <w:rFonts w:cs="Arial" w:ascii="Arial" w:hAnsi="Arial"/>
          <w:color w:val="000000"/>
          <w:sz w:val="22"/>
          <w:szCs w:val="22"/>
          <w:shd w:fill="auto" w:val="clear"/>
        </w:rPr>
        <w:t>Microempresa (ME); ou</w:t>
      </w:r>
    </w:p>
    <w:p>
      <w:pPr>
        <w:pStyle w:val="Default"/>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u w:val="single"/>
          <w:shd w:fill="auto" w:val="clear"/>
        </w:rPr>
        <w:t xml:space="preserve">(  ) </w:t>
      </w:r>
      <w:r>
        <w:rPr>
          <w:rFonts w:cs="Arial" w:ascii="Arial" w:hAnsi="Arial"/>
          <w:color w:val="000000"/>
          <w:sz w:val="22"/>
          <w:szCs w:val="22"/>
          <w:shd w:fill="auto" w:val="clear"/>
        </w:rPr>
        <w:t>Empresa de Pequeno Porte (EPP).</w:t>
      </w:r>
    </w:p>
    <w:p>
      <w:pPr>
        <w:pStyle w:val="Default"/>
        <w:numPr>
          <w:ilvl w:val="0"/>
          <w:numId w:val="2"/>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02) </w:t>
      </w:r>
      <w:r>
        <w:rPr>
          <w:rFonts w:cs="Arial" w:ascii="Arial" w:hAnsi="Arial"/>
          <w:b/>
          <w:color w:val="000000"/>
          <w:sz w:val="22"/>
          <w:szCs w:val="22"/>
          <w:u w:val="single"/>
          <w:shd w:fill="auto" w:val="clear"/>
        </w:rPr>
        <w:t xml:space="preserve">não </w:t>
      </w:r>
      <w:r>
        <w:rPr>
          <w:rFonts w:cs="Arial" w:ascii="Arial" w:hAnsi="Arial"/>
          <w:color w:val="000000"/>
          <w:sz w:val="22"/>
          <w:szCs w:val="22"/>
          <w:shd w:fill="auto" w:val="clear"/>
        </w:rPr>
        <w:t>está incursa em nenhuma das vedações do parágrafo 4º do artigo 3º da Lei Complementar n° 123/2006, e que observa e atende aos parágrafos 1º, 2º e 3º do artigo 4º da Lei Federal nº 14.133/21.</w:t>
      </w:r>
    </w:p>
    <w:p>
      <w:pPr>
        <w:pStyle w:val="Normal"/>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03) </w:t>
      </w:r>
      <w:r>
        <w:rPr>
          <w:rFonts w:cs="Arial" w:ascii="Arial" w:hAnsi="Arial"/>
          <w:b/>
          <w:color w:val="000000"/>
          <w:sz w:val="22"/>
          <w:szCs w:val="22"/>
          <w:u w:val="single"/>
          <w:shd w:fill="auto" w:val="clear"/>
        </w:rPr>
        <w:t xml:space="preserve">não </w:t>
      </w:r>
      <w:r>
        <w:rPr>
          <w:rFonts w:cs="Arial" w:ascii="Arial" w:hAnsi="Arial"/>
          <w:color w:val="000000"/>
          <w:sz w:val="22"/>
          <w:szCs w:val="22"/>
          <w:shd w:fill="auto" w:val="clear"/>
        </w:rPr>
        <w:t>se enquadra na hipótese do parágrafo 10° do artigo 3º da LC 123/06. (</w:t>
      </w:r>
      <w:r>
        <w:rPr>
          <w:rFonts w:cs="Arial" w:ascii="Arial" w:hAnsi="Arial"/>
          <w:b/>
          <w:color w:val="000000"/>
          <w:sz w:val="22"/>
          <w:szCs w:val="22"/>
          <w:u w:val="single"/>
          <w:shd w:fill="auto" w:val="clear"/>
        </w:rPr>
        <w:t>o</w:t>
      </w:r>
      <w:r>
        <w:rPr>
          <w:rFonts w:cs="Arial" w:ascii="Arial" w:hAnsi="Arial"/>
          <w:b/>
          <w:i/>
          <w:color w:val="000000"/>
          <w:sz w:val="22"/>
          <w:szCs w:val="22"/>
          <w:u w:val="single"/>
          <w:shd w:fill="auto" w:val="clear"/>
        </w:rPr>
        <w:t xml:space="preserve">bservação </w:t>
      </w:r>
      <w:r>
        <w:rPr>
          <w:rFonts w:cs="Arial" w:ascii="Arial" w:hAnsi="Arial"/>
          <w:i/>
          <w:color w:val="000000"/>
          <w:sz w:val="22"/>
          <w:szCs w:val="22"/>
          <w:shd w:fill="auto" w:val="clear"/>
        </w:rPr>
        <w:t xml:space="preserve">: </w:t>
      </w:r>
      <w:r>
        <w:rPr>
          <w:rFonts w:cs="Arial" w:ascii="Arial" w:hAnsi="Arial"/>
          <w:i/>
          <w:color w:val="000000"/>
          <w:sz w:val="22"/>
          <w:szCs w:val="22"/>
          <w:u w:val="single"/>
          <w:shd w:fill="auto" w:val="clear"/>
        </w:rPr>
        <w:t>usar este parágrafo exclusivamente no caso de ME ou EPP com início de atividade no ano-calendário corrente</w:t>
      </w:r>
      <w:r>
        <w:rPr>
          <w:rFonts w:cs="Arial" w:ascii="Arial" w:hAnsi="Arial"/>
          <w:color w:val="000000"/>
          <w:sz w:val="22"/>
          <w:szCs w:val="22"/>
          <w:shd w:fill="auto" w:val="clear"/>
        </w:rPr>
        <w:t>).</w:t>
      </w:r>
    </w:p>
    <w:p>
      <w:pPr>
        <w:pStyle w:val="Normal"/>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cs="Arial" w:ascii="Arial" w:hAnsi="Arial"/>
          <w:color w:val="000000"/>
          <w:sz w:val="22"/>
          <w:szCs w:val="22"/>
          <w:shd w:fill="auto" w:val="clear"/>
        </w:rPr>
        <w:t>LOCAL: _______________________, ______ de _________________ de 2025.</w:t>
      </w:r>
    </w:p>
    <w:p>
      <w:pPr>
        <w:pStyle w:val="Normal"/>
        <w:numPr>
          <w:ilvl w:val="0"/>
          <w:numId w:val="2"/>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ind w:lef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ASSINATURA:</w:t>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cs="Arial" w:ascii="Arial" w:hAnsi="Arial"/>
          <w:color w:val="000000"/>
          <w:sz w:val="22"/>
          <w:szCs w:val="22"/>
          <w:shd w:fill="auto" w:val="clear"/>
        </w:rPr>
        <w:t>NOME:</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2"/>
        </w:numPr>
        <w:spacing w:lineRule="auto" w:line="276"/>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r>
      <w:r>
        <w:br w:type="page"/>
      </w:r>
    </w:p>
    <w:p>
      <w:pPr>
        <w:pStyle w:val="Itemdoedital"/>
        <w:numPr>
          <w:ilvl w:val="0"/>
          <w:numId w:val="2"/>
        </w:numPr>
        <w:spacing w:lineRule="auto" w:line="276" w:before="0" w:after="0"/>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t>ANEXO IV – MODELO DE PROPOSTA FINANCEIRA</w:t>
      </w:r>
    </w:p>
    <w:p>
      <w:pPr>
        <w:pStyle w:val="Itemdoedital"/>
        <w:numPr>
          <w:ilvl w:val="0"/>
          <w:numId w:val="2"/>
        </w:numPr>
        <w:spacing w:lineRule="auto" w:line="276"/>
        <w:ind w:left="0" w:right="0" w:hanging="0"/>
        <w:jc w:val="center"/>
        <w:rPr>
          <w:rFonts w:ascii="Arial" w:hAnsi="Arial"/>
          <w:color w:val="000000"/>
          <w:sz w:val="22"/>
          <w:szCs w:val="22"/>
          <w:highlight w:val="none"/>
          <w:shd w:fill="auto" w:val="clear"/>
        </w:rPr>
      </w:pPr>
      <w:r>
        <w:rPr>
          <w:rFonts w:ascii="Arial" w:hAnsi="Arial"/>
          <w:color w:val="000000"/>
          <w:sz w:val="22"/>
          <w:szCs w:val="22"/>
          <w:shd w:fill="auto" w:val="clear"/>
        </w:rPr>
        <w:t xml:space="preserve">Pregão Eletrônico nº </w:t>
      </w:r>
      <w:r>
        <w:rPr>
          <w:rFonts w:ascii="Arial" w:hAnsi="Arial"/>
          <w:color w:val="000000"/>
          <w:sz w:val="22"/>
          <w:szCs w:val="22"/>
          <w:shd w:fill="auto" w:val="clear"/>
        </w:rPr>
        <w:fldChar w:fldCharType="begin"/>
      </w:r>
      <w:r>
        <w:rPr>
          <w:sz w:val="22"/>
          <w:shd w:fill="auto" w:val="clear"/>
          <w:szCs w:val="22"/>
          <w:rFonts w:ascii="Arial" w:hAnsi="Arial"/>
          <w:color w:val="000000"/>
        </w:rPr>
        <w:instrText xml:space="preserve"> DOCVARIABLE Npregão </w:instrText>
      </w:r>
      <w:r>
        <w:rPr>
          <w:sz w:val="22"/>
          <w:shd w:fill="auto" w:val="clear"/>
          <w:szCs w:val="22"/>
          <w:rFonts w:ascii="Arial" w:hAnsi="Arial"/>
          <w:color w:val="000000"/>
        </w:rPr>
        <w:fldChar w:fldCharType="separate"/>
      </w:r>
      <w:r>
        <w:rPr>
          <w:sz w:val="22"/>
          <w:shd w:fill="auto" w:val="clear"/>
          <w:szCs w:val="22"/>
          <w:rFonts w:ascii="Arial" w:hAnsi="Arial"/>
          <w:color w:val="000000"/>
        </w:rPr>
        <w:t>108</w:t>
      </w:r>
      <w:r>
        <w:rPr>
          <w:sz w:val="22"/>
          <w:shd w:fill="auto" w:val="clear"/>
          <w:szCs w:val="22"/>
          <w:rFonts w:ascii="Arial" w:hAnsi="Arial"/>
          <w:color w:val="000000"/>
        </w:rPr>
        <w:fldChar w:fldCharType="end"/>
      </w:r>
      <w:r>
        <w:rPr>
          <w:rFonts w:ascii="Arial" w:hAnsi="Arial"/>
          <w:color w:val="000000"/>
          <w:sz w:val="22"/>
          <w:szCs w:val="22"/>
          <w:shd w:fill="auto" w:val="clear"/>
        </w:rPr>
        <w:t>/2025</w:t>
      </w:r>
    </w:p>
    <w:p>
      <w:pPr>
        <w:pStyle w:val="Normal"/>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Valor da proposta a ser inserido no campo próprio do SISTEMA DE COMPRAS para participação na DISPUTA DE LANCES deverá ser: </w:t>
      </w:r>
    </w:p>
    <w:tbl>
      <w:tblPr>
        <w:tblW w:w="9633" w:type="dxa"/>
        <w:jc w:val="left"/>
        <w:tblInd w:w="62" w:type="dxa"/>
        <w:tblLayout w:type="fixed"/>
        <w:tblCellMar>
          <w:top w:w="55" w:type="dxa"/>
          <w:left w:w="55" w:type="dxa"/>
          <w:bottom w:w="55" w:type="dxa"/>
          <w:right w:w="55" w:type="dxa"/>
        </w:tblCellMar>
      </w:tblPr>
      <w:tblGrid>
        <w:gridCol w:w="4534"/>
        <w:gridCol w:w="5098"/>
      </w:tblGrid>
      <w:tr>
        <w:trPr/>
        <w:tc>
          <w:tcPr>
            <w:tcW w:w="96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Razão Social:</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CNPJ:</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Bairro:</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CEP:</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Telefone:</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Banco:</w:t>
            </w:r>
          </w:p>
        </w:tc>
        <w:tc>
          <w:tcPr>
            <w:tcW w:w="5098"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Conta Bancária:</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N. da Agência:</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Representante para assinatura do Contrato:</w:t>
            </w:r>
          </w:p>
        </w:tc>
      </w:tr>
      <w:tr>
        <w:trPr/>
        <w:tc>
          <w:tcPr>
            <w:tcW w:w="963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CPF do Representante:</w:t>
            </w:r>
          </w:p>
        </w:tc>
      </w:tr>
    </w:tbl>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Caso a empresa seja optante de assinatura digital, favor informar o responsável legal, CPF e-mail para envio da documentação:</w:t>
      </w:r>
    </w:p>
    <w:p>
      <w:pPr>
        <w:pStyle w:val="Normal"/>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Declaro-me de pleno acordo com os termos e condições do Edital de </w:t>
      </w:r>
      <w:r>
        <w:rPr>
          <w:rFonts w:cs="Arial" w:ascii="Arial" w:hAnsi="Arial"/>
          <w:b/>
          <w:color w:val="000000"/>
          <w:sz w:val="22"/>
          <w:szCs w:val="22"/>
          <w:shd w:fill="auto" w:val="clear"/>
        </w:rPr>
        <w:t xml:space="preserve">Pregão Eletrônico nº </w:t>
      </w:r>
      <w:r>
        <w:rPr>
          <w:rFonts w:cs="Arial" w:ascii="Arial" w:hAnsi="Arial"/>
          <w:b/>
          <w:color w:val="000000"/>
          <w:sz w:val="22"/>
          <w:szCs w:val="22"/>
          <w:shd w:fill="auto" w:val="clear"/>
        </w:rPr>
        <w:fldChar w:fldCharType="begin"/>
      </w:r>
      <w:r>
        <w:rPr>
          <w:sz w:val="22"/>
          <w:b/>
          <w:shd w:fill="auto" w:val="clear"/>
          <w:szCs w:val="22"/>
          <w:rFonts w:cs="Arial" w:ascii="Arial" w:hAnsi="Arial"/>
          <w:color w:val="000000"/>
        </w:rPr>
        <w:instrText xml:space="preserve"> DOCVARIABLE Npregão </w:instrText>
      </w:r>
      <w:r>
        <w:rPr>
          <w:sz w:val="22"/>
          <w:b/>
          <w:shd w:fill="auto" w:val="clear"/>
          <w:szCs w:val="22"/>
          <w:rFonts w:cs="Arial" w:ascii="Arial" w:hAnsi="Arial"/>
          <w:color w:val="000000"/>
        </w:rPr>
        <w:fldChar w:fldCharType="separate"/>
      </w:r>
      <w:r>
        <w:rPr>
          <w:sz w:val="22"/>
          <w:b/>
          <w:shd w:fill="auto" w:val="clear"/>
          <w:szCs w:val="22"/>
          <w:rFonts w:cs="Arial" w:ascii="Arial" w:hAnsi="Arial"/>
          <w:color w:val="000000"/>
        </w:rPr>
        <w:t>108</w:t>
      </w:r>
      <w:r>
        <w:rPr>
          <w:sz w:val="22"/>
          <w:b/>
          <w:shd w:fill="auto" w:val="clear"/>
          <w:szCs w:val="22"/>
          <w:rFonts w:cs="Arial" w:ascii="Arial" w:hAnsi="Arial"/>
          <w:color w:val="000000"/>
        </w:rPr>
        <w:fldChar w:fldCharType="end"/>
      </w:r>
      <w:r>
        <w:rPr>
          <w:rFonts w:cs="Arial" w:ascii="Arial" w:hAnsi="Arial"/>
          <w:b/>
          <w:color w:val="000000"/>
          <w:sz w:val="22"/>
          <w:szCs w:val="22"/>
          <w:shd w:fill="auto" w:val="clear"/>
        </w:rPr>
        <w:t>/2025</w:t>
      </w:r>
      <w:r>
        <w:rPr>
          <w:rFonts w:cs="Arial" w:ascii="Arial" w:hAnsi="Arial"/>
          <w:color w:val="000000"/>
          <w:sz w:val="22"/>
          <w:szCs w:val="22"/>
          <w:shd w:fill="auto" w:val="clear"/>
        </w:rPr>
        <w:t>, apresentando a seguinte proposta financeira, para fornecimento do seguinte serviço / produto:</w:t>
      </w:r>
    </w:p>
    <w:tbl>
      <w:tblPr>
        <w:tblW w:w="9695" w:type="dxa"/>
        <w:jc w:val="left"/>
        <w:tblInd w:w="0" w:type="dxa"/>
        <w:tblLayout w:type="fixed"/>
        <w:tblCellMar>
          <w:top w:w="0" w:type="dxa"/>
          <w:left w:w="30" w:type="dxa"/>
          <w:bottom w:w="0" w:type="dxa"/>
          <w:right w:w="30" w:type="dxa"/>
        </w:tblCellMar>
      </w:tblPr>
      <w:tblGrid>
        <w:gridCol w:w="646"/>
        <w:gridCol w:w="5312"/>
        <w:gridCol w:w="737"/>
        <w:gridCol w:w="845"/>
        <w:gridCol w:w="927"/>
        <w:gridCol w:w="1227"/>
      </w:tblGrid>
      <w:tr>
        <w:trPr>
          <w:trHeight w:val="256" w:hRule="atLeast"/>
        </w:trPr>
        <w:tc>
          <w:tcPr>
            <w:tcW w:w="646"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ITEM</w:t>
            </w:r>
          </w:p>
        </w:tc>
        <w:tc>
          <w:tcPr>
            <w:tcW w:w="5312"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DESCRIÇÃO</w:t>
            </w:r>
          </w:p>
        </w:tc>
        <w:tc>
          <w:tcPr>
            <w:tcW w:w="73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UNID.</w:t>
            </w:r>
          </w:p>
        </w:tc>
        <w:tc>
          <w:tcPr>
            <w:tcW w:w="845"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QUANT</w:t>
            </w:r>
          </w:p>
        </w:tc>
        <w:tc>
          <w:tcPr>
            <w:tcW w:w="9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VALOR UNIT</w:t>
            </w:r>
          </w:p>
        </w:tc>
        <w:tc>
          <w:tcPr>
            <w:tcW w:w="12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VALOR TOTAL</w:t>
            </w:r>
          </w:p>
        </w:tc>
      </w:tr>
      <w:tr>
        <w:trPr>
          <w:trHeight w:val="462" w:hRule="atLeast"/>
        </w:trPr>
        <w:tc>
          <w:tcPr>
            <w:tcW w:w="646"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w:t>
            </w:r>
          </w:p>
        </w:tc>
        <w:tc>
          <w:tcPr>
            <w:tcW w:w="5312"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50 W:</w:t>
              <w:br/>
              <w:t>Demais características citadas nas especificações técnicas do Anexo I.</w:t>
            </w:r>
          </w:p>
        </w:tc>
        <w:tc>
          <w:tcPr>
            <w:tcW w:w="73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150</w:t>
            </w:r>
          </w:p>
        </w:tc>
        <w:tc>
          <w:tcPr>
            <w:tcW w:w="9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2</w:t>
            </w:r>
          </w:p>
        </w:tc>
        <w:tc>
          <w:tcPr>
            <w:tcW w:w="5312"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70 W:</w:t>
              <w:br/>
              <w:t>Demais características citadas nas especificações técnicas do Anexo I.</w:t>
            </w:r>
          </w:p>
        </w:tc>
        <w:tc>
          <w:tcPr>
            <w:tcW w:w="73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150</w:t>
            </w:r>
          </w:p>
        </w:tc>
        <w:tc>
          <w:tcPr>
            <w:tcW w:w="9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3</w:t>
            </w:r>
          </w:p>
        </w:tc>
        <w:tc>
          <w:tcPr>
            <w:tcW w:w="5312"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120 W:</w:t>
              <w:br/>
              <w:t>Demais características citadas nas especificações técnicas do Anexo I.</w:t>
            </w:r>
          </w:p>
        </w:tc>
        <w:tc>
          <w:tcPr>
            <w:tcW w:w="73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500</w:t>
            </w:r>
          </w:p>
        </w:tc>
        <w:tc>
          <w:tcPr>
            <w:tcW w:w="9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4</w:t>
            </w:r>
          </w:p>
        </w:tc>
        <w:tc>
          <w:tcPr>
            <w:tcW w:w="5312"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 xml:space="preserve">Luminária LED com potência nominal de  ≤   150 W: </w:t>
              <w:br/>
              <w:t>Demais características citadas nas especificações técnicas do Anexo I.</w:t>
            </w:r>
          </w:p>
        </w:tc>
        <w:tc>
          <w:tcPr>
            <w:tcW w:w="73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500</w:t>
            </w:r>
          </w:p>
        </w:tc>
        <w:tc>
          <w:tcPr>
            <w:tcW w:w="9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vAlign w:val="bottom"/>
          </w:tcPr>
          <w:p>
            <w:pPr>
              <w:pStyle w:val="Normal"/>
              <w:widowControl w:val="false"/>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bl>
    <w:p>
      <w:pPr>
        <w:pStyle w:val="Normal"/>
        <w:spacing w:lineRule="auto" w:line="276"/>
        <w:rPr>
          <w:rFonts w:ascii="Arial" w:hAnsi="Arial" w:eastAsia="Times New Roman" w:cs="Times New Roman"/>
          <w:b/>
          <w:color w:val="000000"/>
          <w:sz w:val="22"/>
          <w:szCs w:val="22"/>
          <w:highlight w:val="none"/>
          <w:shd w:fill="auto" w:val="clear"/>
        </w:rPr>
      </w:pPr>
      <w:r>
        <w:rPr>
          <w:rFonts w:eastAsia="Times New Roman" w:cs="Times New Roman" w:ascii="Arial" w:hAnsi="Arial"/>
          <w:b/>
          <w:color w:val="000000"/>
          <w:sz w:val="22"/>
          <w:szCs w:val="22"/>
          <w:shd w:fill="auto" w:val="clear"/>
        </w:rPr>
      </w:r>
    </w:p>
    <w:p>
      <w:pPr>
        <w:pStyle w:val="Normal"/>
        <w:tabs>
          <w:tab w:val="clear" w:pos="408"/>
          <w:tab w:val="left" w:pos="1134" w:leader="none"/>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Validade da Proposta: 60 dias</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rFonts w:ascii="Arial" w:hAnsi="Arial"/>
          <w:color w:val="000000"/>
          <w:sz w:val="22"/>
          <w:szCs w:val="22"/>
          <w:highlight w:val="none"/>
          <w:shd w:fill="auto" w:val="clear"/>
        </w:rPr>
      </w:pPr>
      <w:bookmarkEnd w:id="0"/>
      <w:bookmarkEnd w:id="1"/>
      <w:bookmarkEnd w:id="2"/>
      <w:bookmarkEnd w:id="3"/>
      <w:r>
        <w:rPr>
          <w:rFonts w:cs="Arial" w:ascii="Arial" w:hAnsi="Arial"/>
          <w:color w:val="000000"/>
          <w:sz w:val="22"/>
          <w:szCs w:val="22"/>
          <w:shd w:fill="auto" w:val="clear"/>
        </w:rPr>
        <w:t>Local: __________________________, ____ de ______________________ de _______.</w:t>
      </w:r>
      <w:r>
        <w:br w:type="page"/>
      </w:r>
    </w:p>
    <w:p>
      <w:pPr>
        <w:pStyle w:val="Normal"/>
        <w:numPr>
          <w:ilvl w:val="0"/>
          <w:numId w:val="2"/>
        </w:numPr>
        <w:spacing w:lineRule="auto" w:line="276" w:before="0" w:after="0"/>
        <w:jc w:val="center"/>
        <w:rPr>
          <w:rFonts w:ascii="Arial" w:hAnsi="Arial"/>
          <w:color w:val="000000"/>
          <w:sz w:val="22"/>
          <w:szCs w:val="22"/>
          <w:highlight w:val="none"/>
          <w:shd w:fill="auto" w:val="clear"/>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val="false"/>
        <w:numPr>
          <w:ilvl w:val="0"/>
          <w:numId w:val="2"/>
        </w:numPr>
        <w:spacing w:lineRule="auto" w:line="276"/>
        <w:ind w:left="0" w:right="-15"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MUNICÍPIO DE VERA CRUZ / RS</w:t>
      </w:r>
    </w:p>
    <w:p>
      <w:pPr>
        <w:pStyle w:val="Normal"/>
        <w:widowControl w:val="false"/>
        <w:numPr>
          <w:ilvl w:val="0"/>
          <w:numId w:val="2"/>
        </w:numPr>
        <w:spacing w:lineRule="auto" w:line="276"/>
        <w:ind w:left="0" w:right="-3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ATA DE REGISTRO DE PREÇOS </w:t>
      </w:r>
    </w:p>
    <w:p>
      <w:pPr>
        <w:pStyle w:val="Normal"/>
        <w:widowControl w:val="false"/>
        <w:numPr>
          <w:ilvl w:val="0"/>
          <w:numId w:val="2"/>
        </w:numPr>
        <w:spacing w:lineRule="auto" w:line="276"/>
        <w:ind w:left="0" w:right="-30" w:hanging="0"/>
        <w:jc w:val="both"/>
        <w:rPr>
          <w:rFonts w:ascii="Arial" w:hAnsi="Arial"/>
          <w:color w:val="000000"/>
          <w:sz w:val="22"/>
          <w:szCs w:val="22"/>
          <w:highlight w:val="none"/>
          <w:shd w:fill="auto" w:val="clear"/>
        </w:rPr>
      </w:pPr>
      <w:r>
        <w:rPr>
          <w:rFonts w:cs="Arial" w:ascii="Arial" w:hAnsi="Arial"/>
          <w:bCs/>
          <w:color w:val="000000"/>
          <w:sz w:val="22"/>
          <w:szCs w:val="22"/>
          <w:shd w:fill="auto" w:val="clear"/>
        </w:rPr>
        <w:t>N.º .........</w:t>
      </w:r>
    </w:p>
    <w:p>
      <w:pPr>
        <w:pStyle w:val="Normal"/>
        <w:widowControl w:val="false"/>
        <w:numPr>
          <w:ilvl w:val="0"/>
          <w:numId w:val="2"/>
        </w:numPr>
        <w:spacing w:lineRule="auto" w:line="276"/>
        <w:ind w:left="0" w:right="-3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val="false"/>
        <w:numPr>
          <w:ilvl w:val="0"/>
          <w:numId w:val="2"/>
        </w:numPr>
        <w:spacing w:lineRule="auto" w:line="276"/>
        <w:ind w:left="0" w:right="-3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tabs>
          <w:tab w:val="clear" w:pos="408"/>
          <w:tab w:val="left" w:pos="9475" w:leader="none"/>
        </w:tabs>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Aos XXXXX dias do mês de XXXXXX de dois mil e vinte e </w:t>
      </w:r>
      <w:r>
        <w:rPr>
          <w:rFonts w:cs="Arial" w:ascii="Arial" w:hAnsi="Arial"/>
          <w:color w:val="000000"/>
          <w:sz w:val="22"/>
          <w:szCs w:val="22"/>
          <w:shd w:fill="auto" w:val="clear"/>
        </w:rPr>
        <w:t>cinco,</w:t>
      </w:r>
      <w:r>
        <w:rPr>
          <w:rFonts w:cs="Arial" w:ascii="Arial" w:hAnsi="Arial"/>
          <w:color w:val="000000"/>
          <w:sz w:val="22"/>
          <w:szCs w:val="22"/>
          <w:shd w:fill="auto" w:val="clear"/>
        </w:rPr>
        <w:t xml:space="preserve">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108</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/2025</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ivel01"/>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1. DO OBJETO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ObjPregão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AQUISIÇÃO DE LUMINARIA COM TECNOLOGIA LED</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1390</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/2025,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108</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/2025, para Registro de Preços.</w:t>
      </w:r>
    </w:p>
    <w:p>
      <w:pPr>
        <w:pStyle w:val="Nivel2"/>
        <w:numPr>
          <w:ilvl w:val="0"/>
          <w:numId w:val="2"/>
        </w:numPr>
        <w:spacing w:lineRule="auto" w:line="276" w:before="0" w:after="0"/>
        <w:ind w:left="1283"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ivel01"/>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color w:val="000000"/>
          <w:sz w:val="22"/>
          <w:szCs w:val="22"/>
          <w:shd w:fill="auto" w:val="clear"/>
        </w:rPr>
        <w:t>2. DOS PREÇOS, ESPECIFICAÇÕES E QUANTITATIVOS</w:t>
      </w:r>
    </w:p>
    <w:p>
      <w:pPr>
        <w:pStyle w:val="Nivel2"/>
        <w:numPr>
          <w:ilvl w:val="0"/>
          <w:numId w:val="2"/>
        </w:numPr>
        <w:spacing w:lineRule="auto" w:line="276" w:before="0" w:after="0"/>
        <w:ind w:left="0" w:right="0" w:hanging="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Corpodotexto"/>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9695" w:type="dxa"/>
        <w:jc w:val="left"/>
        <w:tblInd w:w="-2" w:type="dxa"/>
        <w:tblLayout w:type="fixed"/>
        <w:tblCellMar>
          <w:top w:w="0" w:type="dxa"/>
          <w:left w:w="28" w:type="dxa"/>
          <w:bottom w:w="0" w:type="dxa"/>
          <w:right w:w="28" w:type="dxa"/>
        </w:tblCellMar>
      </w:tblPr>
      <w:tblGrid>
        <w:gridCol w:w="646"/>
        <w:gridCol w:w="5312"/>
        <w:gridCol w:w="737"/>
        <w:gridCol w:w="845"/>
        <w:gridCol w:w="927"/>
        <w:gridCol w:w="1227"/>
      </w:tblGrid>
      <w:tr>
        <w:trPr>
          <w:trHeight w:val="256" w:hRule="atLeast"/>
        </w:trPr>
        <w:tc>
          <w:tcPr>
            <w:tcW w:w="646" w:type="dxa"/>
            <w:tcBorders>
              <w:top w:val="single" w:sz="2" w:space="0" w:color="000000"/>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ITEM</w:t>
            </w:r>
          </w:p>
        </w:tc>
        <w:tc>
          <w:tcPr>
            <w:tcW w:w="5312" w:type="dxa"/>
            <w:tcBorders>
              <w:top w:val="single" w:sz="2" w:space="0" w:color="000000"/>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DESCRIÇÃO</w:t>
            </w:r>
          </w:p>
        </w:tc>
        <w:tc>
          <w:tcPr>
            <w:tcW w:w="737" w:type="dxa"/>
            <w:tcBorders>
              <w:top w:val="single" w:sz="2" w:space="0" w:color="000000"/>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UNID.</w:t>
            </w:r>
          </w:p>
        </w:tc>
        <w:tc>
          <w:tcPr>
            <w:tcW w:w="845" w:type="dxa"/>
            <w:tcBorders>
              <w:top w:val="single" w:sz="2" w:space="0" w:color="000000"/>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QUANT</w:t>
            </w:r>
          </w:p>
        </w:tc>
        <w:tc>
          <w:tcPr>
            <w:tcW w:w="927" w:type="dxa"/>
            <w:tcBorders>
              <w:top w:val="single" w:sz="2" w:space="0" w:color="000000"/>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VALOR UNIT</w:t>
            </w:r>
          </w:p>
        </w:tc>
        <w:tc>
          <w:tcPr>
            <w:tcW w:w="1227"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VALOR TOTAL</w:t>
            </w:r>
          </w:p>
        </w:tc>
      </w:tr>
      <w:tr>
        <w:trPr>
          <w:trHeight w:val="462" w:hRule="atLeast"/>
        </w:trPr>
        <w:tc>
          <w:tcPr>
            <w:tcW w:w="646"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w:t>
            </w:r>
          </w:p>
        </w:tc>
        <w:tc>
          <w:tcPr>
            <w:tcW w:w="5312"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50 W:</w:t>
              <w:br/>
              <w:t>Demais características citadas nas especificações técnicas do Anexo I.</w:t>
            </w:r>
          </w:p>
        </w:tc>
        <w:tc>
          <w:tcPr>
            <w:tcW w:w="73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150</w:t>
            </w:r>
          </w:p>
        </w:tc>
        <w:tc>
          <w:tcPr>
            <w:tcW w:w="92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left w:val="single" w:sz="2" w:space="0" w:color="000000"/>
              <w:bottom w:val="single" w:sz="2" w:space="0" w:color="000000"/>
              <w:right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2</w:t>
            </w:r>
          </w:p>
        </w:tc>
        <w:tc>
          <w:tcPr>
            <w:tcW w:w="5312"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70 W:</w:t>
              <w:br/>
              <w:t>Demais características citadas nas especificações técnicas do Anexo I.</w:t>
            </w:r>
          </w:p>
        </w:tc>
        <w:tc>
          <w:tcPr>
            <w:tcW w:w="73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150</w:t>
            </w:r>
          </w:p>
        </w:tc>
        <w:tc>
          <w:tcPr>
            <w:tcW w:w="92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left w:val="single" w:sz="2" w:space="0" w:color="000000"/>
              <w:bottom w:val="single" w:sz="2" w:space="0" w:color="000000"/>
              <w:right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3</w:t>
            </w:r>
          </w:p>
        </w:tc>
        <w:tc>
          <w:tcPr>
            <w:tcW w:w="5312"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Luminária LED com potência nominal de ≤  120 W:</w:t>
              <w:br/>
              <w:t>Demais características citadas nas especificações técnicas do Anexo I.</w:t>
            </w:r>
          </w:p>
        </w:tc>
        <w:tc>
          <w:tcPr>
            <w:tcW w:w="73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500</w:t>
            </w:r>
          </w:p>
        </w:tc>
        <w:tc>
          <w:tcPr>
            <w:tcW w:w="92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left w:val="single" w:sz="2" w:space="0" w:color="000000"/>
              <w:bottom w:val="single" w:sz="2" w:space="0" w:color="000000"/>
              <w:right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r>
        <w:trPr>
          <w:trHeight w:val="388" w:hRule="atLeast"/>
        </w:trPr>
        <w:tc>
          <w:tcPr>
            <w:tcW w:w="646"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4</w:t>
            </w:r>
          </w:p>
        </w:tc>
        <w:tc>
          <w:tcPr>
            <w:tcW w:w="5312"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 xml:space="preserve">Luminária LED com potência nominal de  ≤   150 W: </w:t>
              <w:br/>
              <w:t>Demais características citadas nas especificações técnicas do Anexo I.</w:t>
            </w:r>
          </w:p>
        </w:tc>
        <w:tc>
          <w:tcPr>
            <w:tcW w:w="73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Peças</w:t>
            </w:r>
          </w:p>
        </w:tc>
        <w:tc>
          <w:tcPr>
            <w:tcW w:w="845"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t>500</w:t>
            </w:r>
          </w:p>
        </w:tc>
        <w:tc>
          <w:tcPr>
            <w:tcW w:w="927" w:type="dxa"/>
            <w:tcBorders>
              <w:left w:val="single" w:sz="2" w:space="0" w:color="000000"/>
              <w:bottom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c>
          <w:tcPr>
            <w:tcW w:w="1227" w:type="dxa"/>
            <w:tcBorders>
              <w:left w:val="single" w:sz="2" w:space="0" w:color="000000"/>
              <w:bottom w:val="single" w:sz="2" w:space="0" w:color="000000"/>
              <w:right w:val="single" w:sz="2" w:space="0" w:color="000000"/>
            </w:tcBorders>
            <w:vAlign w:val="bottom"/>
          </w:tcPr>
          <w:p>
            <w:pPr>
              <w:pStyle w:val="Normal"/>
              <w:widowControl w:val="false"/>
              <w:numPr>
                <w:ilvl w:val="0"/>
                <w:numId w:val="2"/>
              </w:numPr>
              <w:tabs>
                <w:tab w:val="clear" w:pos="408"/>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tc>
      </w:tr>
    </w:tbl>
    <w:p>
      <w:pPr>
        <w:pStyle w:val="Normal"/>
        <w:numPr>
          <w:ilvl w:val="0"/>
          <w:numId w:val="2"/>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 DAS CONDIÇÕES DE PAGAMENTO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15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Default"/>
        <w:numPr>
          <w:ilvl w:val="0"/>
          <w:numId w:val="2"/>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4. DOS EMPENHOS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 DO CONTROLE E ATUALIZAÇÃO DOS PREÇOS REGISTRADOS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2"/>
        </w:numPr>
        <w:spacing w:lineRule="auto" w:line="276"/>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2"/>
        </w:numPr>
        <w:spacing w:lineRule="auto" w:line="276"/>
        <w:jc w:val="both"/>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Default"/>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2"/>
        </w:numPr>
        <w:spacing w:lineRule="auto" w:line="276"/>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Default"/>
        <w:numPr>
          <w:ilvl w:val="0"/>
          <w:numId w:val="2"/>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2"/>
        </w:numPr>
        <w:spacing w:lineRule="auto" w:line="276"/>
        <w:jc w:val="both"/>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8. DA EXECUÇÃO/ E DO RECEBIMENTO</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 DAS OBRIGAÇÕES DA EMPRESA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10. DAS SANÇÕES PARA O INADIMPLEMENTO </w:t>
      </w:r>
    </w:p>
    <w:p>
      <w:pPr>
        <w:pStyle w:val="Default"/>
        <w:numPr>
          <w:ilvl w:val="0"/>
          <w:numId w:val="2"/>
        </w:numPr>
        <w:spacing w:lineRule="auto" w:line="276"/>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2"/>
        </w:numPr>
        <w:spacing w:lineRule="auto" w:line="276"/>
        <w:jc w:val="both"/>
        <w:rPr/>
      </w:pPr>
      <w:bookmarkStart w:id="15" w:name="_3znysh71"/>
      <w:bookmarkEnd w:id="15"/>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276"/>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276"/>
        <w:jc w:val="both"/>
        <w:rPr>
          <w:rFonts w:ascii="Arial" w:hAnsi="Arial"/>
          <w:color w:val="000000"/>
          <w:sz w:val="22"/>
          <w:szCs w:val="22"/>
          <w:highlight w:val="none"/>
          <w:shd w:fill="auto" w:val="clear"/>
        </w:rPr>
      </w:pPr>
      <w:r>
        <w:rPr>
          <w:rFonts w:eastAsia="Arial" w:cs="Arial" w:ascii="Arial" w:hAnsi="Arial"/>
          <w:b/>
          <w:color w:val="000000"/>
          <w:sz w:val="22"/>
          <w:szCs w:val="22"/>
          <w:u w:val="none"/>
          <w:shd w:fill="auto" w:val="clear"/>
        </w:rPr>
        <w:t>10.2.4 Multa:</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rFonts w:ascii="Arial" w:hAnsi="Arial"/>
          <w:color w:val="000000"/>
          <w:sz w:val="22"/>
          <w:szCs w:val="22"/>
          <w:highlight w:val="none"/>
          <w:shd w:fill="auto" w:val="clear"/>
        </w:rPr>
      </w:pPr>
      <w:bookmarkStart w:id="16" w:name="_2et92p01"/>
      <w:bookmarkEnd w:id="16"/>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2"/>
        </w:numPr>
        <w:spacing w:lineRule="auto" w:line="276"/>
        <w:jc w:val="both"/>
        <w:rPr>
          <w:rFonts w:ascii="Arial" w:hAnsi="Arial"/>
          <w:color w:val="000000"/>
          <w:sz w:val="22"/>
          <w:szCs w:val="22"/>
          <w:highlight w:val="none"/>
          <w:shd w:fill="auto" w:val="clear"/>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276"/>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 CASOS FORTUITOS OU DE FORÇA MAIOR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a) greve geral;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b) calamidade pública;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c) interrupção dos meios de transporte;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2"/>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 DAS DISPOSIÇÕES GERAIS </w:t>
      </w:r>
    </w:p>
    <w:p>
      <w:pPr>
        <w:pStyle w:val="Default"/>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 xml:space="preserve">/RS, com renúncia de quaisquer outros ainda que privilegiados. </w:t>
      </w:r>
    </w:p>
    <w:p>
      <w:pPr>
        <w:pStyle w:val="Normal"/>
        <w:numPr>
          <w:ilvl w:val="0"/>
          <w:numId w:val="2"/>
        </w:numPr>
        <w:spacing w:lineRule="auto" w:line="276"/>
        <w:jc w:val="both"/>
        <w:rPr>
          <w:rFonts w:ascii="Arial" w:hAnsi="Arial"/>
          <w:color w:val="000000"/>
          <w:sz w:val="22"/>
          <w:szCs w:val="22"/>
          <w:highlight w:val="none"/>
          <w:shd w:fill="auto" w:val="clear"/>
        </w:rPr>
      </w:pPr>
      <w:r>
        <w:rPr>
          <w:rFonts w:cs="Arial" w:ascii="Arial" w:hAnsi="Arial"/>
          <w:color w:val="000000"/>
          <w:sz w:val="22"/>
          <w:szCs w:val="22"/>
          <w:shd w:fill="auto" w:val="clear"/>
        </w:rPr>
        <w:t>E por estarem as partes justas e acertadas assinam a presente Ata de Registro de Preços.</w:t>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13. DA ENTREGA DOS PRODUTOS / EXECU</w:t>
      </w:r>
      <w:r>
        <w:rPr>
          <w:rFonts w:cs="Arial" w:ascii="Arial" w:hAnsi="Arial"/>
          <w:b/>
          <w:bCs/>
          <w:color w:val="000000"/>
          <w:sz w:val="22"/>
          <w:szCs w:val="22"/>
          <w:shd w:fill="auto" w:val="clear"/>
        </w:rPr>
        <w:t>ÇÃO DO SERVIÇO</w:t>
      </w:r>
    </w:p>
    <w:p>
      <w:pPr>
        <w:pStyle w:val="Corpodotexto"/>
        <w:numPr>
          <w:ilvl w:val="0"/>
          <w:numId w:val="2"/>
        </w:numPr>
        <w:spacing w:lineRule="auto" w:line="276" w:before="0" w:after="0"/>
        <w:jc w:val="both"/>
        <w:rPr/>
      </w:pPr>
      <w:r>
        <w:rPr>
          <w:rFonts w:cs="Arial" w:ascii="Arial" w:hAnsi="Arial"/>
          <w:b/>
          <w:bCs/>
          <w:color w:val="000000"/>
          <w:sz w:val="22"/>
          <w:szCs w:val="22"/>
          <w:shd w:fill="auto" w:val="clear"/>
        </w:rPr>
        <w:t>13.1</w:t>
      </w:r>
      <w:r>
        <w:rPr>
          <w:rFonts w:cs="Arial" w:ascii="Arial" w:hAnsi="Arial"/>
          <w:b w:val="false"/>
          <w:bCs w:val="false"/>
          <w:color w:val="000000"/>
          <w:sz w:val="22"/>
          <w:szCs w:val="22"/>
          <w:shd w:fill="auto" w:val="clear"/>
        </w:rPr>
        <w:t xml:space="preserve"> </w:t>
      </w:r>
      <w:r>
        <w:rPr>
          <w:rFonts w:cs="Arial" w:ascii="Arial" w:hAnsi="Arial"/>
          <w:b w:val="false"/>
          <w:bCs w:val="false"/>
          <w:color w:val="000000"/>
          <w:sz w:val="22"/>
          <w:szCs w:val="22"/>
          <w:shd w:fill="auto" w:val="clear"/>
        </w:rPr>
        <w:t>A entrega do objeto deverá ocorrer no prazo máximo de 30 (trinta)</w:t>
      </w:r>
      <w:r>
        <w:rPr>
          <w:rStyle w:val="Strong"/>
          <w:rFonts w:cs="Arial" w:ascii="Arial" w:hAnsi="Arial"/>
          <w:b w:val="false"/>
          <w:bCs w:val="false"/>
          <w:color w:val="000000"/>
          <w:sz w:val="22"/>
          <w:szCs w:val="22"/>
          <w:shd w:fill="auto" w:val="clear"/>
        </w:rPr>
        <w:t xml:space="preserve"> dias corridos</w:t>
      </w:r>
      <w:r>
        <w:rPr>
          <w:rFonts w:cs="Arial" w:ascii="Arial" w:hAnsi="Arial"/>
          <w:b w:val="false"/>
          <w:bCs w:val="false"/>
          <w:color w:val="000000"/>
          <w:sz w:val="22"/>
          <w:szCs w:val="22"/>
          <w:shd w:fill="auto" w:val="clear"/>
        </w:rPr>
        <w:t>, contados a partir da solicitação formal emitida pela Administração, por meio dos canais oficiais disponibilizados pela contratada. Considera-se como solicitação formal aquela devidamente registrada e encaminhada nos meios previamente definidos pela fornecedora,</w:t>
      </w:r>
      <w:r>
        <w:rPr>
          <w:rFonts w:cs="Arial" w:ascii="Arial" w:hAnsi="Arial"/>
          <w:color w:val="000000"/>
          <w:sz w:val="22"/>
          <w:szCs w:val="22"/>
          <w:shd w:fill="auto" w:val="clear"/>
        </w:rPr>
        <w:t xml:space="preserve"> </w:t>
      </w:r>
      <w:r>
        <w:rPr>
          <w:rStyle w:val="Strong"/>
          <w:rFonts w:cs="Arial" w:ascii="Arial" w:hAnsi="Arial"/>
          <w:b w:val="false"/>
          <w:bCs w:val="false"/>
          <w:color w:val="000000"/>
          <w:sz w:val="22"/>
          <w:szCs w:val="22"/>
          <w:shd w:fill="auto" w:val="clear"/>
        </w:rPr>
        <w:t>sendo considerada recebida, para todos os fins, com ou sem confirmação por parte desta</w:t>
      </w:r>
      <w:r>
        <w:rPr>
          <w:rFonts w:cs="Arial" w:ascii="Arial" w:hAnsi="Arial"/>
          <w:b w:val="false"/>
          <w:bCs w:val="false"/>
          <w:color w:val="000000"/>
          <w:sz w:val="22"/>
          <w:szCs w:val="22"/>
          <w:shd w:fill="auto" w:val="clear"/>
        </w:rPr>
        <w:t>.</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13.2</w:t>
      </w:r>
      <w:r>
        <w:rPr>
          <w:rFonts w:cs="Arial" w:ascii="Arial" w:hAnsi="Arial"/>
          <w:color w:val="000000"/>
          <w:sz w:val="22"/>
          <w:szCs w:val="22"/>
          <w:shd w:fill="auto" w:val="clear"/>
        </w:rPr>
        <w:t xml:space="preserve"> </w:t>
      </w:r>
      <w:r>
        <w:rPr>
          <w:rFonts w:cs="Arial" w:ascii="Arial" w:hAnsi="Arial"/>
          <w:color w:val="000000"/>
          <w:sz w:val="22"/>
          <w:szCs w:val="22"/>
          <w:shd w:fill="auto" w:val="clear"/>
        </w:rPr>
        <w:t>A fornecedora deverá manter seus canais de contato permanentemente atualizados e declara, desde já, que acessará diariamente tais meios, a fim de garantir o recebimento tempestivo das comunicações da Administração.</w:t>
      </w:r>
    </w:p>
    <w:p>
      <w:pPr>
        <w:pStyle w:val="Corpodotexto"/>
        <w:numPr>
          <w:ilvl w:val="0"/>
          <w:numId w:val="2"/>
        </w:numPr>
        <w:spacing w:lineRule="auto" w:line="276" w:before="0" w:after="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13.3</w:t>
      </w:r>
      <w:r>
        <w:rPr>
          <w:rFonts w:cs="Arial" w:ascii="Arial" w:hAnsi="Arial"/>
          <w:color w:val="000000"/>
          <w:sz w:val="22"/>
          <w:szCs w:val="22"/>
          <w:shd w:fill="auto" w:val="clear"/>
        </w:rPr>
        <w:t xml:space="preserve"> </w:t>
      </w:r>
      <w:r>
        <w:rPr>
          <w:rFonts w:cs="Arial" w:ascii="Arial" w:hAnsi="Arial"/>
          <w:color w:val="000000"/>
          <w:sz w:val="22"/>
          <w:szCs w:val="22"/>
          <w:shd w:fill="auto" w:val="clear"/>
        </w:rPr>
        <w:t>O descumprimento do prazo estabelecido poderá acarretar a aplicação das penalidades previstas em lei e no contrato, sem prejuízo da adoção de medidas adicionais necessárias à garantia do interesse público.</w:t>
      </w:r>
      <w:r>
        <w:rPr>
          <w:rFonts w:cs="Arial" w:ascii="Arial" w:hAnsi="Arial"/>
          <w:b w:val="false"/>
          <w:bCs w:val="false"/>
          <w:color w:val="000000"/>
          <w:sz w:val="22"/>
          <w:szCs w:val="22"/>
          <w:shd w:fill="auto" w:val="clear"/>
        </w:rPr>
        <w:tab/>
      </w:r>
    </w:p>
    <w:p>
      <w:pPr>
        <w:pStyle w:val="Normal"/>
        <w:widowControl/>
        <w:numPr>
          <w:ilvl w:val="0"/>
          <w:numId w:val="2"/>
        </w:numPr>
        <w:suppressAutoHyphens w:val="true"/>
        <w:overflowPunct w:val="true"/>
        <w:bidi w:val="0"/>
        <w:spacing w:lineRule="auto" w:line="276" w:before="0" w:after="0"/>
        <w:ind w:right="0" w:hanging="0"/>
        <w:jc w:val="both"/>
        <w:rPr>
          <w:rFonts w:ascii="Arial" w:hAnsi="Arial"/>
          <w:color w:val="000000"/>
          <w:sz w:val="22"/>
          <w:szCs w:val="22"/>
          <w:highlight w:val="none"/>
          <w:shd w:fill="auto" w:val="clear"/>
        </w:rPr>
      </w:pPr>
      <w:r>
        <w:rPr>
          <w:rFonts w:eastAsia="Arial" w:cs="Arial" w:ascii="Arial" w:hAnsi="Arial"/>
          <w:b/>
          <w:bCs/>
          <w:color w:val="000000"/>
          <w:sz w:val="22"/>
          <w:szCs w:val="22"/>
          <w:shd w:fill="auto" w:val="clear"/>
        </w:rPr>
        <w:t>13.4</w:t>
      </w:r>
      <w:r>
        <w:rPr>
          <w:rFonts w:eastAsia="Arial" w:cs="Arial" w:ascii="Arial" w:hAnsi="Arial"/>
          <w:b w:val="false"/>
          <w:bCs w:val="false"/>
          <w:color w:val="000000"/>
          <w:sz w:val="22"/>
          <w:szCs w:val="22"/>
          <w:shd w:fill="auto" w:val="clear"/>
        </w:rPr>
        <w:t xml:space="preserve"> </w:t>
      </w:r>
      <w:r>
        <w:rPr>
          <w:rFonts w:eastAsia="Arial" w:cs="Arial" w:ascii="Arial" w:hAnsi="Arial"/>
          <w:b w:val="false"/>
          <w:bCs w:val="false"/>
          <w:color w:val="000000"/>
          <w:sz w:val="22"/>
          <w:szCs w:val="22"/>
          <w:shd w:fill="auto" w:val="clear"/>
        </w:rPr>
        <w:t>Todas as custas inerentes ao futuro Fornecimento e a Prestação dos Serviços solicitados ficarão a cargo da Empresa contratada.</w:t>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olor w:val="000000"/>
          <w:sz w:val="22"/>
          <w:szCs w:val="22"/>
          <w:highlight w:val="none"/>
          <w:shd w:fill="auto" w:val="clear"/>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2"/>
        </w:numPr>
        <w:spacing w:lineRule="auto" w:line="276"/>
        <w:jc w:val="center"/>
        <w:rPr>
          <w:rFonts w:ascii="Arial" w:hAnsi="Arial"/>
          <w:color w:val="000000"/>
          <w:sz w:val="22"/>
          <w:szCs w:val="22"/>
          <w:highlight w:val="none"/>
          <w:shd w:fill="auto" w:val="clear"/>
        </w:rPr>
      </w:pPr>
      <w:r>
        <w:rPr>
          <w:rFonts w:cs="Arial" w:ascii="Arial" w:hAnsi="Arial"/>
          <w:color w:val="000000"/>
          <w:sz w:val="22"/>
          <w:szCs w:val="22"/>
          <w:shd w:fill="auto" w:val="clear"/>
        </w:rPr>
        <w:t>Prefeito Municipal de Vera Cruz, RS.</w:t>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2"/>
        </w:numPr>
        <w:spacing w:lineRule="auto" w:line="276"/>
        <w:jc w:val="center"/>
        <w:rPr>
          <w:rFonts w:ascii="Arial" w:hAnsi="Arial"/>
          <w:color w:val="000000"/>
          <w:sz w:val="22"/>
          <w:szCs w:val="22"/>
          <w:highlight w:val="none"/>
          <w:shd w:fill="auto" w:val="clear"/>
        </w:rPr>
      </w:pPr>
      <w:bookmarkStart w:id="17" w:name="art6xxiiic_Copia_1_Copia_1"/>
      <w:bookmarkStart w:id="18" w:name="art6xxiiic"/>
      <w:bookmarkStart w:id="19" w:name="30j0zll_Copia_1"/>
      <w:bookmarkStart w:id="20" w:name="30j0zll"/>
      <w:bookmarkStart w:id="21" w:name="art6xxiiig_Copia_1_Copia_1"/>
      <w:bookmarkStart w:id="22" w:name="art6xxiiig"/>
      <w:bookmarkStart w:id="23" w:name="art6xxiii.i_Copia_1"/>
      <w:bookmarkStart w:id="24" w:name="art6xxiii.i"/>
      <w:bookmarkStart w:id="25" w:name="art6xxiiij_Copia_1_Copia_1"/>
      <w:bookmarkStart w:id="26" w:name="art6xxiiij"/>
      <w:bookmarkStart w:id="27" w:name="art6xxiiif"/>
      <w:bookmarkStart w:id="28" w:name="art6xxiiid"/>
      <w:r>
        <w:rPr>
          <w:rFonts w:cs="Arial" w:ascii="Arial" w:hAnsi="Arial"/>
          <w:b/>
          <w:bCs/>
          <w:iCs/>
          <w:color w:val="000000"/>
          <w:sz w:val="22"/>
          <w:szCs w:val="22"/>
          <w:shd w:fill="auto" w:val="clear"/>
        </w:rPr>
        <w:t>EMPRESA</w:t>
      </w:r>
      <w:bookmarkEnd w:id="17"/>
      <w:bookmarkEnd w:id="18"/>
      <w:bookmarkEnd w:id="19"/>
      <w:bookmarkEnd w:id="20"/>
      <w:bookmarkEnd w:id="21"/>
      <w:bookmarkEnd w:id="22"/>
      <w:bookmarkEnd w:id="23"/>
      <w:bookmarkEnd w:id="24"/>
      <w:bookmarkEnd w:id="25"/>
      <w:bookmarkEnd w:id="26"/>
      <w:bookmarkEnd w:id="27"/>
      <w:bookmarkEnd w:id="28"/>
    </w:p>
    <w:sectPr>
      <w:headerReference w:type="default" r:id="rId19"/>
      <w:headerReference w:type="first" r:id="rId20"/>
      <w:footerReference w:type="default" r:id="rId21"/>
      <w:footerReference w:type="first" r:id="rId22"/>
      <w:footnotePr>
        <w:numFmt w:val="decimal"/>
      </w:footnotePr>
      <w:type w:val="nextPage"/>
      <w:pgSz w:w="11906" w:h="16838"/>
      <w:pgMar w:left="1134" w:right="1077" w:gutter="0" w:header="284" w:top="1276" w:footer="19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83">
          <wp:simplePos x="0" y="0"/>
          <wp:positionH relativeFrom="column">
            <wp:posOffset>1804670</wp:posOffset>
          </wp:positionH>
          <wp:positionV relativeFrom="paragraph">
            <wp:posOffset>-368935</wp:posOffset>
          </wp:positionV>
          <wp:extent cx="2410460" cy="294005"/>
          <wp:effectExtent l="0" t="0" r="0" b="0"/>
          <wp:wrapSquare wrapText="largest"/>
          <wp:docPr id="3"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pic:cNvPicPr>
                    <a:picLocks noChangeAspect="1" noChangeArrowheads="1"/>
                  </pic:cNvPicPr>
                </pic:nvPicPr>
                <pic:blipFill>
                  <a:blip r:embed="rId1"/>
                  <a:srcRect l="-161" t="-1301" r="-161" b="-1301"/>
                  <a:stretch>
                    <a:fillRect/>
                  </a:stretch>
                </pic:blipFill>
                <pic:spPr bwMode="auto">
                  <a:xfrm>
                    <a:off x="0" y="0"/>
                    <a:ext cx="2410460" cy="29400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83">
          <wp:simplePos x="0" y="0"/>
          <wp:positionH relativeFrom="column">
            <wp:posOffset>1804670</wp:posOffset>
          </wp:positionH>
          <wp:positionV relativeFrom="paragraph">
            <wp:posOffset>-368935</wp:posOffset>
          </wp:positionV>
          <wp:extent cx="2410460" cy="294005"/>
          <wp:effectExtent l="0" t="0" r="0" b="0"/>
          <wp:wrapSquare wrapText="largest"/>
          <wp:docPr id="4"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5" descr=""/>
                  <pic:cNvPicPr>
                    <a:picLocks noChangeAspect="1" noChangeArrowheads="1"/>
                  </pic:cNvPicPr>
                </pic:nvPicPr>
                <pic:blipFill>
                  <a:blip r:embed="rId1"/>
                  <a:srcRect l="-161" t="-1301" r="-161" b="-1301"/>
                  <a:stretch>
                    <a:fillRect/>
                  </a:stretch>
                </pic:blipFill>
                <pic:spPr bwMode="auto">
                  <a:xfrm>
                    <a:off x="0" y="0"/>
                    <a:ext cx="2410460" cy="294005"/>
                  </a:xfrm>
                  <a:prstGeom prst="rect">
                    <a:avLst/>
                  </a:prstGeom>
                </pic:spPr>
              </pic:pic>
            </a:graphicData>
          </a:graphic>
        </wp:anchor>
      </w:drawing>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ind w:right="0" w:hanging="0"/>
        <w:jc w:val="both"/>
        <w:rPr/>
      </w:pPr>
      <w:r>
        <w:rPr>
          <w:rStyle w:val="Caracteresdenotaderodap"/>
        </w:rPr>
        <w:footnoteRef/>
      </w:r>
      <w:r>
        <w:rPr>
          <w:b/>
          <w:bCs/>
        </w:rPr>
        <w:t>Classes de iluminação M</w:t>
      </w:r>
      <w:r>
        <w:rPr/>
        <w:t>: Luminância média mantida na superfície da via (</w:t>
      </w:r>
      <w:r>
        <w:rPr>
          <w:i/>
          <w:iCs/>
        </w:rPr>
        <w:t>L</w:t>
      </w:r>
      <w:r>
        <w:rPr>
          <w:vertAlign w:val="subscript"/>
        </w:rPr>
        <w:t>méd</w:t>
      </w:r>
      <w:r>
        <w:rPr/>
        <w:t>), uniformidades gerais (</w:t>
      </w:r>
      <w:r>
        <w:rPr>
          <w:i/>
          <w:iCs/>
        </w:rPr>
        <w:t>U</w:t>
      </w:r>
      <w:r>
        <w:rPr>
          <w:vertAlign w:val="subscript"/>
        </w:rPr>
        <w:t>o</w:t>
      </w:r>
      <w:r>
        <w:rPr/>
        <w:t>) e longitudinal (</w:t>
      </w:r>
      <w:r>
        <w:rPr>
          <w:i/>
          <w:iCs/>
        </w:rPr>
        <w:t>U</w:t>
      </w:r>
      <w:r>
        <w:rPr>
          <w:vertAlign w:val="subscript"/>
        </w:rPr>
        <w:t>L</w:t>
      </w:r>
      <w:r>
        <w:rPr/>
        <w:t xml:space="preserve">) da luminância, razão das iluminâncias adjacentes à via (EIR) e o percentual do incremento de limiar </w:t>
      </w:r>
      <w:r>
        <w:rPr>
          <w:i/>
          <w:iCs/>
        </w:rPr>
        <w:t>f</w:t>
      </w:r>
      <w:r>
        <w:rPr>
          <w:i/>
          <w:iCs/>
          <w:vertAlign w:val="subscript"/>
        </w:rPr>
        <w:t>TI</w:t>
      </w:r>
      <w:r>
        <w:rPr>
          <w:i/>
          <w:iCs/>
        </w:rPr>
        <w:t xml:space="preserve"> (%).</w:t>
      </w:r>
    </w:p>
    <w:p>
      <w:pPr>
        <w:pStyle w:val="Notaderodap"/>
        <w:jc w:val="both"/>
        <w:rPr/>
      </w:pPr>
      <w:r>
        <w:rPr>
          <w:b/>
          <w:bCs/>
        </w:rPr>
        <w:t>Classes de iluminação C:</w:t>
      </w:r>
      <w:r>
        <w:rPr/>
        <w:t xml:space="preserve"> Iluminância horizontal média (</w:t>
      </w:r>
      <w:r>
        <w:rPr>
          <w:i/>
          <w:iCs/>
        </w:rPr>
        <w:t>E</w:t>
      </w:r>
      <w:r>
        <w:rPr>
          <w:vertAlign w:val="subscript"/>
        </w:rPr>
        <w:t>méd</w:t>
      </w:r>
      <w:r>
        <w:rPr/>
        <w:t xml:space="preserve">), uniformidade geral da iluminância </w:t>
      </w:r>
      <w:r>
        <w:rPr>
          <w:i/>
          <w:iCs/>
        </w:rPr>
        <w:t>U</w:t>
      </w:r>
      <w:r>
        <w:rPr>
          <w:vertAlign w:val="subscript"/>
        </w:rPr>
        <w:t>o</w:t>
      </w:r>
      <w:r>
        <w:rPr/>
        <w:t xml:space="preserve">(E) e incremento de limiar </w:t>
      </w:r>
      <w:r>
        <w:rPr>
          <w:i/>
          <w:iCs/>
        </w:rPr>
        <w:t>f</w:t>
      </w:r>
      <w:r>
        <w:rPr>
          <w:i/>
          <w:iCs/>
          <w:vertAlign w:val="subscript"/>
        </w:rPr>
        <w:t>TI</w:t>
      </w:r>
      <w:r>
        <w:rPr>
          <w:i/>
          <w:iCs/>
        </w:rPr>
        <w:t xml:space="preserve"> (%).</w:t>
      </w:r>
    </w:p>
    <w:p>
      <w:pPr>
        <w:pStyle w:val="Notaderodap"/>
        <w:jc w:val="both"/>
        <w:rPr/>
      </w:pPr>
      <w:r>
        <w:rPr>
          <w:b/>
          <w:bCs/>
        </w:rPr>
        <w:t>Classes de iluminação P:</w:t>
      </w:r>
      <w:r>
        <w:rPr/>
        <w:t xml:space="preserve"> Iluminância média horizontal </w:t>
      </w:r>
      <w:r>
        <w:rPr>
          <w:i/>
          <w:iCs/>
        </w:rPr>
        <w:t>E</w:t>
      </w:r>
      <w:r>
        <w:rPr/>
        <w:t xml:space="preserve"> (lx), Iluminância mínima horizontal </w:t>
      </w:r>
      <w:r>
        <w:rPr>
          <w:i/>
          <w:iCs/>
        </w:rPr>
        <w:t>E</w:t>
      </w:r>
      <w:r>
        <w:rPr/>
        <w:t xml:space="preserve"> (lx) e iluminância vertical mínima </w:t>
      </w:r>
      <w:r>
        <w:rPr>
          <w:i/>
          <w:iCs/>
        </w:rPr>
        <w:t>E</w:t>
      </w:r>
      <w:r>
        <w:rPr/>
        <w:t xml:space="preserve"> (lx).</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38">
          <wp:simplePos x="0" y="0"/>
          <wp:positionH relativeFrom="column">
            <wp:align>center</wp:align>
          </wp:positionH>
          <wp:positionV relativeFrom="paragraph">
            <wp:posOffset>635</wp:posOffset>
          </wp:positionV>
          <wp:extent cx="3481070" cy="657860"/>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3481070" cy="657860"/>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38">
          <wp:simplePos x="0" y="0"/>
          <wp:positionH relativeFrom="column">
            <wp:align>center</wp:align>
          </wp:positionH>
          <wp:positionV relativeFrom="paragraph">
            <wp:posOffset>635</wp:posOffset>
          </wp:positionV>
          <wp:extent cx="3481070" cy="657860"/>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3481070" cy="657860"/>
                  </a:xfrm>
                  <a:prstGeom prst="rect">
                    <a:avLst/>
                  </a:prstGeom>
                </pic:spPr>
              </pic:pic>
            </a:graphicData>
          </a:graphic>
        </wp:anchor>
      </w:drawing>
    </w:r>
  </w:p>
  <w:p>
    <w:pPr>
      <w:pStyle w:val="Cabealho"/>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inline distT="0" distB="0" distL="0" distR="0">
          <wp:extent cx="4381500" cy="842010"/>
          <wp:effectExtent l="0" t="0" r="0" b="0"/>
          <wp:docPr id="32" name="Figura4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ura4 Copia 1" descr=""/>
                  <pic:cNvPicPr>
                    <a:picLocks noChangeAspect="1" noChangeArrowheads="1"/>
                  </pic:cNvPicPr>
                </pic:nvPicPr>
                <pic:blipFill>
                  <a:blip r:embed="rId1"/>
                  <a:srcRect l="-18" t="-93" r="-18" b="-93"/>
                  <a:stretch>
                    <a:fillRect/>
                  </a:stretch>
                </pic:blipFill>
                <pic:spPr bwMode="auto">
                  <a:xfrm>
                    <a:off x="0" y="0"/>
                    <a:ext cx="4381500" cy="842010"/>
                  </a:xfrm>
                  <a:prstGeom prst="rect">
                    <a:avLst/>
                  </a:prstGeom>
                </pic:spPr>
              </pic:pic>
            </a:graphicData>
          </a:graphic>
        </wp:inline>
      </w:drawing>
    </w:r>
  </w:p>
  <w:p>
    <w:pPr>
      <w:pStyle w:val="Cabealho"/>
      <w:jc w:val="cent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408"/>
  <w:autoHyphenation w:val="true"/>
  <w:hyphenationZone w:val="360"/>
  <w:footnotePr>
    <w:numFmt w:val="decimal"/>
    <w:footnote w:id="0"/>
    <w:footnote w:id="1"/>
  </w:footnotePr>
  <w:compat>
    <w:compatSetting w:name="compatibilityMode" w:uri="http://schemas.microsoft.com/office/word" w:val="12"/>
  </w:compat>
  <w:themeFontLang w:val="" w:eastAsia="" w:bidi=""/>
  <w:docVars>
    <w:docVar w:name="Npregão" w:val="108"/>
    <w:docVar w:name="Nprocesso" w:val="403"/>
    <w:docVar w:name="Tjulgamento" w:val="menor preço unitário"/>
    <w:docVar w:name="ObjPregão" w:val="AQUISIÇÃO DE LUMINARIA COM TECNOLOGIA LED"/>
    <w:docVar w:name="Nreq" w:val="1390"/>
    <w:docVar w:name="Qsecretaria" w:val="Secretaria Municipal de Obras, Saneamento e Trânsito"/>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1"/>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tru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character" w:styleId="WW8Num15z0">
    <w:name w:val="WW8Num15z0"/>
    <w:qFormat/>
    <w:rPr>
      <w:color w:val="000000"/>
    </w:rPr>
  </w:style>
  <w:style w:type="character" w:styleId="WW8Num12z2">
    <w:name w:val="WW8Num12z2"/>
    <w:qFormat/>
    <w:rPr>
      <w:rFonts w:ascii="Symbol" w:hAnsi="Symbol" w:cs="OpenSymbol;Arial Unicode MS"/>
    </w:rPr>
  </w:style>
  <w:style w:type="character" w:styleId="WW8Num16z0">
    <w:name w:val="WW8Num16z0"/>
    <w:qFormat/>
    <w:rPr>
      <w:color w:val="000000"/>
    </w:rPr>
  </w:style>
  <w:style w:type="character" w:styleId="WW8Num17z0">
    <w:name w:val="WW8Num17z0"/>
    <w:qFormat/>
    <w:rPr>
      <w:color w:val="000000"/>
    </w:rPr>
  </w:style>
  <w:style w:type="character" w:styleId="WW8Num28z0">
    <w:name w:val="WW8Num28z0"/>
    <w:qFormat/>
    <w:rPr>
      <w:color w:val="000000"/>
    </w:rPr>
  </w:style>
  <w:style w:type="character" w:styleId="WW8Num28z1">
    <w:name w:val="WW8Num28z1"/>
    <w:qFormat/>
    <w:rPr>
      <w:rFonts w:ascii="Arial" w:hAnsi="Arial" w:cs="Arial"/>
      <w:b w:val="false"/>
      <w:bCs w:val="false"/>
      <w:color w:val="000000"/>
      <w:sz w:val="20"/>
      <w:szCs w:val="20"/>
    </w:rPr>
  </w:style>
  <w:style w:type="character" w:styleId="WW8Num28z2">
    <w:name w:val="WW8Num28z2"/>
    <w:qFormat/>
    <w:rPr>
      <w:rFonts w:ascii="Symbol" w:hAnsi="Symbol" w:cs="OpenSymbol;Arial Unicode MS"/>
    </w:rPr>
  </w:style>
  <w:style w:type="character" w:styleId="WW8Num29z0">
    <w:name w:val="WW8Num29z0"/>
    <w:qFormat/>
    <w:rPr>
      <w:color w:val="000000"/>
    </w:rPr>
  </w:style>
  <w:style w:type="character" w:styleId="WW8Num38z0">
    <w:name w:val="WW8Num38z0"/>
    <w:qFormat/>
    <w:rPr>
      <w:color w:val="000000"/>
    </w:rPr>
  </w:style>
  <w:style w:type="character" w:styleId="WW8Num30z0">
    <w:name w:val="WW8Num30z0"/>
    <w:qFormat/>
    <w:rPr>
      <w:rFonts w:ascii="Arial" w:hAnsi="Arial" w:cs="Arial"/>
      <w:b w:val="false"/>
      <w:bCs w:val="false"/>
      <w:color w:val="000000"/>
      <w:sz w:val="20"/>
      <w:szCs w:val="20"/>
    </w:rPr>
  </w:style>
  <w:style w:type="character" w:styleId="WW8Num31z0">
    <w:name w:val="WW8Num31z0"/>
    <w:qFormat/>
    <w:rPr>
      <w:rFonts w:ascii="Symbol" w:hAnsi="Symbol" w:cs="OpenSymbol;Arial Unicode MS"/>
    </w:rPr>
  </w:style>
  <w:style w:type="character" w:styleId="WW8Num18z0">
    <w:name w:val="WW8Num18z0"/>
    <w:qFormat/>
    <w:rPr>
      <w:color w:val="000000"/>
    </w:rPr>
  </w:style>
  <w:style w:type="character" w:styleId="WW8Num18z1">
    <w:name w:val="WW8Num18z1"/>
    <w:qFormat/>
    <w:rPr>
      <w:rFonts w:ascii="Symbol" w:hAnsi="Symbol" w:cs="OpenSymbol;Arial Unicode MS"/>
    </w:rPr>
  </w:style>
  <w:style w:type="character" w:styleId="WW8Num21z0">
    <w:name w:val="WW8Num21z0"/>
    <w:qFormat/>
    <w:rPr>
      <w:rFonts w:ascii="Symbol" w:hAnsi="Symbol" w:cs="OpenSymbol;Arial Unicode MS"/>
    </w:rPr>
  </w:style>
  <w:style w:type="character" w:styleId="WW8Num19z0">
    <w:name w:val="WW8Num19z0"/>
    <w:qFormat/>
    <w:rPr>
      <w:rFonts w:ascii="Symbol" w:hAnsi="Symbol" w:cs="OpenSymbol;Arial Unicode MS"/>
    </w:rPr>
  </w:style>
  <w:style w:type="character" w:styleId="WW8Num20z0">
    <w:name w:val="WW8Num20z0"/>
    <w:qFormat/>
    <w:rPr>
      <w:rFonts w:ascii="Symbol" w:hAnsi="Symbol" w:cs="OpenSymbol;Arial Unicode MS"/>
    </w:rPr>
  </w:style>
  <w:style w:type="character" w:styleId="WW8Num32z0">
    <w:name w:val="WW8Num32z0"/>
    <w:qFormat/>
    <w:rPr>
      <w:rFonts w:ascii="Symbol" w:hAnsi="Symbol" w:cs="OpenSymbol;Arial Unicode MS"/>
    </w:rPr>
  </w:style>
  <w:style w:type="character" w:styleId="WW8Num32z1">
    <w:name w:val="WW8Num32z1"/>
    <w:qFormat/>
    <w:rPr>
      <w:color w:val="000000"/>
    </w:rPr>
  </w:style>
  <w:style w:type="character" w:styleId="WW8Num22z0">
    <w:name w:val="WW8Num22z0"/>
    <w:qFormat/>
    <w:rPr>
      <w:rFonts w:ascii="Symbol" w:hAnsi="Symbol" w:cs="OpenSymbol;Arial Unicode MS"/>
    </w:rPr>
  </w:style>
  <w:style w:type="character" w:styleId="WW8Num23z0">
    <w:name w:val="WW8Num23z0"/>
    <w:qFormat/>
    <w:rPr>
      <w:rFonts w:ascii="Symbol" w:hAnsi="Symbol" w:cs="OpenSymbol;Arial Unicode MS"/>
    </w:rPr>
  </w:style>
  <w:style w:type="character" w:styleId="WW8Num24z0">
    <w:name w:val="WW8Num24z0"/>
    <w:qFormat/>
    <w:rPr>
      <w:rFonts w:ascii="Symbol" w:hAnsi="Symbol" w:cs="OpenSymbol;Arial Unicode MS"/>
    </w:rPr>
  </w:style>
  <w:style w:type="character" w:styleId="WW8Num25z0">
    <w:name w:val="WW8Num25z0"/>
    <w:qFormat/>
    <w:rPr>
      <w:rFonts w:ascii="Symbol" w:hAnsi="Symbol" w:cs="OpenSymbol;Arial Unicode MS"/>
    </w:rPr>
  </w:style>
  <w:style w:type="character" w:styleId="WW8Num33z0">
    <w:name w:val="WW8Num33z0"/>
    <w:qFormat/>
    <w:rPr>
      <w:color w:val="000000"/>
    </w:rPr>
  </w:style>
  <w:style w:type="character" w:styleId="WW8Num27z0">
    <w:name w:val="WW8Num27z0"/>
    <w:qFormat/>
    <w:rPr>
      <w:color w:val="000000"/>
    </w:rPr>
  </w:style>
  <w:style w:type="character" w:styleId="WW8Num26z0">
    <w:name w:val="WW8Num26z0"/>
    <w:qFormat/>
    <w:rPr>
      <w:color w:val="000000"/>
    </w:rPr>
  </w:style>
  <w:style w:type="character" w:styleId="WW8Num26z1">
    <w:name w:val="WW8Num26z1"/>
    <w:qFormat/>
    <w:rPr>
      <w:rFonts w:ascii="Symbol" w:hAnsi="Symbol" w:cs="OpenSymbol;Arial Unicode MS"/>
    </w:rPr>
  </w:style>
  <w:style w:type="character" w:styleId="WW8Num34z0">
    <w:name w:val="WW8Num34z0"/>
    <w:qFormat/>
    <w:rPr>
      <w:rFonts w:ascii="OpenSymbol;Arial Unicode MS" w:hAnsi="OpenSymbol;Arial Unicode MS" w:cs="OpenSymbol;Arial Unicode MS"/>
    </w:rPr>
  </w:style>
  <w:style w:type="character" w:styleId="WW8Num34z1">
    <w:name w:val="WW8Num34z1"/>
    <w:qFormat/>
    <w:rPr>
      <w:rFonts w:ascii="Symbol" w:hAnsi="Symbol" w:cs="OpenSymbol;Arial Unicode MS"/>
    </w:rPr>
  </w:style>
  <w:style w:type="character" w:styleId="WW8Num35z0">
    <w:name w:val="WW8Num35z0"/>
    <w:qFormat/>
    <w:rPr>
      <w:rFonts w:ascii="OpenSymbol;Arial Unicode MS" w:hAnsi="OpenSymbol;Arial Unicode MS" w:cs="OpenSymbol;Arial Unicode MS"/>
    </w:rPr>
  </w:style>
  <w:style w:type="character" w:styleId="WW8Num35z1">
    <w:name w:val="WW8Num35z1"/>
    <w:qFormat/>
    <w:rPr>
      <w:rFonts w:ascii="Symbol" w:hAnsi="Symbol" w:cs="OpenSymbol;Arial Unicode MS"/>
    </w:rPr>
  </w:style>
  <w:style w:type="character" w:styleId="WW8Num36z0">
    <w:name w:val="WW8Num36z0"/>
    <w:qFormat/>
    <w:rPr>
      <w:rFonts w:ascii="OpenSymbol;Arial Unicode MS" w:hAnsi="OpenSymbol;Arial Unicode MS" w:cs="OpenSymbol;Arial Unicode MS"/>
    </w:rPr>
  </w:style>
  <w:style w:type="character" w:styleId="WW8Num36z1">
    <w:name w:val="WW8Num36z1"/>
    <w:qFormat/>
    <w:rPr>
      <w:rFonts w:ascii="Arial" w:hAnsi="Arial" w:cs="Arial"/>
      <w:b w:val="false"/>
      <w:bCs w:val="false"/>
      <w:color w:val="000000"/>
      <w:sz w:val="20"/>
      <w:szCs w:val="20"/>
    </w:rPr>
  </w:style>
  <w:style w:type="character" w:styleId="WW8Num36z2">
    <w:name w:val="WW8Num36z2"/>
    <w:qFormat/>
    <w:rPr>
      <w:rFonts w:ascii="Symbol" w:hAnsi="Symbol" w:cs="OpenSymbol;Arial Unicode MS"/>
    </w:rPr>
  </w:style>
  <w:style w:type="character" w:styleId="WW8Num37z0">
    <w:name w:val="WW8Num37z0"/>
    <w:qFormat/>
    <w:rPr>
      <w:rFonts w:ascii="OpenSymbol;Arial Unicode MS" w:hAnsi="OpenSymbol;Arial Unicode MS" w:cs="OpenSymbol;Arial Unicode MS"/>
    </w:rPr>
  </w:style>
  <w:style w:type="character" w:styleId="WW8Num37z1">
    <w:name w:val="WW8Num37z1"/>
    <w:qFormat/>
    <w:rPr>
      <w:rFonts w:ascii="Symbol" w:hAnsi="Symbol" w:cs="OpenSymbol;Arial Unicode MS"/>
    </w:rPr>
  </w:style>
  <w:style w:type="character" w:styleId="Footnotereference11">
    <w:name w:val="footnote reference11"/>
    <w:qFormat/>
    <w:rPr>
      <w:vertAlign w:val="superscript"/>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true"/>
      <w:ind w:left="0" w:right="0" w:firstLine="720"/>
      <w:jc w:val="both"/>
    </w:pPr>
    <w:rPr>
      <w:kern w:val="0"/>
      <w:sz w:val="24"/>
    </w:rPr>
  </w:style>
  <w:style w:type="paragraph" w:styleId="Normal1">
    <w:name w:val="Normal1"/>
    <w:basedOn w:val="Normal"/>
    <w:qFormat/>
    <w:pPr>
      <w:suppressAutoHyphens w:val="true"/>
      <w:overflowPunct w:val="fals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tru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fals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tru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tru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fals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fals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tru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1"/>
      </w:numPr>
      <w:overflowPunct w:val="tru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1"/>
      </w:numPr>
      <w:jc w:val="center"/>
    </w:pPr>
    <w:rPr>
      <w:b/>
      <w:bCs/>
      <w:sz w:val="52"/>
    </w:rPr>
  </w:style>
  <w:style w:type="paragraph" w:styleId="Heading21">
    <w:name w:val="Heading 21"/>
    <w:basedOn w:val="Normal"/>
    <w:next w:val="Normal"/>
    <w:qFormat/>
    <w:pPr>
      <w:keepNext w:val="true"/>
      <w:numPr>
        <w:ilvl w:val="0"/>
        <w:numId w:val="1"/>
      </w:numPr>
      <w:ind w:left="0" w:right="0" w:hanging="0"/>
      <w:jc w:val="center"/>
    </w:pPr>
    <w:rPr>
      <w:b/>
      <w:sz w:val="28"/>
    </w:rPr>
  </w:style>
  <w:style w:type="paragraph" w:styleId="Heading11">
    <w:name w:val="Heading 11"/>
    <w:basedOn w:val="Normal"/>
    <w:next w:val="Normal"/>
    <w:qFormat/>
    <w:pPr>
      <w:keepNext w:val="true"/>
      <w:numPr>
        <w:ilvl w:val="0"/>
        <w:numId w:val="1"/>
      </w:numPr>
      <w:jc w:val="both"/>
    </w:pPr>
    <w:rPr>
      <w:b/>
      <w:bCs/>
    </w:rPr>
  </w:style>
  <w:style w:type="paragraph" w:styleId="LO-normal4">
    <w:name w:val="LO-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5">
    <w:name w:val="WW8Num15"/>
    <w:qFormat/>
  </w:style>
  <w:style w:type="numbering" w:styleId="WW8Num14">
    <w:name w:val="WW8Num14"/>
    <w:qFormat/>
  </w:style>
  <w:style w:type="numbering" w:styleId="WW8Num11">
    <w:name w:val="WW8Num11"/>
    <w:qFormat/>
  </w:style>
  <w:style w:type="numbering" w:styleId="WW8Num12">
    <w:name w:val="WW8Num12"/>
    <w:qFormat/>
  </w:style>
  <w:style w:type="numbering" w:styleId="WW8Num13">
    <w:name w:val="WW8Num13"/>
    <w:qFormat/>
  </w:style>
  <w:style w:type="numbering" w:styleId="WW8Num16">
    <w:name w:val="WW8Num16"/>
    <w:qFormat/>
  </w:style>
  <w:style w:type="numbering" w:styleId="WW8Num17">
    <w:name w:val="WW8Num17"/>
    <w:qFormat/>
  </w:style>
  <w:style w:type="numbering" w:styleId="WW8Num28">
    <w:name w:val="WW8Num28"/>
    <w:qFormat/>
  </w:style>
  <w:style w:type="numbering" w:styleId="WW8Num29">
    <w:name w:val="WW8Num29"/>
    <w:qFormat/>
  </w:style>
  <w:style w:type="numbering" w:styleId="WW8Num38">
    <w:name w:val="WW8Num38"/>
    <w:qFormat/>
  </w:style>
  <w:style w:type="numbering" w:styleId="WW8Num30">
    <w:name w:val="WW8Num30"/>
    <w:qFormat/>
  </w:style>
  <w:style w:type="numbering" w:styleId="WW8Num31">
    <w:name w:val="WW8Num31"/>
    <w:qFormat/>
  </w:style>
  <w:style w:type="numbering" w:styleId="WW8Num18">
    <w:name w:val="WW8Num18"/>
    <w:qFormat/>
  </w:style>
  <w:style w:type="numbering" w:styleId="WW8Num21">
    <w:name w:val="WW8Num21"/>
    <w:qFormat/>
  </w:style>
  <w:style w:type="numbering" w:styleId="WW8Num19">
    <w:name w:val="WW8Num19"/>
    <w:qFormat/>
  </w:style>
  <w:style w:type="numbering" w:styleId="WW8Num20">
    <w:name w:val="WW8Num20"/>
    <w:qFormat/>
  </w:style>
  <w:style w:type="numbering" w:styleId="WW8Num32">
    <w:name w:val="WW8Num32"/>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33">
    <w:name w:val="WW8Num33"/>
    <w:qFormat/>
  </w:style>
  <w:style w:type="numbering" w:styleId="WW8Num27">
    <w:name w:val="WW8Num27"/>
    <w:qFormat/>
  </w:style>
  <w:style w:type="numbering" w:styleId="WW8Num26">
    <w:name w:val="WW8Num26"/>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hyperlink" Target="http://www.procelinfo.com.br/main.asp?View={B70B5A3C-19EF-499D-B7BC-D6FF3BABE5FA}" TargetMode="External"/><Relationship Id="rId17" Type="http://schemas.openxmlformats.org/officeDocument/2006/relationships/hyperlink" Target="https://www.gov.br/inmetro/pt-br" TargetMode="External"/><Relationship Id="rId18" Type="http://schemas.openxmlformats.org/officeDocument/2006/relationships/image" Target="media/image4.png"/><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footnotes" Target="footnotes.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_rels/header4.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4157</TotalTime>
  <Application>LibreOffice/7.5.5.2$Windows_X86_64 LibreOffice_project/ca8fe7424262805f223b9a2334bc7181abbcbf5e</Application>
  <AppVersion>15.0000</AppVersion>
  <Pages>81</Pages>
  <Words>33679</Words>
  <Characters>192501</Characters>
  <CharactersWithSpaces>224897</CharactersWithSpaces>
  <Paragraphs>1900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2025-09-16T11:33:06Z</cp:lastPrinted>
  <dcterms:modified xsi:type="dcterms:W3CDTF">2025-09-16T13:15:32Z</dcterms:modified>
  <cp:revision>265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