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360" w:before="0" w:after="0"/>
        <w:jc w:val="center"/>
        <w:rPr>
          <w:rFonts w:ascii="Arial" w:hAnsi="Arial"/>
          <w:sz w:val="22"/>
          <w:szCs w:val="22"/>
        </w:rPr>
      </w:pPr>
      <w:r>
        <w:rPr>
          <w:rFonts w:eastAsia="Arial" w:cs="Arial" w:ascii="Arial" w:hAnsi="Arial"/>
          <w:b/>
          <w:bCs/>
          <w:color w:val="000000"/>
          <w:spacing w:val="14"/>
          <w:sz w:val="22"/>
          <w:szCs w:val="22"/>
          <w:lang w:val="pt-BR" w:eastAsia="pt-BR" w:bidi="ar-SA"/>
        </w:rPr>
        <w:t>PREG</w:t>
      </w:r>
      <w:r>
        <w:rPr>
          <w:rFonts w:cs="Arial" w:ascii="Arial" w:hAnsi="Arial"/>
          <w:b/>
          <w:bCs/>
          <w:color w:val="000000"/>
          <w:sz w:val="22"/>
          <w:szCs w:val="22"/>
        </w:rPr>
        <w:t xml:space="preserve">ÃO ELETRÔNICO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Npregão </w:instrText>
      </w:r>
      <w:r>
        <w:rPr>
          <w:sz w:val="22"/>
          <w:b/>
          <w:szCs w:val="22"/>
          <w:bCs/>
          <w:rFonts w:cs="Arial" w:ascii="Arial" w:hAnsi="Arial"/>
          <w:color w:val="000000"/>
        </w:rPr>
        <w:fldChar w:fldCharType="separate"/>
      </w:r>
      <w:r>
        <w:rPr>
          <w:sz w:val="22"/>
          <w:b/>
          <w:szCs w:val="22"/>
          <w:bCs/>
          <w:rFonts w:cs="Arial" w:ascii="Arial" w:hAnsi="Arial"/>
          <w:color w:val="000000"/>
        </w:rPr>
        <w:t>102</w:t>
      </w:r>
      <w:r>
        <w:rPr>
          <w:sz w:val="22"/>
          <w:b/>
          <w:szCs w:val="22"/>
          <w:bCs/>
          <w:rFonts w:cs="Arial" w:ascii="Arial" w:hAnsi="Arial"/>
          <w:color w:val="000000"/>
        </w:rPr>
        <w:fldChar w:fldCharType="end"/>
      </w:r>
      <w:r>
        <w:rPr>
          <w:rFonts w:cs="Arial" w:ascii="Arial" w:hAnsi="Arial"/>
          <w:b/>
          <w:bCs/>
          <w:color w:val="000000"/>
          <w:sz w:val="22"/>
          <w:szCs w:val="22"/>
        </w:rPr>
        <w:t>/2025</w:t>
      </w:r>
    </w:p>
    <w:p>
      <w:pPr>
        <w:pStyle w:val="Corpodotexto"/>
        <w:spacing w:lineRule="auto" w:line="360" w:before="0" w:after="0"/>
        <w:jc w:val="center"/>
        <w:rPr>
          <w:rFonts w:ascii="Arial" w:hAnsi="Arial"/>
          <w:sz w:val="22"/>
          <w:szCs w:val="22"/>
        </w:rPr>
      </w:pPr>
      <w:r>
        <w:rPr>
          <w:rFonts w:cs="Arial" w:ascii="Arial" w:hAnsi="Arial"/>
          <w:b/>
          <w:bCs/>
          <w:color w:val="000000"/>
          <w:sz w:val="22"/>
          <w:szCs w:val="22"/>
        </w:rPr>
        <w:t>REGISTRO DE PREÇOS</w:t>
      </w:r>
    </w:p>
    <w:p>
      <w:pPr>
        <w:pStyle w:val="Corpodotexto"/>
        <w:spacing w:lineRule="auto" w:line="360" w:before="0" w:after="0"/>
        <w:jc w:val="center"/>
        <w:rPr>
          <w:rFonts w:ascii="Arial" w:hAnsi="Arial"/>
          <w:sz w:val="22"/>
          <w:szCs w:val="22"/>
        </w:rPr>
      </w:pPr>
      <w:r>
        <w:rPr>
          <w:rFonts w:ascii="Arial" w:hAnsi="Arial"/>
          <w:sz w:val="22"/>
          <w:szCs w:val="22"/>
        </w:rPr>
      </w:r>
    </w:p>
    <w:p>
      <w:pPr>
        <w:pStyle w:val="Corpodotexto"/>
        <w:spacing w:lineRule="auto" w:line="360" w:before="0" w:after="0"/>
        <w:jc w:val="center"/>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bCs/>
          <w:color w:val="000000"/>
          <w:sz w:val="22"/>
          <w:szCs w:val="22"/>
        </w:rPr>
        <w:t>Município de Vera Cruz / RS</w:t>
      </w:r>
    </w:p>
    <w:p>
      <w:pPr>
        <w:pStyle w:val="Normal"/>
        <w:spacing w:lineRule="auto" w:line="360"/>
        <w:jc w:val="both"/>
        <w:rPr>
          <w:rFonts w:ascii="Arial" w:hAnsi="Arial"/>
          <w:sz w:val="22"/>
          <w:szCs w:val="22"/>
        </w:rPr>
      </w:pPr>
      <w:r>
        <w:rPr>
          <w:rFonts w:cs="Arial" w:ascii="Arial" w:hAnsi="Arial"/>
          <w:b/>
          <w:bCs/>
          <w:color w:val="000000"/>
          <w:sz w:val="22"/>
          <w:szCs w:val="22"/>
        </w:rPr>
        <w:t xml:space="preserve">Processo Administrativo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Nprocesso </w:instrText>
      </w:r>
      <w:r>
        <w:rPr>
          <w:sz w:val="22"/>
          <w:b/>
          <w:szCs w:val="22"/>
          <w:bCs/>
          <w:rFonts w:cs="Arial" w:ascii="Arial" w:hAnsi="Arial"/>
          <w:color w:val="000000"/>
        </w:rPr>
        <w:fldChar w:fldCharType="separate"/>
      </w:r>
      <w:r>
        <w:rPr>
          <w:sz w:val="22"/>
          <w:b/>
          <w:szCs w:val="22"/>
          <w:bCs/>
          <w:rFonts w:cs="Arial" w:ascii="Arial" w:hAnsi="Arial"/>
          <w:color w:val="000000"/>
        </w:rPr>
        <w:t>376</w:t>
      </w:r>
      <w:r>
        <w:rPr>
          <w:sz w:val="22"/>
          <w:b/>
          <w:szCs w:val="22"/>
          <w:bCs/>
          <w:rFonts w:cs="Arial" w:ascii="Arial" w:hAnsi="Arial"/>
          <w:color w:val="000000"/>
        </w:rPr>
        <w:fldChar w:fldCharType="end"/>
      </w:r>
      <w:r>
        <w:rPr>
          <w:rFonts w:cs="Arial" w:ascii="Arial" w:hAnsi="Arial"/>
          <w:b/>
          <w:bCs/>
          <w:color w:val="000000"/>
          <w:sz w:val="22"/>
          <w:szCs w:val="22"/>
        </w:rPr>
        <w:t>/2025</w:t>
      </w:r>
    </w:p>
    <w:p>
      <w:pPr>
        <w:pStyle w:val="Normal"/>
        <w:spacing w:lineRule="auto" w:line="360"/>
        <w:ind w:left="0" w:right="0" w:hanging="0"/>
        <w:jc w:val="both"/>
        <w:rPr>
          <w:rFonts w:ascii="Arial" w:hAnsi="Arial"/>
          <w:sz w:val="22"/>
          <w:szCs w:val="22"/>
        </w:rPr>
      </w:pPr>
      <w:r>
        <w:rPr>
          <w:rFonts w:ascii="Arial" w:hAnsi="Arial"/>
          <w:sz w:val="22"/>
          <w:szCs w:val="22"/>
        </w:rPr>
      </w:r>
    </w:p>
    <w:p>
      <w:pPr>
        <w:pStyle w:val="Normal"/>
        <w:spacing w:lineRule="auto" w:line="360"/>
        <w:ind w:left="0" w:right="0" w:hanging="0"/>
        <w:jc w:val="both"/>
        <w:rPr>
          <w:rFonts w:ascii="Arial" w:hAnsi="Arial"/>
          <w:sz w:val="22"/>
          <w:szCs w:val="22"/>
        </w:rPr>
      </w:pPr>
      <w:r>
        <w:rPr>
          <w:rFonts w:ascii="Arial" w:hAnsi="Arial"/>
          <w:b/>
          <w:bCs/>
          <w:sz w:val="22"/>
          <w:szCs w:val="22"/>
        </w:rPr>
        <w:t xml:space="preserve">O presente processo licitatório é dirigido à participação EXCLUSIVA de Microempresa (ME), Microempreendedor Individual (MEI) ou Empresa de Pequeno Porte (EPP), nos termos do inciso I do artigo 48 da Lei Complementar nº 123/2006. </w:t>
      </w:r>
    </w:p>
    <w:p>
      <w:pPr>
        <w:pStyle w:val="Normal"/>
        <w:spacing w:lineRule="auto" w:line="36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36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360"/>
        <w:jc w:val="both"/>
        <w:rPr>
          <w:rFonts w:ascii="Arial" w:hAnsi="Arial"/>
          <w:sz w:val="22"/>
          <w:szCs w:val="22"/>
        </w:rPr>
      </w:pPr>
      <w:r>
        <w:rPr>
          <w:rFonts w:cs="Arial" w:ascii="Arial" w:hAnsi="Arial"/>
          <w:b/>
          <w:color w:val="000000"/>
          <w:sz w:val="22"/>
          <w:szCs w:val="22"/>
        </w:rPr>
        <w:t>O PREFEITO MUNICIPAL DE VERA CRUZ / RS</w:t>
      </w:r>
      <w:r>
        <w:rPr>
          <w:rFonts w:cs="Arial" w:ascii="Arial" w:hAnsi="Arial"/>
          <w:color w:val="000000"/>
          <w:sz w:val="22"/>
          <w:szCs w:val="22"/>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rPr>
        <w:fldChar w:fldCharType="begin"/>
      </w:r>
      <w:r>
        <w:rPr>
          <w:sz w:val="22"/>
          <w:szCs w:val="22"/>
          <w:rFonts w:cs="Arial" w:ascii="Arial" w:hAnsi="Arial"/>
          <w:color w:val="000000"/>
        </w:rPr>
        <w:instrText xml:space="preserve"> DOCVARIABLE Tjulgamento </w:instrText>
      </w:r>
      <w:r>
        <w:rPr>
          <w:sz w:val="22"/>
          <w:szCs w:val="22"/>
          <w:rFonts w:cs="Arial" w:ascii="Arial" w:hAnsi="Arial"/>
          <w:color w:val="000000"/>
        </w:rPr>
        <w:fldChar w:fldCharType="separate"/>
      </w:r>
      <w:r>
        <w:rPr>
          <w:sz w:val="22"/>
          <w:szCs w:val="22"/>
          <w:rFonts w:cs="Arial" w:ascii="Arial" w:hAnsi="Arial"/>
          <w:color w:val="000000"/>
        </w:rPr>
        <w:t>menor preço unitário</w:t>
      </w:r>
      <w:r>
        <w:rPr>
          <w:sz w:val="22"/>
          <w:szCs w:val="22"/>
          <w:rFonts w:cs="Arial" w:ascii="Arial" w:hAnsi="Arial"/>
          <w:color w:val="000000"/>
        </w:rPr>
        <w:fldChar w:fldCharType="end"/>
      </w:r>
      <w:r>
        <w:rPr>
          <w:rFonts w:cs="Arial" w:ascii="Arial" w:hAnsi="Arial"/>
          <w:color w:val="000000"/>
          <w:sz w:val="22"/>
          <w:szCs w:val="22"/>
        </w:rPr>
        <w:t>, tendo por objetivo a</w:t>
      </w:r>
      <w:r>
        <w:rPr>
          <w:rFonts w:cs="Arial" w:ascii="Arial" w:hAnsi="Arial"/>
          <w:color w:val="000000"/>
          <w:sz w:val="22"/>
          <w:szCs w:val="22"/>
          <w:shd w:fill="auto" w:val="clear"/>
        </w:rPr>
        <w:t xml:space="preserv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DE MATERIAL ESPORTIVO</w:t>
      </w:r>
      <w:r>
        <w:rPr>
          <w:sz w:val="22"/>
          <w:b/>
          <w:shd w:fill="auto" w:val="clear"/>
          <w:szCs w:val="22"/>
          <w:bCs/>
          <w:rFonts w:cs="Arial" w:ascii="Arial" w:hAnsi="Arial"/>
          <w:color w:val="000000"/>
        </w:rPr>
        <w:fldChar w:fldCharType="end"/>
      </w:r>
      <w:r>
        <w:rPr>
          <w:rFonts w:cs="Arial" w:ascii="Arial" w:hAnsi="Arial"/>
          <w:color w:val="000000"/>
          <w:sz w:val="22"/>
          <w:szCs w:val="22"/>
        </w:rPr>
        <w:t>, conforme descrito nesse edital e seus anexos, e nos termos da Lei Federal nº 14.133, de 1º de abril de 2021, e do Decreto Municipal nº 7.201/2023.</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tbl>
      <w:tblPr>
        <w:tblW w:w="10268" w:type="dxa"/>
        <w:jc w:val="left"/>
        <w:tblInd w:w="62" w:type="dxa"/>
        <w:tblLayout w:type="fixed"/>
        <w:tblCellMar>
          <w:top w:w="55" w:type="dxa"/>
          <w:left w:w="55" w:type="dxa"/>
          <w:bottom w:w="55" w:type="dxa"/>
          <w:right w:w="55" w:type="dxa"/>
        </w:tblCellMar>
      </w:tblPr>
      <w:tblGrid>
        <w:gridCol w:w="10268"/>
      </w:tblGrid>
      <w:tr>
        <w:trPr>
          <w:trHeight w:val="2441" w:hRule="atLeast"/>
        </w:trPr>
        <w:tc>
          <w:tcPr>
            <w:tcW w:w="1026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CADASTRO DAS PROPOSTAS INICIAIS ATÉ: 30/10/2025 – 07:55hs</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DATA DA SESSÃO: 30/10/2025</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HORÁRIO: 08hs</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LOCAL: www.portaldecompraspublicas.com.br</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MODO DE DISPUTA: Aberto</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IMPUGNAÇÕES E ESCLARECIMENTOS: até as 23:59hs do dia 27/10/2025</w:t>
            </w:r>
          </w:p>
        </w:tc>
      </w:tr>
    </w:tbl>
    <w:p>
      <w:pPr>
        <w:pStyle w:val="Normal"/>
        <w:widowControl w:val="false"/>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 Pregão Eletrônico será realizado em sessão pública, por meio da </w:t>
      </w:r>
      <w:r>
        <w:rPr>
          <w:rFonts w:cs="Arial" w:ascii="Arial" w:hAnsi="Arial"/>
          <w:b/>
          <w:bCs/>
          <w:i/>
          <w:iCs/>
          <w:color w:val="000000"/>
          <w:sz w:val="22"/>
          <w:szCs w:val="22"/>
        </w:rPr>
        <w:t>INTERNET</w:t>
      </w:r>
      <w:r>
        <w:rPr>
          <w:rFonts w:cs="Arial" w:ascii="Arial" w:hAnsi="Arial"/>
          <w:color w:val="000000"/>
          <w:sz w:val="22"/>
          <w:szCs w:val="22"/>
        </w:rPr>
        <w:t>, mediante condições de segurança – criptografia e autenticação – em todas as suas fases através do Sistema de Pregão Eletrônico (licitações) do Portal de Compras Públicas;</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360"/>
        <w:jc w:val="both"/>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val="false"/>
          <w:bCs w:val="false"/>
          <w:color w:val="000000"/>
          <w:sz w:val="22"/>
          <w:szCs w:val="22"/>
        </w:rPr>
        <w:t>Agente de Contratação designado: Eunice Rosimeri Konzen Rodrigues</w:t>
      </w:r>
    </w:p>
    <w:p>
      <w:pPr>
        <w:pStyle w:val="Normal"/>
        <w:spacing w:lineRule="auto" w:line="360"/>
        <w:jc w:val="both"/>
        <w:rPr>
          <w:rFonts w:ascii="Arial" w:hAnsi="Arial"/>
          <w:sz w:val="22"/>
          <w:szCs w:val="22"/>
        </w:rPr>
      </w:pPr>
      <w:r>
        <w:rPr>
          <w:rFonts w:cs="Arial" w:ascii="Arial" w:hAnsi="Arial"/>
          <w:b w:val="false"/>
          <w:bCs w:val="false"/>
          <w:color w:val="000000"/>
          <w:sz w:val="22"/>
          <w:szCs w:val="22"/>
        </w:rPr>
        <w:t>Equipe de apoio: Alexandra Barcelos Vogt e Jonny Francisco Wagner.</w:t>
      </w:r>
    </w:p>
    <w:p>
      <w:pPr>
        <w:pStyle w:val="Normal"/>
        <w:spacing w:lineRule="auto" w:line="360"/>
        <w:jc w:val="both"/>
        <w:rPr>
          <w:rFonts w:ascii="Arial" w:hAnsi="Arial" w:cs="Arial"/>
          <w:b/>
          <w:color w:val="000000"/>
          <w:sz w:val="22"/>
          <w:szCs w:val="22"/>
        </w:rPr>
      </w:pPr>
      <w:r>
        <w:rPr>
          <w:rFonts w:cs="Arial" w:ascii="Arial" w:hAnsi="Arial"/>
          <w:b/>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1. DO OBJETO:</w:t>
      </w:r>
    </w:p>
    <w:p>
      <w:pPr>
        <w:pStyle w:val="Normal"/>
        <w:spacing w:lineRule="auto" w:line="360"/>
        <w:jc w:val="both"/>
        <w:rPr>
          <w:rFonts w:ascii="Arial" w:hAnsi="Arial"/>
          <w:sz w:val="22"/>
          <w:szCs w:val="22"/>
        </w:rPr>
      </w:pPr>
      <w:r>
        <w:rPr>
          <w:rFonts w:cs="Arial" w:ascii="Arial" w:hAnsi="Arial"/>
          <w:b/>
          <w:color w:val="000000"/>
          <w:sz w:val="22"/>
          <w:szCs w:val="22"/>
        </w:rPr>
        <w:t xml:space="preserve">1.1 </w:t>
      </w:r>
      <w:r>
        <w:rPr>
          <w:rFonts w:cs="Arial" w:ascii="Arial" w:hAnsi="Arial"/>
          <w:color w:val="000000"/>
          <w:sz w:val="22"/>
          <w:szCs w:val="22"/>
        </w:rPr>
        <w:t xml:space="preserve">O objeto da presente licitação é </w:t>
      </w:r>
      <w:r>
        <w:rPr>
          <w:rFonts w:cs="Arial" w:ascii="Arial" w:hAnsi="Arial"/>
          <w:b/>
          <w:bCs/>
          <w:color w:val="000000"/>
          <w:sz w:val="22"/>
          <w:szCs w:val="22"/>
        </w:rPr>
        <w:t xml:space="preserve">PREGÃO ELETRÔNICO para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ObjPregão </w:instrText>
      </w:r>
      <w:r>
        <w:rPr>
          <w:sz w:val="22"/>
          <w:b/>
          <w:szCs w:val="22"/>
          <w:bCs/>
          <w:rFonts w:cs="Arial" w:ascii="Arial" w:hAnsi="Arial"/>
          <w:color w:val="000000"/>
        </w:rPr>
        <w:fldChar w:fldCharType="separate"/>
      </w:r>
      <w:r>
        <w:rPr>
          <w:sz w:val="22"/>
          <w:b/>
          <w:szCs w:val="22"/>
          <w:bCs/>
          <w:rFonts w:cs="Arial" w:ascii="Arial" w:hAnsi="Arial"/>
          <w:color w:val="000000"/>
        </w:rPr>
        <w:t>AQUISIÇÃO DE MATERIAL ESPORTIVO</w:t>
      </w:r>
      <w:r>
        <w:rPr>
          <w:sz w:val="22"/>
          <w:b/>
          <w:szCs w:val="22"/>
          <w:bCs/>
          <w:rFonts w:cs="Arial" w:ascii="Arial" w:hAnsi="Arial"/>
          <w:color w:val="000000"/>
        </w:rPr>
        <w:fldChar w:fldCharType="end"/>
      </w:r>
      <w:r>
        <w:rPr>
          <w:rFonts w:cs="Arial" w:ascii="Arial" w:hAnsi="Arial"/>
          <w:color w:val="000000"/>
          <w:sz w:val="22"/>
          <w:szCs w:val="22"/>
        </w:rPr>
        <w:t xml:space="preserve">, para atender as necessidades da Administração Pública Municipal, conforme condições, quantidades e exigências estabelecidas no </w:t>
      </w:r>
      <w:r>
        <w:rPr>
          <w:rFonts w:cs="Arial" w:ascii="Arial" w:hAnsi="Arial"/>
          <w:b/>
          <w:bCs/>
          <w:color w:val="000000"/>
          <w:sz w:val="22"/>
          <w:szCs w:val="22"/>
        </w:rPr>
        <w:t>Termo de Referência – Anexo I</w:t>
      </w:r>
      <w:r>
        <w:rPr>
          <w:rFonts w:cs="Arial" w:ascii="Arial" w:hAnsi="Arial"/>
          <w:color w:val="000000"/>
          <w:sz w:val="22"/>
          <w:szCs w:val="22"/>
        </w:rPr>
        <w:t xml:space="preserve"> (baseado na Requisição de Compras nº </w:t>
      </w:r>
      <w:r>
        <w:rPr>
          <w:rFonts w:cs="Arial" w:ascii="Arial" w:hAnsi="Arial"/>
          <w:color w:val="000000"/>
          <w:sz w:val="22"/>
          <w:szCs w:val="22"/>
        </w:rPr>
        <w:fldChar w:fldCharType="begin"/>
      </w:r>
      <w:r>
        <w:rPr>
          <w:sz w:val="22"/>
          <w:szCs w:val="22"/>
          <w:rFonts w:cs="Arial" w:ascii="Arial" w:hAnsi="Arial"/>
          <w:color w:val="000000"/>
        </w:rPr>
        <w:instrText xml:space="preserve"> DOCVARIABLE Nreq </w:instrText>
      </w:r>
      <w:r>
        <w:rPr>
          <w:sz w:val="22"/>
          <w:szCs w:val="22"/>
          <w:rFonts w:cs="Arial" w:ascii="Arial" w:hAnsi="Arial"/>
          <w:color w:val="000000"/>
        </w:rPr>
        <w:fldChar w:fldCharType="separate"/>
      </w:r>
      <w:r>
        <w:rPr>
          <w:sz w:val="22"/>
          <w:szCs w:val="22"/>
          <w:rFonts w:cs="Arial" w:ascii="Arial" w:hAnsi="Arial"/>
          <w:color w:val="000000"/>
        </w:rPr>
        <w:t>1338</w:t>
      </w:r>
      <w:r>
        <w:rPr>
          <w:sz w:val="22"/>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rPr>
        <w:t>).</w:t>
      </w:r>
    </w:p>
    <w:p>
      <w:pPr>
        <w:pStyle w:val="Normal"/>
        <w:spacing w:lineRule="auto" w:line="360"/>
        <w:jc w:val="both"/>
        <w:rPr>
          <w:rFonts w:ascii="Arial" w:hAnsi="Arial"/>
          <w:sz w:val="22"/>
          <w:szCs w:val="22"/>
        </w:rPr>
      </w:pPr>
      <w:r>
        <w:rPr>
          <w:rFonts w:cs="Arial" w:ascii="Arial" w:hAnsi="Arial"/>
          <w:b/>
          <w:bCs/>
          <w:color w:val="000000"/>
          <w:sz w:val="22"/>
          <w:szCs w:val="22"/>
        </w:rPr>
        <w:t xml:space="preserve">1.2 </w:t>
      </w:r>
      <w:r>
        <w:rPr>
          <w:rFonts w:cs="Arial" w:ascii="Arial" w:hAnsi="Arial"/>
          <w:color w:val="000000"/>
          <w:sz w:val="22"/>
          <w:szCs w:val="22"/>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360"/>
        <w:jc w:val="both"/>
        <w:rPr>
          <w:rFonts w:ascii="Arial" w:hAnsi="Arial"/>
          <w:sz w:val="22"/>
          <w:szCs w:val="22"/>
        </w:rPr>
      </w:pPr>
      <w:r>
        <w:rPr>
          <w:rFonts w:cs="Arial" w:ascii="Arial" w:hAnsi="Arial"/>
          <w:b/>
          <w:color w:val="000000"/>
          <w:sz w:val="22"/>
          <w:szCs w:val="22"/>
        </w:rPr>
        <w:t>1.3</w:t>
      </w:r>
      <w:r>
        <w:rPr>
          <w:rFonts w:cs="Arial" w:ascii="Arial" w:hAnsi="Arial"/>
          <w:b w:val="false"/>
          <w:bCs w:val="false"/>
          <w:i w:val="false"/>
          <w:caps w:val="false"/>
          <w:smallCaps w:val="false"/>
          <w:color w:val="000000"/>
          <w:spacing w:val="0"/>
          <w:sz w:val="22"/>
          <w:szCs w:val="22"/>
        </w:rPr>
        <w:t xml:space="preserve"> O </w:t>
      </w:r>
      <w:r>
        <w:rPr>
          <w:rFonts w:cs="Arial" w:ascii="Arial" w:hAnsi="Arial"/>
          <w:b w:val="false"/>
          <w:i w:val="false"/>
          <w:caps w:val="false"/>
          <w:smallCaps w:val="false"/>
          <w:color w:val="000000"/>
          <w:spacing w:val="0"/>
          <w:sz w:val="22"/>
          <w:szCs w:val="22"/>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360" w:before="0" w:after="0"/>
        <w:ind w:left="0" w:right="0" w:hanging="0"/>
        <w:jc w:val="both"/>
        <w:rPr>
          <w:rFonts w:ascii="Arial" w:hAnsi="Arial"/>
          <w:sz w:val="22"/>
          <w:szCs w:val="22"/>
        </w:rPr>
      </w:pPr>
      <w:r>
        <w:rPr>
          <w:rFonts w:cs="Arial" w:ascii="Arial" w:hAnsi="Arial"/>
          <w:b/>
          <w:bCs/>
          <w:i w:val="false"/>
          <w:caps w:val="false"/>
          <w:smallCaps w:val="false"/>
          <w:color w:val="000000"/>
          <w:spacing w:val="0"/>
          <w:sz w:val="22"/>
          <w:szCs w:val="22"/>
        </w:rPr>
        <w:t>1.4</w:t>
      </w:r>
      <w:r>
        <w:rPr>
          <w:rFonts w:cs="Arial" w:ascii="Arial" w:hAnsi="Arial"/>
          <w:b w:val="false"/>
          <w:i w:val="false"/>
          <w:caps w:val="false"/>
          <w:smallCaps w:val="false"/>
          <w:color w:val="000000"/>
          <w:spacing w:val="0"/>
          <w:sz w:val="22"/>
          <w:szCs w:val="22"/>
        </w:rPr>
        <w:t xml:space="preserve"> A quantidade mínima a ser cotada de unidades de bens ou, no caso de serviços, de unidades de medida e a prevista na tabela abaixo:</w:t>
      </w:r>
    </w:p>
    <w:p>
      <w:pPr>
        <w:pStyle w:val="Normal"/>
        <w:rPr>
          <w:rFonts w:ascii="Arial" w:hAnsi="Arial"/>
          <w:sz w:val="22"/>
          <w:szCs w:val="22"/>
        </w:rPr>
      </w:pPr>
      <w:r>
        <w:rPr>
          <w:rFonts w:ascii="Arial" w:hAnsi="Arial"/>
          <w:sz w:val="22"/>
          <w:szCs w:val="22"/>
        </w:rPr>
      </w:r>
    </w:p>
    <w:tbl>
      <w:tblPr>
        <w:tblW w:w="10638" w:type="dxa"/>
        <w:jc w:val="left"/>
        <w:tblInd w:w="-34" w:type="dxa"/>
        <w:tblLayout w:type="fixed"/>
        <w:tblCellMar>
          <w:top w:w="0" w:type="dxa"/>
          <w:left w:w="108" w:type="dxa"/>
          <w:bottom w:w="0" w:type="dxa"/>
          <w:right w:w="108" w:type="dxa"/>
        </w:tblCellMar>
      </w:tblPr>
      <w:tblGrid>
        <w:gridCol w:w="675"/>
        <w:gridCol w:w="1023"/>
        <w:gridCol w:w="1244"/>
        <w:gridCol w:w="3969"/>
        <w:gridCol w:w="1701"/>
        <w:gridCol w:w="2025"/>
      </w:tblGrid>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sz w:val="20"/>
                <w:szCs w:val="20"/>
              </w:rPr>
            </w:pPr>
            <w:r>
              <w:rPr>
                <w:rFonts w:eastAsia="Calibri" w:cs="Arial" w:ascii="Arial" w:hAnsi="Arial"/>
                <w:sz w:val="20"/>
                <w:szCs w:val="20"/>
              </w:rPr>
              <w:t>Item</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rFonts w:eastAsia="Calibri" w:cs="Arial" w:ascii="Arial" w:hAnsi="Arial"/>
                <w:sz w:val="20"/>
                <w:szCs w:val="20"/>
              </w:rPr>
              <w:t xml:space="preserve">Código </w:t>
            </w:r>
            <w:r>
              <w:rPr>
                <w:rFonts w:eastAsia="Calibri" w:cs="Arial" w:ascii="Arial" w:hAnsi="Arial"/>
                <w:sz w:val="18"/>
                <w:szCs w:val="18"/>
              </w:rPr>
              <w:t>CATMAT</w:t>
            </w:r>
          </w:p>
        </w:tc>
        <w:tc>
          <w:tcPr>
            <w:tcW w:w="124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sz w:val="20"/>
                <w:szCs w:val="20"/>
              </w:rPr>
            </w:pPr>
            <w:r>
              <w:rPr>
                <w:rFonts w:eastAsia="Calibri" w:cs="Arial" w:ascii="Arial" w:hAnsi="Arial"/>
                <w:sz w:val="20"/>
                <w:szCs w:val="20"/>
              </w:rPr>
              <w:t>Quant</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sz w:val="20"/>
                <w:szCs w:val="20"/>
              </w:rPr>
            </w:pPr>
            <w:r>
              <w:rPr>
                <w:rFonts w:eastAsia="Calibri" w:cs="Arial" w:ascii="Arial" w:hAnsi="Arial"/>
                <w:sz w:val="20"/>
                <w:szCs w:val="20"/>
              </w:rPr>
              <w:t>Objeto</w:t>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sz w:val="20"/>
                <w:szCs w:val="20"/>
              </w:rPr>
            </w:pPr>
            <w:r>
              <w:rPr>
                <w:rFonts w:eastAsia="Calibri" w:cs="Arial" w:ascii="Arial" w:hAnsi="Arial"/>
                <w:sz w:val="20"/>
                <w:szCs w:val="20"/>
              </w:rPr>
              <w:t>Valor unit. R$</w:t>
            </w:r>
          </w:p>
        </w:tc>
        <w:tc>
          <w:tcPr>
            <w:tcW w:w="202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sz w:val="20"/>
                <w:szCs w:val="20"/>
              </w:rPr>
            </w:pPr>
            <w:r>
              <w:rPr>
                <w:rFonts w:eastAsia="Calibri" w:cs="Arial" w:ascii="Arial" w:hAnsi="Arial"/>
                <w:sz w:val="20"/>
                <w:szCs w:val="20"/>
              </w:rPr>
              <w:t>Valor total R$</w:t>
            </w:r>
          </w:p>
        </w:tc>
      </w:tr>
      <w:tr>
        <w:trPr/>
        <w:tc>
          <w:tcPr>
            <w:tcW w:w="10637"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center"/>
              <w:rPr>
                <w:rFonts w:ascii="Arial" w:hAnsi="Arial" w:eastAsia="Calibri" w:cs="Arial"/>
              </w:rPr>
            </w:pPr>
            <w:r>
              <w:rPr>
                <w:rFonts w:eastAsia="Calibri" w:cs="Arial" w:ascii="Arial" w:hAnsi="Arial"/>
              </w:rPr>
            </w:r>
          </w:p>
          <w:p>
            <w:pPr>
              <w:pStyle w:val="Normal"/>
              <w:widowControl w:val="false"/>
              <w:spacing w:lineRule="auto" w:line="360"/>
              <w:jc w:val="center"/>
              <w:rPr>
                <w:rFonts w:ascii="Arial" w:hAnsi="Arial" w:eastAsia="Calibri" w:cs="Arial"/>
              </w:rPr>
            </w:pPr>
            <w:r>
              <w:rPr>
                <w:rFonts w:eastAsia="Calibri" w:cs="Arial" w:ascii="Arial" w:hAnsi="Arial"/>
              </w:rPr>
              <w:t>GRUPO I – MATERIAL EDUCATIVO E ESPORTIVO</w:t>
            </w:r>
          </w:p>
          <w:p>
            <w:pPr>
              <w:pStyle w:val="Normal"/>
              <w:widowControl w:val="false"/>
              <w:spacing w:lineRule="auto" w:line="360"/>
              <w:jc w:val="center"/>
              <w:rPr/>
            </w:pPr>
            <w:r>
              <w:rPr/>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450234</w:t>
            </w:r>
          </w:p>
          <w:p>
            <w:pPr>
              <w:pStyle w:val="Normal"/>
              <w:widowControl w:val="false"/>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bCs/>
                <w:sz w:val="20"/>
                <w:szCs w:val="20"/>
              </w:rPr>
            </w:pPr>
            <w:r>
              <w:rPr>
                <w:rFonts w:cs="Arial" w:ascii="Arial" w:hAnsi="Arial"/>
                <w:b/>
                <w:bCs/>
                <w:sz w:val="20"/>
                <w:szCs w:val="20"/>
              </w:rPr>
              <w:t>BOLA HANDEBOL, (MACIA) MATERIAL: POLIURETANO, PESO CHEIA:290 A 330 G, CARACTERÍSTICAS ADICIONAIS: COSTURADA EM PVC, CÂMARA BUTIL, MIOLO REMOVÍVEL, CIRCUNFERÊNCIA:50 A 52 CM, MODELO: MIRIM (TAMANHO 1).</w:t>
            </w:r>
          </w:p>
          <w:p>
            <w:pPr>
              <w:pStyle w:val="Normal"/>
              <w:widowControl w:val="false"/>
              <w:rPr>
                <w:rFonts w:ascii="Arial" w:hAnsi="Arial" w:cs="Arial"/>
                <w:b/>
                <w:bCs/>
                <w:sz w:val="20"/>
                <w:szCs w:val="20"/>
              </w:rPr>
            </w:pPr>
            <w:r>
              <w:rPr>
                <w:rFonts w:cs="Arial" w:ascii="Arial" w:hAnsi="Arial"/>
                <w:b/>
                <w:bCs/>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R$ 99,00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R$ 9.900,00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pPr>
            <w:r>
              <w:rPr>
                <w:rFonts w:eastAsia="Arial" w:cs="Arial" w:ascii="Arial" w:hAnsi="Arial"/>
                <w:b/>
                <w:bCs/>
                <w:color w:val="000000"/>
                <w:sz w:val="20"/>
                <w:szCs w:val="20"/>
                <w:shd w:fill="FFFFFE" w:val="clear"/>
              </w:rPr>
              <w:t xml:space="preserve"> </w:t>
            </w:r>
            <w:r>
              <w:rPr>
                <w:rFonts w:eastAsia="Calibri" w:cs="Arial" w:ascii="Arial" w:hAnsi="Arial"/>
                <w:b/>
                <w:bCs/>
                <w:color w:val="000000"/>
                <w:sz w:val="20"/>
                <w:szCs w:val="20"/>
                <w:shd w:fill="FFFFFE" w:val="clear"/>
              </w:rPr>
              <w:t>450233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HANDEBOL, (MACIA) MATERIAL: POLIURETANO, PESO CHEIA:325 A 375 G, CARACTERÍSTICAS ADICIONAIS: COSTURADA EM PVC, CÂMARA BUTIL, MIOLO REMOVÍVEL, CIRCUNFERÊNCIA:54 A 56 CM, MODELO: FEMININO (TAMANHO 2).</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R$ 135,14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R$ 13.514,00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w:t>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Arial" w:cs="Arial"/>
                <w:b/>
                <w:bCs/>
                <w:color w:val="000000"/>
                <w:sz w:val="20"/>
                <w:szCs w:val="20"/>
                <w:shd w:fill="FFFFFE" w:val="clear"/>
              </w:rPr>
            </w:pPr>
            <w:r>
              <w:rPr>
                <w:rFonts w:eastAsia="Arial"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403733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FUTSAL, MATERIAL: PU, PESO CHEIA:410 A 440 G, CIRCUNFERÊNCIA:61 A 64 CM, VULCANIZADA OU TERMOCOLADA, MIOLO SUBSTITUÍVEL, CÂMARA AIRVILITY OU AIRBILITY. TIPO PENALTY, TOPPER, KAGIVA, UMBRO OU SUPERIOR. EM CASO DE DIVERGÊNCIA COM O CÓDIGO CATMAT, SERÁ LEVADO EM CONTA A DESCRIÇÃO DO PRODUTO NO EDITAL.</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R$ 100,00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R$ 30.000,00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pPr>
            <w:r>
              <w:rPr>
                <w:rFonts w:eastAsia="Arial" w:cs="Arial" w:ascii="Arial" w:hAnsi="Arial"/>
                <w:b/>
                <w:bCs/>
                <w:color w:val="000000"/>
                <w:sz w:val="20"/>
                <w:szCs w:val="20"/>
                <w:shd w:fill="FFFFFE" w:val="clear"/>
              </w:rPr>
              <w:t xml:space="preserve"> </w:t>
            </w:r>
            <w:r>
              <w:rPr>
                <w:rFonts w:eastAsia="Calibri" w:cs="Arial" w:ascii="Arial" w:hAnsi="Arial"/>
                <w:b/>
                <w:bCs/>
                <w:color w:val="000000"/>
                <w:sz w:val="20"/>
                <w:szCs w:val="20"/>
                <w:shd w:fill="FFFFFE" w:val="clear"/>
              </w:rPr>
              <w:t>442687</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40"/>
              <w:rPr>
                <w:rFonts w:ascii="Arial" w:hAnsi="Arial" w:eastAsia="Calibri" w:cs="Arial"/>
                <w:b/>
                <w:bCs/>
                <w:color w:val="000000"/>
                <w:sz w:val="19"/>
                <w:szCs w:val="20"/>
              </w:rPr>
            </w:pPr>
            <w:r>
              <w:rPr>
                <w:rFonts w:eastAsia="Calibri" w:cs="Arial" w:ascii="Arial" w:hAnsi="Arial"/>
                <w:b/>
                <w:bCs/>
                <w:color w:val="000000"/>
                <w:sz w:val="19"/>
                <w:szCs w:val="20"/>
              </w:rPr>
              <w:t>BOLA FUTSAL ADULTO OFICIAL (PARA COMPETIÇÃO), DIÂMETRO 61 – 64 CM, PESO 410 – 440GR, CÂMARA AIRBILITY, TERMOTEC, PU ULTRA 100%, MIOLO SLIP SYSTEM REMOVÍVEL E LUBRIFICADO, COSTURADA, COM REGISTRO E APROVAÇÃO DA CBFS, FIFA QUALITY.</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R$ 246,99</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R$ 24.699,00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5</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480256</w:t>
            </w:r>
          </w:p>
        </w:tc>
        <w:tc>
          <w:tcPr>
            <w:tcW w:w="1244"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200 UN</w:t>
            </w:r>
          </w:p>
        </w:tc>
        <w:tc>
          <w:tcPr>
            <w:tcW w:w="3969" w:type="dxa"/>
            <w:tcBorders>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FUTSAL INFANTIL PARA COMPETIÇÃO, DIÂMETRO 55 – 59 CM, PESO 350 – 380GR, CÂMARA AIRBILITY OU TERMOTEC, PU ULTRA 100%, MIOLO SLIP SYSTEM REMOVÍVEL E LUBRIFICADO. TIPO PENALTY RX 200 OU SUPERIOR</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R$ 109,40</w:t>
            </w:r>
          </w:p>
        </w:tc>
        <w:tc>
          <w:tcPr>
            <w:tcW w:w="2025"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R$ 21.880,00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403837</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VOLEIBOL ADULTO OFICIAL DE COMPETIÇÃO, DIÂMETRO 65 – 67 CM, PESO 260 – 280GR, CÂMARA AIRBILITY, MATRIZADA, MICROFIBRA, MIOLO SLIP SYSTEM REMOVÍVEL E LUBRIFICADO, APROVADO E CHANCELADA PELA FIVB. TIPO MIKASA V200W, PENALTY 8.0 PRÓ OU SUPERIOR</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R$ 296,32</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R$ 29.632,00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7</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335432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VOLEIBOL, CIRCUNFERÊNCIA:65 A 67 CM, CARACTERÍSTICAS ADICIONAIS: CONFECCIONADA EM PU, CÂMARA BUTIL, AIRBILITY, AIRVILITY OU EVACEL, MIOLO REMOVÍVEL, VULCANIZADA OU COLADA. TIPO KAGIVA PRO, PENALTY 6.0, RAINHA, PENALTY VP 5000 OU SUPERIOR.</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R$ 107,54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R$ 32.262,00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8</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258982</w:t>
            </w:r>
          </w:p>
        </w:tc>
        <w:tc>
          <w:tcPr>
            <w:tcW w:w="1244"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20 UN</w:t>
            </w:r>
          </w:p>
        </w:tc>
        <w:tc>
          <w:tcPr>
            <w:tcW w:w="3969" w:type="dxa"/>
            <w:tcBorders>
              <w:left w:val="single" w:sz="4" w:space="0" w:color="000000"/>
              <w:bottom w:val="single" w:sz="4" w:space="0" w:color="000000"/>
              <w:right w:val="single" w:sz="4" w:space="0" w:color="000000"/>
            </w:tcBorders>
            <w:vAlign w:val="center"/>
          </w:tcPr>
          <w:p>
            <w:pPr>
              <w:pStyle w:val="Normal"/>
              <w:widowControl w:val="false"/>
              <w:rPr/>
            </w:pPr>
            <w:r>
              <w:rPr>
                <w:rFonts w:eastAsia="Calibri" w:cs="Arial" w:ascii="Arial" w:hAnsi="Arial"/>
                <w:b/>
                <w:bCs/>
                <w:color w:val="000000"/>
                <w:sz w:val="19"/>
                <w:szCs w:val="20"/>
              </w:rPr>
              <w:t xml:space="preserve">BOLA VOLEIBOL DE </w:t>
            </w:r>
            <w:r>
              <w:rPr>
                <w:rFonts w:eastAsia="Calibri" w:cs="Arial" w:ascii="Arial" w:hAnsi="Arial"/>
                <w:b/>
                <w:bCs/>
                <w:i/>
                <w:iCs/>
                <w:color w:val="000000"/>
                <w:sz w:val="19"/>
                <w:szCs w:val="20"/>
                <w:u w:val="single"/>
              </w:rPr>
              <w:t>PRAIA</w:t>
            </w:r>
            <w:r>
              <w:rPr>
                <w:rFonts w:eastAsia="Calibri" w:cs="Arial" w:ascii="Arial" w:hAnsi="Arial"/>
                <w:b/>
                <w:bCs/>
                <w:color w:val="000000"/>
                <w:sz w:val="19"/>
                <w:szCs w:val="20"/>
              </w:rPr>
              <w:t xml:space="preserve"> OFICIAL ADULTO PARA COMPETIÇÃO: MATERIAL: MICROFIBRA, PESO CHEIA:260 A 280 G, CIRCUNFERÊNCIA:65 A 67 CM, TIPO USO: ADULTO (CHANCELADA E APROVADA PELA FIVB), PRESSÃO:03 – 04 LB, APLICAÇÃO: VOLEI DE PRAIA, MODELO: PRO, CARACTERíSTICAS ADICIONAIS: COLORIDA. TIPO PENALTY OU MIKASA</w:t>
            </w:r>
          </w:p>
          <w:p>
            <w:pPr>
              <w:pStyle w:val="Normal"/>
              <w:widowControl w:val="false"/>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R$ 455,21</w:t>
            </w:r>
          </w:p>
        </w:tc>
        <w:tc>
          <w:tcPr>
            <w:tcW w:w="2025"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R$ 9.104,20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9</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14832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500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DE VÔLEI EM EVA VULCANIZADO. MATERIAL EXTERNO – EVA – PESO MÍNIMO 70GR, CIRCUNFERÊNCIA – 65 – 67CM, PESO MÍNIMO DA BOLA PRONTA 160GR</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R$ 29,14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14.570,00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10</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14836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150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BASQUETE ADULTO MASCULINO OFICIAL, DIÂMETRO 75 – 78 CM, PESO 600 – 650GR, MICROLINE, MATRIZADA, BORRACHA, MIOLO REMOVÍVEL. TIPO VOLLO POKER OU SUPERIOR</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73,25</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R$ 10.987,50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11</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305575</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40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DE BASQUETEBOL PARA COMPETIÇÃO – BOLA BASQUETE ADULTO MASCULINO OFICIAL, DIÂMETRO 75 – 78 CM, PESO 600 – 650GR, CÂMARA AIRBILITY, MATRIZADA, MICROFIBRA, MIOLO SLIP SYSTEM REMOVÍVEL E LUBRIFICADO, COM APROVAÇÃO E CHANCELA NBB E FIBA, TIPO PENALTY/ 7.8 CROSSOVER OU SUPERIOR</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R$ 342,40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R$ 13.696,00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12</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472016</w:t>
            </w:r>
          </w:p>
        </w:tc>
        <w:tc>
          <w:tcPr>
            <w:tcW w:w="1244"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150 UN</w:t>
            </w:r>
          </w:p>
        </w:tc>
        <w:tc>
          <w:tcPr>
            <w:tcW w:w="3969" w:type="dxa"/>
            <w:tcBorders>
              <w:left w:val="single" w:sz="4" w:space="0" w:color="000000"/>
              <w:bottom w:val="single" w:sz="4" w:space="0" w:color="000000"/>
              <w:right w:val="single" w:sz="4" w:space="0" w:color="000000"/>
            </w:tcBorders>
            <w:vAlign w:val="center"/>
          </w:tcPr>
          <w:p>
            <w:pPr>
              <w:pStyle w:val="Normal"/>
              <w:widowControl w:val="false"/>
              <w:bidi w:val="0"/>
              <w:jc w:val="left"/>
              <w:rPr>
                <w:rFonts w:ascii="Arial" w:hAnsi="Arial" w:eastAsia="Calibri" w:cs="Arial"/>
                <w:b/>
                <w:bCs/>
                <w:i w:val="false"/>
                <w:i w:val="false"/>
                <w:strike w:val="false"/>
                <w:dstrike w:val="false"/>
                <w:outline w:val="false"/>
                <w:shadow w:val="false"/>
                <w:color w:val="000000"/>
                <w:sz w:val="19"/>
                <w:szCs w:val="20"/>
                <w:u w:val="none"/>
                <w:em w:val="none"/>
              </w:rPr>
            </w:pPr>
            <w:r>
              <w:rPr>
                <w:rFonts w:eastAsia="Calibri" w:cs="Arial" w:ascii="Arial" w:hAnsi="Arial"/>
                <w:b/>
                <w:bCs/>
                <w:i w:val="false"/>
                <w:strike w:val="false"/>
                <w:dstrike w:val="false"/>
                <w:outline w:val="false"/>
                <w:shadow w:val="false"/>
                <w:color w:val="000000"/>
                <w:sz w:val="19"/>
                <w:szCs w:val="20"/>
                <w:u w:val="none"/>
                <w:em w:val="none"/>
              </w:rPr>
              <w:t>BOLA FUTEBOL, MATERIAL:100% TERMOPLÁSTICO POLIURETANO, PESO CHEIA: 420 A 435 G, CIRCUNFERÊNCIA: 66,5 A 67,5 CM, MODELO: FUTEBOL SOCIETY. BOLA ADULTO OFICIAL PARA COMPETIÇÃO CHANCELADA PELA FIFA E CBF. TIPO PENALTY 8X, SE7E PRÓ OU SUPERIOR.</w:t>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bidi w:val="0"/>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bidi w:val="0"/>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R$ 176,45</w:t>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tc>
        <w:tc>
          <w:tcPr>
            <w:tcW w:w="2025" w:type="dxa"/>
            <w:tcBorders>
              <w:left w:val="single" w:sz="4" w:space="0" w:color="000000"/>
              <w:bottom w:val="single" w:sz="4" w:space="0" w:color="000000"/>
              <w:right w:val="single" w:sz="4" w:space="0" w:color="000000"/>
            </w:tcBorders>
            <w:vAlign w:val="center"/>
          </w:tcPr>
          <w:p>
            <w:pPr>
              <w:pStyle w:val="Normal"/>
              <w:widowControl w:val="false"/>
              <w:bidi w:val="0"/>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bidi w:val="0"/>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R$ 26.467,50</w:t>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13</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480257</w:t>
            </w:r>
          </w:p>
        </w:tc>
        <w:tc>
          <w:tcPr>
            <w:tcW w:w="1244"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150 UN</w:t>
            </w:r>
          </w:p>
        </w:tc>
        <w:tc>
          <w:tcPr>
            <w:tcW w:w="3969" w:type="dxa"/>
            <w:tcBorders>
              <w:left w:val="single" w:sz="4" w:space="0" w:color="000000"/>
              <w:bottom w:val="single" w:sz="4" w:space="0" w:color="000000"/>
              <w:right w:val="single" w:sz="4" w:space="0" w:color="000000"/>
            </w:tcBorders>
            <w:vAlign w:val="center"/>
          </w:tcPr>
          <w:p>
            <w:pPr>
              <w:pStyle w:val="Normal"/>
              <w:widowControl w:val="false"/>
              <w:bidi w:val="0"/>
              <w:jc w:val="left"/>
              <w:rPr>
                <w:rFonts w:ascii="Arial" w:hAnsi="Arial" w:eastAsia="Calibri" w:cs="Arial"/>
                <w:b/>
                <w:bCs/>
                <w:i w:val="false"/>
                <w:i w:val="false"/>
                <w:strike w:val="false"/>
                <w:dstrike w:val="false"/>
                <w:outline w:val="false"/>
                <w:shadow w:val="false"/>
                <w:color w:val="000000"/>
                <w:sz w:val="19"/>
                <w:szCs w:val="20"/>
                <w:u w:val="none"/>
                <w:em w:val="none"/>
              </w:rPr>
            </w:pPr>
            <w:r>
              <w:rPr>
                <w:rFonts w:eastAsia="Calibri" w:cs="Arial" w:ascii="Arial" w:hAnsi="Arial"/>
                <w:b/>
                <w:bCs/>
                <w:i w:val="false"/>
                <w:strike w:val="false"/>
                <w:dstrike w:val="false"/>
                <w:outline w:val="false"/>
                <w:shadow w:val="false"/>
                <w:color w:val="000000"/>
                <w:sz w:val="19"/>
                <w:szCs w:val="20"/>
                <w:u w:val="none"/>
                <w:em w:val="none"/>
              </w:rPr>
              <w:t>BOLA FUTEBOL DE CAMPO ADULTA, MATERIAL: POLIURETANO, PESO CHEIA: 410 A 450 G, CARACTERÍSTICAS ADICIONAIS: MIOLO REMOVÍVEL E LUBRIFICADO, CIRCUNFERÊNCIA:68 A 70 CM, MODELO: FUTEBOL DE CAMPO OFICIAL, PARA COMPETIÇÃO CHANCELADA PELA FIFA. TIPO PENALTY 8 FIFA, PENALTY S11 ECOKNIT XXV FIFA OU SUPERIOR.</w:t>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R$ 209,9</w:t>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tc>
        <w:tc>
          <w:tcPr>
            <w:tcW w:w="2025"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R$ 31.485,00</w:t>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14</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274322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08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Calibri" w:hAnsi="Calibri" w:eastAsia="Calibri" w:cs="Calibri"/>
                <w:b/>
                <w:bCs/>
                <w:color w:val="000000"/>
                <w:sz w:val="20"/>
                <w:szCs w:val="20"/>
              </w:rPr>
            </w:pPr>
            <w:r>
              <w:rPr>
                <w:rFonts w:eastAsia="Calibri" w:cs="Calibri" w:ascii="Calibri" w:hAnsi="Calibri"/>
                <w:b/>
                <w:bCs/>
                <w:color w:val="000000"/>
                <w:sz w:val="20"/>
                <w:szCs w:val="20"/>
              </w:rPr>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REDE PARA CESTA DE BASQUETEBOL (PAR): REDE PARA BASQUETEBOL 12 ALÇAS, NO MÍNIMO FIO 5 MM (SEDA – SEM ALMA), TRANÇADO ENTRE NÓS 7X7 CM, 45 CM DE DIÂMETRO X 50 CM DE COMPRIMENTO.</w:t>
            </w:r>
          </w:p>
          <w:p>
            <w:pPr>
              <w:pStyle w:val="Normal"/>
              <w:widowControl w:val="false"/>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R$ 46,00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R$ 368,00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15</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251693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12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REDE DE VOLEIBOL OFICIAL: CONFECCIONADA EM FIO 2,0 MM, SEM ALMA, EM SEDA (PRETO) COM TRATAMENTO UV – MALHA 10 CM ENTRE NÓS, E TAMANHO MÍNIMO DE 9,75 METROS DE COMPRIMENTO E NO 1 METRO DE LARGURA, COM AS 4 FAIXAS EM ALGODÃO (BRANCAS), COM AS SEGUINTES MEDIDAS: SUPERIOR 7 CM – INFERIOR E LATERAIS 5 CM, TODAS CONFECCIONADAS EM 100% ALGODÃO, COM ILHOSES NAS PONTAS E CORDA GUIA.</w:t>
            </w:r>
          </w:p>
          <w:p>
            <w:pPr>
              <w:pStyle w:val="Normal"/>
              <w:widowControl w:val="false"/>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R$ 353,36</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R$ 4.240,32</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16</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211571</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REDE DE FUTSAL (PAR): REDE PARA GOLEIRA DE FUTSAL, POPULARMENTE CONHECIDA COMO “VÉU DE NOIVA”. CONFECCIONADA EM FIO DE SEDA DE NO MÍNIMO 5 MM (SEM ALMA) E MALHA MÁXIMA DE 12 CM X 12 CM ENTRE NÓS, CONFECCIONADA A MÃO (COM NÓ), COM ALTURA DE MÍNIMA DE 2,10 METROS, COMPRIMENTO MÍNIMO DE 3,00 METROS, FUNDO SUPERIOR MÍNIMO DE 0,50 METRO E FUNDO INFERIOR MÍNIMO DE 1,00 METRO, COM PROTEÇÃO/TRATAMENTO ULTRAVIOLETA. EM CASO DE DIVERGÊNCIA COM O CÓDIGO CATMAT, SERÁ LEVADO EM CONTA A DESCRIÇÃO DO PRODUTO NO EDITAL.</w:t>
            </w:r>
          </w:p>
          <w:p>
            <w:pPr>
              <w:pStyle w:val="Normal"/>
              <w:widowControl w:val="false"/>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R$ 395,00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R$ 11.850,00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17</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REDE MULTIUSO PARA BEACH TÊNIS, VOLEIBOL DE AREIA E FUTVÔLEI. CONFECCIONADA EM POLIETILENO DE ALTA DENSIDADE, 100% VIRGEM COM TRATAMENTO ANTI-UV (PARA USO EXTERNO), E COM UM ILHÓS EM METAL GALVANIZADO EM CADA EXTREMIDADE. MEDIDA DA REDE: 1,00M DE ALTURA X 9,50M DE COMPRIMENTO, COM 4 FAIXAS DE BORDA EM NYLON NA COR LARANJA (PARA FACILITAR A VISUALIZAÇÃO AO SOL). MALHA: 5CM X 5CM NA COR DA PRETA CONFECCIONADA COM FIO 2MM TORCIDO.</w:t>
            </w:r>
          </w:p>
          <w:p>
            <w:pPr>
              <w:pStyle w:val="Normal"/>
              <w:widowControl w:val="false"/>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R$ 389,00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R$ 3.890,00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18</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602799</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40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Calibri" w:hAnsi="Calibri" w:eastAsia="Calibri" w:cs="Calibri"/>
                <w:b/>
                <w:bCs/>
                <w:color w:val="000000"/>
                <w:sz w:val="20"/>
                <w:szCs w:val="20"/>
              </w:rPr>
            </w:pPr>
            <w:r>
              <w:rPr>
                <w:rFonts w:eastAsia="Calibri" w:cs="Calibri" w:ascii="Calibri" w:hAnsi="Calibri"/>
                <w:b/>
                <w:bCs/>
                <w:color w:val="000000"/>
                <w:sz w:val="20"/>
                <w:szCs w:val="20"/>
              </w:rPr>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REDE ESPORTE, MATERIAL: NÁILON, APLICAÇÃO: TÊNIS DE MESA, CARACTERÍSTICAS ADICIONAIS: TAMANHO OFICIAL, COM SUPORTE (QUE PRENDA NA MESA COM SISTEMA DE ATARRAXAR – PARAFUSO OU BORBOLETA)</w:t>
            </w:r>
          </w:p>
          <w:p>
            <w:pPr>
              <w:pStyle w:val="Normal"/>
              <w:widowControl w:val="false"/>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R$ 86,32</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R$ 3.452,80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19</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466312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snapToGrid w:val="false"/>
              <w:rPr>
                <w:rFonts w:ascii="Arial" w:hAnsi="Arial" w:eastAsia="Calibri" w:cs="Arial"/>
                <w:b/>
                <w:bCs/>
                <w:color w:val="000000"/>
                <w:sz w:val="19"/>
                <w:szCs w:val="20"/>
              </w:rPr>
            </w:pPr>
            <w:r>
              <w:rPr>
                <w:rFonts w:eastAsia="Calibri" w:cs="Arial" w:ascii="Arial" w:hAnsi="Arial"/>
                <w:b/>
                <w:bCs/>
                <w:color w:val="000000"/>
                <w:sz w:val="19"/>
                <w:szCs w:val="20"/>
              </w:rPr>
              <w:t>EQUIPAMENTO PARA CONDICIONAMENTO FÍSICO, TIPO: PELOTA, MATERIAL: COURO, APLICAÇÃO: CONDICIONAMENTO FÍSICO, CARACTERÍSTICAS ADICIONAIS: PESO: 250G, DIMENSÕES:6,5CM A 7,5CM CM</w:t>
            </w:r>
          </w:p>
          <w:p>
            <w:pPr>
              <w:pStyle w:val="Normal"/>
              <w:widowControl w:val="false"/>
              <w:snapToGrid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R$ 30,00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R$ 900,00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20</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447896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15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bCs/>
                <w:color w:val="000000"/>
                <w:sz w:val="19"/>
                <w:szCs w:val="20"/>
              </w:rPr>
            </w:pPr>
            <w:r>
              <w:rPr>
                <w:rFonts w:eastAsia="Calibri" w:cs="Arial" w:ascii="Arial" w:hAnsi="Arial"/>
                <w:b/>
                <w:bCs/>
                <w:color w:val="000000"/>
                <w:sz w:val="19"/>
                <w:szCs w:val="20"/>
              </w:rPr>
              <w:t>DARDO PEÇAS E ACESSÓRIOS, TIPO: DARDO, MATERIAL: ALUMÍNIO, CARACTERÍSTICAS ADICIONAIS: PESO: 800 G, CABEÇA DE AÇO, EMPUNHADURA DE CORDA, APLICAÇÃO: ATLETISMO PARA LANÇAMENTO</w:t>
            </w:r>
          </w:p>
          <w:p>
            <w:pPr>
              <w:pStyle w:val="Normal"/>
              <w:widowControl w:val="false"/>
              <w:snapToGrid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R$ 398,00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R$ 5.970,00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21</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288039</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15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bCs/>
                <w:color w:val="000000"/>
                <w:sz w:val="19"/>
                <w:szCs w:val="20"/>
              </w:rPr>
            </w:pPr>
            <w:r>
              <w:rPr>
                <w:rFonts w:eastAsia="Calibri" w:cs="Arial" w:ascii="Arial" w:hAnsi="Arial"/>
                <w:b/>
                <w:bCs/>
                <w:color w:val="000000"/>
                <w:sz w:val="19"/>
                <w:szCs w:val="20"/>
              </w:rPr>
              <w:t>DARDO PEÇAS E ACESSÓRIOS, TIPO: DARDO, MATERIAL: FIBRA DE AÇO CARBONO, CARACTERÍSTICAS ADICIONAIS: PESO: 600G, CABEÇA DE AÇO ULTRAFINA, APLICAÇÃO: ATLETISMO PARA LANÇAMENTO</w:t>
            </w:r>
          </w:p>
          <w:p>
            <w:pPr>
              <w:pStyle w:val="Normal"/>
              <w:widowControl w:val="false"/>
              <w:snapToGrid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R$ 329,25</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R$ 4.938,75</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22</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237593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snapToGrid w:val="false"/>
              <w:rPr>
                <w:rFonts w:ascii="Arial" w:hAnsi="Arial" w:eastAsia="Calibri" w:cs="Arial"/>
                <w:b/>
                <w:bCs/>
                <w:color w:val="000000"/>
                <w:sz w:val="19"/>
                <w:szCs w:val="20"/>
              </w:rPr>
            </w:pPr>
            <w:r>
              <w:rPr>
                <w:rFonts w:eastAsia="Calibri" w:cs="Arial" w:ascii="Arial" w:hAnsi="Arial"/>
                <w:b/>
                <w:bCs/>
                <w:color w:val="000000"/>
                <w:sz w:val="19"/>
                <w:szCs w:val="20"/>
              </w:rPr>
              <w:t>BASTÃO PARA REVEZAMENTO (ATLETISMO), MATERIAL: ALUMÍNIO, TAMANHO: OFICIAL (IAAF)</w:t>
            </w:r>
          </w:p>
          <w:p>
            <w:pPr>
              <w:pStyle w:val="Normal"/>
              <w:widowControl w:val="false"/>
              <w:snapToGrid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R$ 22,64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R$ 679,20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23</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604846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rFonts w:ascii="Arial" w:hAnsi="Arial" w:eastAsia="Calibri" w:cs="Arial"/>
                <w:b/>
                <w:bCs/>
                <w:i w:val="false"/>
                <w:i w:val="false"/>
                <w:strike w:val="false"/>
                <w:dstrike w:val="false"/>
                <w:outline w:val="false"/>
                <w:shadow w:val="false"/>
                <w:color w:val="000000"/>
                <w:sz w:val="19"/>
                <w:szCs w:val="20"/>
                <w:u w:val="none"/>
                <w:em w:val="none"/>
              </w:rPr>
            </w:pPr>
            <w:r>
              <w:rPr>
                <w:rFonts w:eastAsia="Calibri" w:cs="Arial" w:ascii="Arial" w:hAnsi="Arial"/>
                <w:b/>
                <w:bCs/>
                <w:i w:val="false"/>
                <w:strike w:val="false"/>
                <w:dstrike w:val="false"/>
                <w:outline w:val="false"/>
                <w:shadow w:val="false"/>
                <w:color w:val="000000"/>
                <w:sz w:val="19"/>
                <w:szCs w:val="20"/>
                <w:u w:val="none"/>
                <w:em w:val="none"/>
              </w:rPr>
              <w:t>PESO DE ATLETISMO PARA ARREMESSO DE 5,00KG, COM NO MÁXIMO 115 MM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napToGrid w:val="false"/>
              <w:jc w:val="center"/>
              <w:rPr>
                <w:rFonts w:ascii="Arial" w:hAnsi="Arial" w:eastAsia="Calibri" w:cs="Arial"/>
                <w:b/>
                <w:bCs/>
                <w:color w:val="000000"/>
                <w:sz w:val="19"/>
                <w:szCs w:val="20"/>
              </w:rPr>
            </w:pPr>
            <w:r>
              <w:rPr>
                <w:rFonts w:eastAsia="Calibri" w:cs="Arial" w:ascii="Arial" w:hAnsi="Arial"/>
                <w:b/>
                <w:bCs/>
                <w:color w:val="000000"/>
                <w:sz w:val="19"/>
                <w:szCs w:val="20"/>
              </w:rPr>
            </w:r>
          </w:p>
          <w:p>
            <w:pPr>
              <w:pStyle w:val="Normal"/>
              <w:widowControl w:val="false"/>
              <w:bidi w:val="0"/>
              <w:jc w:val="center"/>
              <w:rPr>
                <w:rFonts w:ascii="Arial" w:hAnsi="Arial" w:eastAsia="Calibri" w:cs="Arial"/>
                <w:b/>
                <w:bCs/>
                <w:color w:val="000000"/>
                <w:sz w:val="19"/>
                <w:szCs w:val="20"/>
              </w:rPr>
            </w:pPr>
            <w:r>
              <w:rPr>
                <w:rFonts w:eastAsia="Calibri" w:cs="Arial" w:ascii="Arial" w:hAnsi="Arial"/>
                <w:b/>
                <w:bCs/>
                <w:color w:val="000000"/>
                <w:sz w:val="19"/>
                <w:szCs w:val="20"/>
              </w:rPr>
            </w:r>
          </w:p>
          <w:p>
            <w:pPr>
              <w:pStyle w:val="Normal"/>
              <w:widowControl w:val="false"/>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R$ 173,87</w:t>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bidi w:val="0"/>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bidi w:val="0"/>
              <w:jc w:val="center"/>
              <w:rPr/>
            </w:pPr>
            <w:r>
              <w:rPr>
                <w:rFonts w:eastAsia="Calibri" w:cs="Arial" w:ascii="Arial" w:hAnsi="Arial"/>
                <w:b/>
                <w:bCs/>
                <w:i w:val="false"/>
                <w:strike w:val="false"/>
                <w:dstrike w:val="false"/>
                <w:outline w:val="false"/>
                <w:shadow w:val="false"/>
                <w:color w:val="000000"/>
                <w:sz w:val="20"/>
                <w:szCs w:val="20"/>
                <w:u w:val="none"/>
                <w:em w:val="none"/>
              </w:rPr>
              <w:t xml:space="preserve">R$ </w:t>
            </w:r>
            <w:r>
              <w:rPr>
                <w:rFonts w:cs="Arial" w:ascii="Arial" w:hAnsi="Arial"/>
                <w:b/>
                <w:bCs/>
                <w:i w:val="false"/>
                <w:strike w:val="false"/>
                <w:dstrike w:val="false"/>
                <w:outline w:val="false"/>
                <w:shadow w:val="false"/>
                <w:sz w:val="20"/>
                <w:szCs w:val="20"/>
                <w:u w:val="none"/>
                <w:em w:val="none"/>
              </w:rPr>
              <w:t>1.738,70</w:t>
            </w:r>
          </w:p>
          <w:p>
            <w:pPr>
              <w:pStyle w:val="Normal"/>
              <w:widowControl w:val="false"/>
              <w:bidi w:val="0"/>
              <w:jc w:val="center"/>
              <w:rPr>
                <w:rFonts w:ascii="Arial" w:hAnsi="Arial" w:eastAsia="Calibri" w:cs="Arial"/>
                <w:b/>
                <w:bCs/>
                <w:color w:val="000000"/>
                <w:sz w:val="20"/>
                <w:szCs w:val="20"/>
              </w:rPr>
            </w:pPr>
            <w:r>
              <w:rPr>
                <w:rFonts w:eastAsia="Calibri" w:cs="Arial" w:ascii="Arial" w:hAnsi="Arial"/>
                <w:b/>
                <w:bCs/>
                <w:color w:val="000000"/>
                <w:sz w:val="20"/>
                <w:szCs w:val="20"/>
              </w:rPr>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24</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604847</w:t>
            </w:r>
          </w:p>
        </w:tc>
        <w:tc>
          <w:tcPr>
            <w:tcW w:w="1244"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 UN</w:t>
            </w:r>
          </w:p>
        </w:tc>
        <w:tc>
          <w:tcPr>
            <w:tcW w:w="3969" w:type="dxa"/>
            <w:tcBorders>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PESO DE ATLETISMO PARA ARREMESSO DE 4,00KG, COM NO MÁXIMO 103MM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171,90</w:t>
            </w:r>
          </w:p>
        </w:tc>
        <w:tc>
          <w:tcPr>
            <w:tcW w:w="2025"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R$ 1.719,00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25</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604847</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PESO DE ATLETISMO PARA ARREMESSO DE 3,00KG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R$ 247,45</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2.474,50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26</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604823</w:t>
            </w:r>
          </w:p>
        </w:tc>
        <w:tc>
          <w:tcPr>
            <w:tcW w:w="1244"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10 UN</w:t>
            </w:r>
          </w:p>
        </w:tc>
        <w:tc>
          <w:tcPr>
            <w:tcW w:w="3969" w:type="dxa"/>
            <w:tcBorders>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DISCO PARA LANÇAMENTO DE DISCO DE ATLETISMO. OFICIAL DE AÇO/ABS 2,00 KG. INDICADO PARA COMPETIÇÕES OU TREINAMENTO. 70~75% DE PESO NAS BORDAS. CENTRO E BORDAS DE AÇO GALVANIZADO, PRATOS DE PLÁSTICO ABS DE ALTA RESISTÊNCIA REFORÇADOS COM FIBRA DE VIDRO. CERTIFICADO PELA IAAF. TIPO VINEX OU SUPERIOR. EM CASO DE DIVERGÊNCIA COM O CÓDIGO CATMAT, SERÁ LEVADO EM CONTA A DESCRIÇÃO DO PRODUTO NO EDITAL.</w:t>
            </w:r>
          </w:p>
          <w:p>
            <w:pPr>
              <w:pStyle w:val="Normal"/>
              <w:widowControl w:val="false"/>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229,80</w:t>
            </w:r>
          </w:p>
        </w:tc>
        <w:tc>
          <w:tcPr>
            <w:tcW w:w="2025"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R$ 2.298,00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27</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604824</w:t>
            </w:r>
          </w:p>
        </w:tc>
        <w:tc>
          <w:tcPr>
            <w:tcW w:w="1244"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10 UN</w:t>
            </w:r>
          </w:p>
        </w:tc>
        <w:tc>
          <w:tcPr>
            <w:tcW w:w="3969"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DISCO PARA LANÇAMENTO DE DISCO DE ATLETISMO. OFICIAL DE AÇO/ABS 1,00 KG. INDICADO PARA COMPETIÇÕES OU TREINAMENTO. 70~75% DE PESO NAS BORDAS. CENTRO E BORDAS DE AÇO GALVANIZADO, PRATOS DE PLÁSTICO ABS DE ALTA RESISTÊNCIA REFORÇADOS COM FIBRA DE VIDRO. CERTIFICADO PELA IAAF. TIPO VINEX OU SUPERIOR. EM CASO DE DIVERGÊNCIA COM O CÓDIGO CATMAT, SERÁ LEVADO EM CONTA A DESCRIÇÃO DO PRODUTO NO EDITAL.</w:t>
            </w:r>
          </w:p>
          <w:p>
            <w:pPr>
              <w:pStyle w:val="Normal"/>
              <w:widowControl w:val="false"/>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t>R$  173,49</w:t>
            </w:r>
          </w:p>
        </w:tc>
        <w:tc>
          <w:tcPr>
            <w:tcW w:w="2025"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t>R$  1.734,90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28</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471988</w:t>
            </w:r>
          </w:p>
        </w:tc>
        <w:tc>
          <w:tcPr>
            <w:tcW w:w="1244"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40 UN</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MESA TÊNIS DE MESA: MATERIAL TAMPO: MDF, MATERIAL ESTRUTURA: TUBO DE AÇO, TIPO: DOBRÁVEL, ACABAMENTO TAMPO: PINTADO, ACABAMENTO ESTRUTURA: PINTURA, ESPESSURA TAMPO:25 MM, COR: AZUL, CARACTERÍSTICAS: COM MEDIDAS OFICIAIS PADRÃO ITTF (INTERNATIONAL).</w:t>
            </w:r>
          </w:p>
          <w:p>
            <w:pPr>
              <w:pStyle w:val="Normal"/>
              <w:widowControl w:val="false"/>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R$ 1.393,00</w:t>
            </w:r>
          </w:p>
        </w:tc>
        <w:tc>
          <w:tcPr>
            <w:tcW w:w="202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R$ 55.720,00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29</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450272</w:t>
            </w:r>
          </w:p>
        </w:tc>
        <w:tc>
          <w:tcPr>
            <w:tcW w:w="1244"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pPr>
            <w:r>
              <w:rPr>
                <w:rFonts w:eastAsia="Calibri" w:cs="Arial" w:ascii="Arial" w:hAnsi="Arial"/>
                <w:b/>
                <w:bCs/>
                <w:color w:val="000000"/>
                <w:sz w:val="20"/>
                <w:szCs w:val="20"/>
                <w:shd w:fill="FFFFFE" w:val="clear"/>
              </w:rPr>
              <w:t xml:space="preserve">50 </w:t>
            </w:r>
            <w:r>
              <w:rPr>
                <w:rFonts w:eastAsia="Calibri" w:cs="Arial" w:ascii="Arial" w:hAnsi="Arial"/>
                <w:b/>
                <w:bCs/>
                <w:color w:val="000000"/>
                <w:sz w:val="18"/>
                <w:szCs w:val="18"/>
                <w:shd w:fill="FFFFFE" w:val="clear"/>
              </w:rPr>
              <w:t>EMBAL.</w:t>
            </w:r>
          </w:p>
        </w:tc>
        <w:tc>
          <w:tcPr>
            <w:tcW w:w="3969" w:type="dxa"/>
            <w:tcBorders>
              <w:left w:val="single" w:sz="4" w:space="0" w:color="000000"/>
              <w:bottom w:val="single" w:sz="4" w:space="0" w:color="000000"/>
              <w:right w:val="single" w:sz="4" w:space="0" w:color="000000"/>
            </w:tcBorders>
          </w:tcPr>
          <w:p>
            <w:pPr>
              <w:pStyle w:val="Normal"/>
              <w:widowControl w:val="false"/>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BOLA DE TÊNIS DE MESA COM NO MÍNIMO TRÊS ESTRELAS, MATERIAL ABS; DIÂMETRO 40 MM. COR LARANJA. EMBALAGEM (DE FÁBRICA) COM 6 UNIDADES. TIPO VOLLO, PISTA E CAMPO OU SUPERIOR. EM CASO DE DIVERGÊNCIA COM O CÓDIGO CATMAT, SERÁ LEVADO EM CONTA A DESCRIÇÃO DO PRODUTO NO EDITAL.</w:t>
            </w:r>
          </w:p>
          <w:p>
            <w:pPr>
              <w:pStyle w:val="Normal"/>
              <w:widowControl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R$ 26,02</w:t>
            </w:r>
          </w:p>
        </w:tc>
        <w:tc>
          <w:tcPr>
            <w:tcW w:w="2025"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R$ 1.301,00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30</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288785</w:t>
            </w:r>
          </w:p>
        </w:tc>
        <w:tc>
          <w:tcPr>
            <w:tcW w:w="1244"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140 UN</w:t>
            </w:r>
          </w:p>
        </w:tc>
        <w:tc>
          <w:tcPr>
            <w:tcW w:w="3969" w:type="dxa"/>
            <w:tcBorders>
              <w:left w:val="single" w:sz="4" w:space="0" w:color="000000"/>
              <w:bottom w:val="single" w:sz="4" w:space="0" w:color="000000"/>
              <w:right w:val="single" w:sz="4" w:space="0" w:color="000000"/>
            </w:tcBorders>
          </w:tcPr>
          <w:p>
            <w:pPr>
              <w:pStyle w:val="Normal"/>
              <w:widowControl w:val="false"/>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RAQUETE ESPORTIVA, MATERIAL CORPO: MADEIRA, REVESTIMENTO CORPO: BORRACHA, TAMANHO:ÚNICO, COR: PRETA, APLICAÇÃO: TÊNIS DE MESA, CARACTERÍSTICAS ADICIONAIS:2 LADOS REVESTIDOS DE BORRACHA, SENDO UMA VERMELHA E A OUTRA PRETA, SEGUINDO AS REGRAS DA FEDERAÇÃO INTERNACIONAL DE TÊNIS DE MESA (ITTF), SEU CABO CLÁSSICO POSSIBILITA QUE O JOGADOR SEGURE A RAQUETE PELO CABO COM O INDICADOR SOBRE AS BORRACHAS</w:t>
            </w:r>
          </w:p>
          <w:p>
            <w:pPr>
              <w:pStyle w:val="Normal"/>
              <w:widowControl w:val="false"/>
              <w:spacing w:lineRule="auto" w:line="360"/>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R$ 34,75</w:t>
            </w:r>
          </w:p>
        </w:tc>
        <w:tc>
          <w:tcPr>
            <w:tcW w:w="2025"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R$ 4.865,00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31</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350636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 JOGOS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bCs/>
                <w:color w:val="000000"/>
                <w:sz w:val="19"/>
                <w:szCs w:val="20"/>
              </w:rPr>
            </w:pPr>
            <w:r>
              <w:rPr>
                <w:rFonts w:eastAsia="Calibri" w:cs="Arial" w:ascii="Arial" w:hAnsi="Arial"/>
                <w:b/>
                <w:bCs/>
                <w:color w:val="000000"/>
                <w:sz w:val="19"/>
                <w:szCs w:val="20"/>
              </w:rPr>
              <w:t>JOGO DE FITA MARCAÇÃO ESPORTIVA, MATERIAL: NÁILON, LARGURA: 8 CM, APLICAÇÃO: VÔLEI DE PRAIA COM ILHÓS E ACOMPANHA FIXADORES EM AÇO ZINCADO. NAS EXTREMIDADES PONTAS DE CADA FITA POSSUI ILHÓS EM ALUMÍNIO PRA PASSAR O FIXADORES. CADA JOGO DEVE CONTER 06 FAIXAS DE 8M DE METROS, 06 PRESILHAS DE FIXAÇÃO (FIXADORES).</w:t>
            </w:r>
          </w:p>
          <w:p>
            <w:pPr>
              <w:pStyle w:val="Normal"/>
              <w:widowControl w:val="false"/>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R$ 129,24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R$ 1.292,40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32</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433198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03 JOGOS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Fonts w:eastAsia="Calibri" w:cs="Arial" w:ascii="Arial" w:hAnsi="Arial"/>
                <w:b/>
                <w:bCs/>
                <w:color w:val="000000"/>
                <w:sz w:val="19"/>
                <w:szCs w:val="20"/>
              </w:rPr>
              <w:t>JOGO DE FITA MARCA</w:t>
            </w:r>
            <w:r>
              <w:rPr>
                <w:rFonts w:cs="Arial" w:ascii="Arial" w:hAnsi="Arial"/>
                <w:b/>
                <w:bCs/>
                <w:sz w:val="19"/>
              </w:rPr>
              <w:t>ÇÃO ESPORTIVA, MATERIAL: PVC, COMPRIMENTO:160 M (DIVIDIDO EM QUATRO PARTES, DE ACORDO COM MEDIDAS PARA QUADRA OFICIAL DE FUTEBOL DE AREIA), LARGURA:6 CM, APLICAÇÃO: FUTEBOL DE AREIA, COM ILHÓS E ACOMPANHA FIXADORES EM AÇO ZINCADO, CARACTERÍSTICAS ADICIONAIS:4 SUPORTES METÁLICOS PARA FIXAÇÃO. EM CASO DE DIVERGÊNCIA COM O CÓDIGO CATMAT, SERÁ LEVADO EM CONTA A DESCRIÇÃO DO PRODUTO NO EDITAL.</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cs="Arial"/>
                <w:b/>
                <w:bCs/>
              </w:rPr>
            </w:pPr>
            <w:r>
              <w:rPr>
                <w:rFonts w:cs="Arial" w:ascii="Arial" w:hAnsi="Arial"/>
                <w:b/>
                <w:bCs/>
              </w:rPr>
            </w:r>
          </w:p>
          <w:p>
            <w:pPr>
              <w:pStyle w:val="Normal"/>
              <w:widowControl w:val="false"/>
              <w:jc w:val="center"/>
              <w:rPr>
                <w:rFonts w:ascii="Arial" w:hAnsi="Arial" w:cs="Arial"/>
                <w:b/>
                <w:bCs/>
              </w:rPr>
            </w:pPr>
            <w:r>
              <w:rPr>
                <w:rFonts w:cs="Arial" w:ascii="Arial" w:hAnsi="Arial"/>
                <w:b/>
                <w:bCs/>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R$ 181,52</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pPr>
            <w:r>
              <w:rPr/>
            </w:r>
          </w:p>
          <w:p>
            <w:pPr>
              <w:pStyle w:val="Normal"/>
              <w:widowControl w:val="false"/>
              <w:jc w:val="center"/>
              <w:rPr/>
            </w:pPr>
            <w:r>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R$ 544,56</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33</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444228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rFonts w:ascii="Arial" w:hAnsi="Arial" w:cs="Arial"/>
                <w:b/>
                <w:bCs/>
                <w:sz w:val="19"/>
              </w:rPr>
            </w:pPr>
            <w:r>
              <w:rPr>
                <w:rFonts w:cs="Arial" w:ascii="Arial" w:hAnsi="Arial"/>
                <w:b/>
                <w:bCs/>
                <w:sz w:val="19"/>
              </w:rPr>
              <w:t>CONE, MATERIAL: PVC FLEXÍVEL, ALTURA:4 CM, APLICAÇÃO: ATIVIDADE FÍSICA, CARACTERÍSTICAS ADICIONAIS: MINI CONE, CHAPÉU CHINÊS, DEMARCATÓRIO, VERMELHA</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R$ 7,30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R$ 2.190,00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34</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444230</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rFonts w:ascii="Arial" w:hAnsi="Arial" w:cs="Arial"/>
                <w:b/>
                <w:bCs/>
                <w:sz w:val="19"/>
              </w:rPr>
            </w:pPr>
            <w:r>
              <w:rPr>
                <w:rFonts w:cs="Arial" w:ascii="Arial" w:hAnsi="Arial"/>
                <w:b/>
                <w:bCs/>
                <w:sz w:val="19"/>
              </w:rPr>
              <w:t>CONE, MATERIAL: PVC FLEXÍVEL, ALTURA:4 CM, APLICAÇÃO: ATIVIDADE FÍSICA, CARACTERÍSTICAS ADICIONAIS: MINI CONE, CHAPÉU CHINÊS, DEMARCATÓRIO, AZUL.</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R$ 7,30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R$ 2.190,00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35</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444229</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rFonts w:ascii="Arial" w:hAnsi="Arial" w:cs="Arial"/>
                <w:b/>
                <w:bCs/>
                <w:sz w:val="19"/>
              </w:rPr>
            </w:pPr>
            <w:r>
              <w:rPr>
                <w:rFonts w:cs="Arial" w:ascii="Arial" w:hAnsi="Arial"/>
                <w:b/>
                <w:bCs/>
                <w:sz w:val="19"/>
              </w:rPr>
              <w:t>CONE, MATERIAL: PVC FLEXÍVEL, ALTURA:4 CM, APLICAÇÃO: ATIVIDADE FÍSICA, CARACTERÍSTICAS ADICIONAIS: MINI CONE, CHAPÉU CHINÊS, DEMARCATÓRIO, AMARELA.</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cs="Arial"/>
                <w:b/>
                <w:bCs/>
              </w:rPr>
            </w:pPr>
            <w:r>
              <w:rPr>
                <w:rFonts w:cs="Arial" w:ascii="Arial" w:hAnsi="Arial"/>
                <w:b/>
                <w:bCs/>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R$ 7,30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pPr>
            <w:r>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R$ 2.190,00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36</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471372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rFonts w:ascii="Arial" w:hAnsi="Arial" w:cs="Arial"/>
                <w:b/>
                <w:bCs/>
                <w:sz w:val="19"/>
              </w:rPr>
            </w:pPr>
            <w:r>
              <w:rPr>
                <w:rFonts w:cs="Arial" w:ascii="Arial" w:hAnsi="Arial"/>
                <w:b/>
                <w:bCs/>
                <w:sz w:val="19"/>
              </w:rPr>
              <w:t>CONE, MATERIAL: PLÁSTICO FLEXÍVEL, ALTURA:23 CM, APLICAÇÃO: ATIVIDADE FÍSICA, CARACTERÍSTICAS ADICIONAIS: BASE 13 X 13 (CORES A ESCOLHER)</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R$ 9,57</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R$ 2.871,00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37</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04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pPr>
            <w:r>
              <w:rPr>
                <w:rFonts w:eastAsia="Calibri" w:cs="Arial" w:ascii="Arial" w:hAnsi="Arial"/>
                <w:b/>
                <w:bCs/>
                <w:color w:val="000000"/>
                <w:sz w:val="19"/>
                <w:szCs w:val="20"/>
              </w:rPr>
              <w:t>TABELA DE BASQUETE M</w:t>
            </w:r>
            <w:r>
              <w:rPr>
                <w:rFonts w:cs="Arial" w:ascii="Arial" w:hAnsi="Arial"/>
                <w:b/>
                <w:bCs/>
                <w:sz w:val="19"/>
              </w:rPr>
              <w:t>ÓVEL: MECANISMO DE AJUSTE (similar ao modelo padrão, mas com ajuste de altura  por alavanca e molas) DA ALTURA DO POSTE DE AJUSTE ENTRE 1,90 METROS A 3,05 METROS, BASE COM ESPAÇO PAR INCLUSÃO DE AREIA OU ÁGUA PARA MAIOR ESTABILIDADE, ARO OFICIAL STANDART, DIÂMETRO DO POSTE EM AÇO-CARBONO E NO MÍNIMO 7,62CM RODA NA BASE. CERTIFICADA PELO INMETRO. TIPO PISTA E CAMPO OU SUPERIOR.</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3.499,90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cs="Arial"/>
                <w:b/>
                <w:bCs/>
                <w:sz w:val="20"/>
                <w:szCs w:val="20"/>
              </w:rPr>
            </w:pPr>
            <w:r>
              <w:rPr>
                <w:rFonts w:cs="Arial" w:ascii="Arial" w:hAnsi="Arial"/>
                <w:b/>
                <w:bCs/>
                <w:sz w:val="20"/>
                <w:szCs w:val="20"/>
              </w:rPr>
            </w:r>
          </w:p>
          <w:p>
            <w:pPr>
              <w:pStyle w:val="Normal"/>
              <w:widowControl w:val="false"/>
              <w:jc w:val="center"/>
              <w:rPr/>
            </w:pPr>
            <w:r>
              <w:rPr>
                <w:rFonts w:eastAsia="Calibri" w:cs="Arial" w:ascii="Arial" w:hAnsi="Arial"/>
                <w:b/>
                <w:bCs/>
                <w:color w:val="000000"/>
                <w:sz w:val="20"/>
                <w:szCs w:val="20"/>
              </w:rPr>
              <w:t xml:space="preserve">R$   </w:t>
            </w:r>
            <w:r>
              <w:rPr>
                <w:rFonts w:cs="Arial" w:ascii="Arial" w:hAnsi="Arial"/>
                <w:b/>
                <w:bCs/>
                <w:sz w:val="20"/>
                <w:szCs w:val="20"/>
              </w:rPr>
              <w:t>13.999,60</w:t>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38</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251593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04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pPr>
            <w:r>
              <w:rPr>
                <w:rFonts w:eastAsia="Calibri" w:cs="Arial" w:ascii="Arial" w:hAnsi="Arial"/>
                <w:b/>
                <w:bCs/>
                <w:color w:val="000000"/>
                <w:sz w:val="19"/>
                <w:szCs w:val="20"/>
              </w:rPr>
              <w:t xml:space="preserve">POSTE PARA VOLEIBOL: POSTE PARA REDE DE VOLEIBOL, MATERIAL: </w:t>
            </w:r>
            <w:r>
              <w:rPr>
                <w:rFonts w:cs="Arial" w:ascii="Arial" w:hAnsi="Arial"/>
                <w:b/>
                <w:bCs/>
                <w:sz w:val="19"/>
              </w:rPr>
              <w:t>FERRO GALVANIZADO, TAMANHO: OFICIAL, CARACTERÍSTICAS ADICIONAIS: COM GUINCHO, ROLDANA E REGULAGEM DE ALTURA (ALÉM DOS GANCHOS PARA PRENDER CORDA/CABOS).</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R$ 1.112,40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R$ 4.449,60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39</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304848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pPr>
            <w:r>
              <w:rPr>
                <w:rFonts w:eastAsia="Calibri" w:cs="Arial" w:ascii="Arial" w:hAnsi="Arial"/>
                <w:b/>
                <w:bCs/>
                <w:color w:val="000000"/>
                <w:sz w:val="19"/>
                <w:szCs w:val="20"/>
              </w:rPr>
              <w:t xml:space="preserve">ANTENA REDE VOLEIBOL, MATERIAL: FIBRA DE VIDRO, TAMANHO: OFICIAL, </w:t>
            </w:r>
            <w:r>
              <w:rPr>
                <w:rFonts w:cs="Arial" w:ascii="Arial" w:hAnsi="Arial"/>
                <w:b/>
                <w:bCs/>
                <w:sz w:val="19"/>
              </w:rPr>
              <w:t>COR: VERMELHA E BRANCA</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R$ 114,00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R$ 1.140,00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40</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450366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10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rFonts w:ascii="Arial" w:hAnsi="Arial" w:cs="Arial"/>
                <w:b/>
                <w:bCs/>
                <w:sz w:val="19"/>
              </w:rPr>
            </w:pPr>
            <w:r>
              <w:rPr>
                <w:rFonts w:cs="Arial" w:ascii="Arial" w:hAnsi="Arial"/>
                <w:b/>
                <w:bCs/>
                <w:sz w:val="19"/>
              </w:rPr>
              <w:t>EQUIPAMENTO / ACESSÓRIOS DESPORTO, MATERIAL: ALGODÃO, TIPO: SUPORTE PARA ANTENA DE VÔLEI, USO: FIXAÇÃO DAS ANTENAS DA REDE, CARACTERÍSTICAS ADICIONAIS:1 METRO DE ALTURA POR 5 CENTÍMETROS DE COMPRIMENTO</w:t>
            </w:r>
          </w:p>
          <w:p>
            <w:pPr>
              <w:pStyle w:val="Normal"/>
              <w:widowControl w:val="false"/>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R$ 27,00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R$ 270,00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41</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480265</w:t>
            </w:r>
          </w:p>
        </w:tc>
        <w:tc>
          <w:tcPr>
            <w:tcW w:w="1244"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60 UN</w:t>
            </w:r>
          </w:p>
        </w:tc>
        <w:tc>
          <w:tcPr>
            <w:tcW w:w="3969"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pPr>
            <w:r>
              <w:rPr>
                <w:rFonts w:eastAsia="Calibri" w:cs="Arial" w:ascii="Arial" w:hAnsi="Arial"/>
                <w:b/>
                <w:bCs/>
                <w:color w:val="000000"/>
                <w:sz w:val="19"/>
                <w:szCs w:val="20"/>
              </w:rPr>
              <w:t>BOMBA DE AR COM DUPLA A</w:t>
            </w:r>
            <w:r>
              <w:rPr>
                <w:rFonts w:cs="Arial" w:ascii="Arial" w:hAnsi="Arial"/>
                <w:b/>
                <w:bCs/>
                <w:sz w:val="19"/>
              </w:rPr>
              <w:t>ÇÃO (funciona tanto empurrando o ar como puxando) DE INFLAR BOLA. CORPO EM PLÁSTICO RÍGIDO (ACRÍLICO), COM MANGUEIRA (PROLONGADOR), DUAS AGULHAS. TIPO PENALTY, VOLLO OU SUPERIOR.</w:t>
            </w:r>
          </w:p>
          <w:p>
            <w:pPr>
              <w:pStyle w:val="Normal"/>
              <w:widowControl w:val="false"/>
              <w:jc w:val="both"/>
              <w:rPr>
                <w:rFonts w:ascii="Arial" w:hAnsi="Arial" w:cs="Arial"/>
                <w:b/>
                <w:bCs/>
              </w:rPr>
            </w:pPr>
            <w:r>
              <w:rPr>
                <w:rFonts w:cs="Arial" w:ascii="Arial" w:hAnsi="Arial"/>
                <w:b/>
                <w:bCs/>
              </w:rPr>
            </w:r>
          </w:p>
        </w:tc>
        <w:tc>
          <w:tcPr>
            <w:tcW w:w="170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R$ 39,90</w:t>
            </w:r>
          </w:p>
        </w:tc>
        <w:tc>
          <w:tcPr>
            <w:tcW w:w="2025"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R$ 2.394,00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42</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450328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20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40"/>
              <w:rPr>
                <w:rFonts w:ascii="Arial" w:hAnsi="Arial" w:eastAsia="Calibri" w:cs="Arial"/>
                <w:b/>
                <w:bCs/>
                <w:color w:val="000000"/>
                <w:sz w:val="19"/>
                <w:szCs w:val="20"/>
              </w:rPr>
            </w:pPr>
            <w:r>
              <w:rPr>
                <w:rFonts w:eastAsia="Calibri" w:cs="Arial" w:ascii="Arial" w:hAnsi="Arial"/>
                <w:b/>
                <w:bCs/>
                <w:color w:val="000000"/>
                <w:sz w:val="19"/>
                <w:szCs w:val="20"/>
              </w:rPr>
              <w:t>EQUIPAMENTO / ACESSÓRIOS DESPORTO, TIPO: CALIBRADOR DE BOLAS, USO: REGULAGEM DE PRESSÃO DE AR, CARACTERÍSTICAS ADICIONAIS: SISTEMA DIGITAL COM DUAS AGULHAS</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R$ 106,87</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R$ 2.137,40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43</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480258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16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bCs/>
                <w:sz w:val="19"/>
              </w:rPr>
            </w:pPr>
            <w:r>
              <w:rPr>
                <w:rFonts w:cs="Arial" w:ascii="Arial" w:hAnsi="Arial"/>
                <w:b/>
                <w:bCs/>
                <w:sz w:val="19"/>
              </w:rPr>
              <w:t>PLACAR POLIESPORTIVO PORTÁTIL DE MESA. MATERIAL: PVC RÍGIDO, TIPO: MANUAL, CARACTERÍSTICAS ADICIONAIS: PLAQUETAS EM PVC RÍGIDO DE MESA COM MEDIDAS APROXIMADAS (ABERTO) DE: ALTURA: 21 CM LARGURA: 20 CM COMPRIMENTO: 38 CM, COM MARCAÇÃO DE ATÉ 31 PONTOS/GOLS E 7 SETS/FALTAS. OS NÚMEROS DEVEM SER GRANDES E FÁCEIS DE LER. BASTA VIRAR OS NÚMEROS PARA CIMA PARA ATUALIZAR A PONTUAÇÃO/GOLS INSTANTANEAMENTE. A PLACA PARA PONTOS/GOLS DEVE CONTER DOIS NÚMEROS NA MESMA PLACA. TIPO: VOLLO, LORBEN, DALEBOL OU SUPERIOR.</w:t>
            </w:r>
          </w:p>
          <w:p>
            <w:pPr>
              <w:pStyle w:val="Normal"/>
              <w:widowControl w:val="false"/>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R$ 122,12</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R$ 1.953,92</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303808</w:t>
            </w:r>
          </w:p>
        </w:tc>
        <w:tc>
          <w:tcPr>
            <w:tcW w:w="1244"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600 UN</w:t>
            </w:r>
          </w:p>
        </w:tc>
        <w:tc>
          <w:tcPr>
            <w:tcW w:w="3969"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rFonts w:ascii="Arial" w:hAnsi="Arial" w:cs="Arial"/>
                <w:b/>
                <w:bCs/>
                <w:sz w:val="19"/>
              </w:rPr>
            </w:pPr>
            <w:r>
              <w:rPr>
                <w:rFonts w:cs="Arial" w:ascii="Arial" w:hAnsi="Arial"/>
                <w:b/>
                <w:bCs/>
                <w:sz w:val="19"/>
              </w:rPr>
              <w:t>COLETE TIPO JALECO REGATA, CONFECCIONADO EM POLIÉSTER LISO, COM VIÉS, EM TAMANHOS “M” E “G”, OPÇÃO MÍNIMA EM 3 CORES. (COR E TAMANHO A ESCOLHER).</w:t>
            </w:r>
          </w:p>
          <w:p>
            <w:pPr>
              <w:pStyle w:val="Normal"/>
              <w:widowControl w:val="false"/>
              <w:jc w:val="both"/>
              <w:rPr>
                <w:rFonts w:ascii="Arial" w:hAnsi="Arial" w:cs="Arial"/>
                <w:b/>
                <w:bCs/>
              </w:rPr>
            </w:pPr>
            <w:r>
              <w:rPr>
                <w:rFonts w:cs="Arial" w:ascii="Arial" w:hAnsi="Arial"/>
                <w:b/>
                <w:bCs/>
              </w:rPr>
            </w:r>
          </w:p>
        </w:tc>
        <w:tc>
          <w:tcPr>
            <w:tcW w:w="170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R$ 23,62</w:t>
            </w:r>
          </w:p>
        </w:tc>
        <w:tc>
          <w:tcPr>
            <w:tcW w:w="2025"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R$ 14.172,00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450364</w:t>
            </w:r>
          </w:p>
        </w:tc>
        <w:tc>
          <w:tcPr>
            <w:tcW w:w="1244"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200 UN</w:t>
            </w:r>
          </w:p>
        </w:tc>
        <w:tc>
          <w:tcPr>
            <w:tcW w:w="3969"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bCs/>
              </w:rPr>
            </w:pPr>
            <w:r>
              <w:rPr>
                <w:rFonts w:cs="Arial" w:ascii="Arial" w:hAnsi="Arial"/>
                <w:b/>
                <w:bCs/>
              </w:rPr>
            </w:r>
          </w:p>
          <w:p>
            <w:pPr>
              <w:pStyle w:val="Normal"/>
              <w:widowControl w:val="false"/>
              <w:rPr>
                <w:rFonts w:ascii="Arial" w:hAnsi="Arial" w:cs="Arial"/>
                <w:b/>
                <w:bCs/>
                <w:sz w:val="19"/>
              </w:rPr>
            </w:pPr>
            <w:r>
              <w:rPr>
                <w:rFonts w:cs="Arial" w:ascii="Arial" w:hAnsi="Arial"/>
                <w:b/>
                <w:bCs/>
                <w:sz w:val="19"/>
              </w:rPr>
              <w:t>JOGO XADREZ, MATERIAL: PLÁSTICO, FORMATO: QUADRADO, APLICAÇÃO: LAZER E ENTRETENIMENTO, CARACTERÍSTICAS ADICIONAIS: TABULEIRO EM COURO SINTÉTICO COM DIMENSÕES MÍNIMAS DE 50 X 50 CM, COM PEÇAS GRANDES. BRANCAS E PRETAS, EMBALAGEM PARA ACONDICIONAR O JOGO. EM CASO DE DIVERGÊNCIA COM O CÓDIGO CATMAT, SERÁ LEVADO EM CONTA A DESCRIÇÃO DO PRODUTO NO EDITAL.</w:t>
            </w:r>
          </w:p>
          <w:p>
            <w:pPr>
              <w:pStyle w:val="Normal"/>
              <w:widowControl w:val="false"/>
              <w:jc w:val="both"/>
              <w:rPr>
                <w:rFonts w:ascii="Arial" w:hAnsi="Arial" w:cs="Arial"/>
                <w:b/>
                <w:bCs/>
              </w:rPr>
            </w:pPr>
            <w:r>
              <w:rPr>
                <w:rFonts w:cs="Arial" w:ascii="Arial" w:hAnsi="Arial"/>
                <w:b/>
                <w:bCs/>
              </w:rPr>
            </w:r>
          </w:p>
        </w:tc>
        <w:tc>
          <w:tcPr>
            <w:tcW w:w="170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R$ 52,18</w:t>
            </w:r>
          </w:p>
        </w:tc>
        <w:tc>
          <w:tcPr>
            <w:tcW w:w="2025"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R$ 10.436,00</w:t>
            </w:r>
          </w:p>
        </w:tc>
      </w:tr>
      <w:tr>
        <w:trPr/>
        <w:tc>
          <w:tcPr>
            <w:tcW w:w="675"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46</w:t>
            </w:r>
          </w:p>
        </w:tc>
        <w:tc>
          <w:tcPr>
            <w:tcW w:w="1023"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604821</w:t>
            </w:r>
          </w:p>
        </w:tc>
        <w:tc>
          <w:tcPr>
            <w:tcW w:w="1244"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19"/>
                <w:szCs w:val="20"/>
              </w:rPr>
            </w:pPr>
            <w:r>
              <w:rPr>
                <w:rFonts w:eastAsia="Calibri" w:cs="Arial" w:ascii="Arial" w:hAnsi="Arial"/>
                <w:b/>
                <w:bCs/>
                <w:color w:val="000000"/>
                <w:sz w:val="19"/>
                <w:szCs w:val="20"/>
              </w:rPr>
              <w:t>10 JOGOS (CONJUNTOS) DE 12 BOLAS + BALIN</w:t>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tc>
        <w:tc>
          <w:tcPr>
            <w:tcW w:w="3969"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rPr>
                <w:rFonts w:ascii="Arial" w:hAnsi="Arial" w:cs="Arial"/>
                <w:b/>
                <w:bCs/>
                <w:sz w:val="19"/>
              </w:rPr>
            </w:pPr>
            <w:r>
              <w:rPr>
                <w:rFonts w:cs="Arial" w:ascii="Arial" w:hAnsi="Arial"/>
                <w:b/>
                <w:bCs/>
                <w:sz w:val="19"/>
              </w:rPr>
              <w:t>JOGO DE 12 BOCHAS, DIVERSAS CORES (A SER ESCOLHIDO NO EMPENHO) COM BALIM, EM MATERIAL SINTÉTICO DE ALTA RESISTÊNCIA, DIÂMETRO 116MM, PESO APROXIMADO: 1,180GR E BALIM 40MM. TIPO: FAISCA, CARLITO OU SUPERIOR.</w:t>
            </w:r>
          </w:p>
          <w:p>
            <w:pPr>
              <w:pStyle w:val="Normal"/>
              <w:widowControl w:val="false"/>
              <w:jc w:val="both"/>
              <w:rPr>
                <w:rFonts w:ascii="Arial" w:hAnsi="Arial" w:cs="Arial"/>
                <w:b/>
                <w:bCs/>
              </w:rPr>
            </w:pPr>
            <w:r>
              <w:rPr>
                <w:rFonts w:cs="Arial" w:ascii="Arial" w:hAnsi="Arial"/>
                <w:b/>
                <w:bCs/>
              </w:rPr>
            </w:r>
          </w:p>
        </w:tc>
        <w:tc>
          <w:tcPr>
            <w:tcW w:w="170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R$ 1.173,00</w:t>
            </w:r>
          </w:p>
        </w:tc>
        <w:tc>
          <w:tcPr>
            <w:tcW w:w="2025"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jc w:val="center"/>
              <w:rPr>
                <w:rFonts w:ascii="Arial" w:hAnsi="Arial" w:eastAsia="Calibri" w:cs="Arial"/>
                <w:b/>
                <w:bCs/>
                <w:color w:val="000000"/>
                <w:sz w:val="20"/>
                <w:szCs w:val="20"/>
              </w:rPr>
            </w:pPr>
            <w:r>
              <w:rPr>
                <w:rFonts w:eastAsia="Calibri" w:cs="Arial" w:ascii="Arial" w:hAnsi="Arial"/>
                <w:b/>
                <w:bCs/>
                <w:color w:val="000000"/>
                <w:sz w:val="20"/>
                <w:szCs w:val="20"/>
              </w:rPr>
              <w:t>R$ 11.730,00</w:t>
            </w:r>
          </w:p>
        </w:tc>
      </w:tr>
    </w:tbl>
    <w:p>
      <w:pPr>
        <w:pStyle w:val="Normal"/>
        <w:rPr>
          <w:rFonts w:ascii="Arial" w:hAnsi="Arial"/>
          <w:sz w:val="22"/>
          <w:szCs w:val="22"/>
        </w:rPr>
      </w:pPr>
      <w:r>
        <w:rPr>
          <w:rFonts w:ascii="Arial" w:hAnsi="Arial"/>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 xml:space="preserve">2. DAS CONDIÇÕES PARA PARTICIPAÇÃO </w:t>
      </w:r>
    </w:p>
    <w:p>
      <w:pPr>
        <w:pStyle w:val="Normal"/>
        <w:spacing w:lineRule="auto" w:line="360"/>
        <w:jc w:val="both"/>
        <w:rPr>
          <w:rFonts w:ascii="Arial" w:hAnsi="Arial"/>
          <w:sz w:val="22"/>
          <w:szCs w:val="22"/>
        </w:rPr>
      </w:pPr>
      <w:r>
        <w:rPr>
          <w:rFonts w:cs="Arial" w:ascii="Arial" w:hAnsi="Arial"/>
          <w:b/>
          <w:color w:val="000000"/>
          <w:sz w:val="22"/>
          <w:szCs w:val="22"/>
        </w:rPr>
        <w:t>2.1</w:t>
      </w:r>
      <w:r>
        <w:rPr>
          <w:rFonts w:cs="Arial" w:ascii="Arial" w:hAnsi="Arial"/>
          <w:color w:val="000000"/>
          <w:sz w:val="22"/>
          <w:szCs w:val="22"/>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360"/>
        <w:jc w:val="both"/>
        <w:rPr/>
      </w:pPr>
      <w:r>
        <w:rPr>
          <w:rFonts w:cs="Arial" w:ascii="Arial" w:hAnsi="Arial"/>
          <w:b/>
          <w:color w:val="000000"/>
          <w:sz w:val="22"/>
          <w:szCs w:val="22"/>
        </w:rPr>
        <w:t xml:space="preserve">2.2 </w:t>
      </w:r>
      <w:r>
        <w:rPr>
          <w:rFonts w:cs="Arial" w:ascii="Arial" w:hAnsi="Arial"/>
          <w:color w:val="000000"/>
          <w:sz w:val="22"/>
          <w:szCs w:val="22"/>
        </w:rPr>
        <w:t xml:space="preserve">O licitante deverá promover a sua inscrição e credenciamento para participar do pregão, diretamente no site do </w:t>
      </w:r>
      <w:hyperlink r:id="rId3">
        <w:r>
          <w:rPr>
            <w:rFonts w:cs="Arial" w:ascii="Arial" w:hAnsi="Arial"/>
            <w:color w:val="000000"/>
            <w:sz w:val="22"/>
            <w:szCs w:val="22"/>
            <w:u w:val="single"/>
          </w:rPr>
          <w:t>www.portaldecompraspublicas.com.br</w:t>
        </w:r>
      </w:hyperlink>
      <w:r>
        <w:rPr>
          <w:rFonts w:cs="Arial" w:ascii="Arial" w:hAnsi="Arial"/>
          <w:color w:val="000000"/>
          <w:sz w:val="22"/>
          <w:szCs w:val="22"/>
        </w:rPr>
        <w:t>, até o horário fixado no edital para inscrição e cadastramento.</w:t>
      </w:r>
    </w:p>
    <w:p>
      <w:pPr>
        <w:pStyle w:val="Normal"/>
        <w:spacing w:lineRule="auto" w:line="360"/>
        <w:jc w:val="both"/>
        <w:rPr>
          <w:rFonts w:ascii="Arial" w:hAnsi="Arial"/>
          <w:sz w:val="22"/>
          <w:szCs w:val="22"/>
        </w:rPr>
      </w:pPr>
      <w:r>
        <w:rPr>
          <w:rFonts w:cs="Arial" w:ascii="Arial" w:hAnsi="Arial"/>
          <w:b/>
          <w:color w:val="000000"/>
          <w:sz w:val="22"/>
          <w:szCs w:val="22"/>
        </w:rPr>
        <w:t xml:space="preserve">2.3 </w:t>
      </w:r>
      <w:r>
        <w:rPr>
          <w:rFonts w:cs="Arial" w:ascii="Arial" w:hAnsi="Arial"/>
          <w:color w:val="000000"/>
          <w:sz w:val="22"/>
          <w:szCs w:val="22"/>
        </w:rPr>
        <w:t xml:space="preserve">A participação no pregão está condicionada obrigatoriamente a inscrição e credenciamento do licitante, até o limite de horário previsto no edital </w:t>
      </w:r>
    </w:p>
    <w:p>
      <w:pPr>
        <w:pStyle w:val="Normal"/>
        <w:spacing w:lineRule="auto" w:line="360"/>
        <w:jc w:val="both"/>
        <w:rPr>
          <w:rFonts w:ascii="Arial" w:hAnsi="Arial"/>
          <w:sz w:val="22"/>
          <w:szCs w:val="22"/>
        </w:rPr>
      </w:pPr>
      <w:r>
        <w:rPr>
          <w:rFonts w:cs="Arial" w:ascii="Arial" w:hAnsi="Arial"/>
          <w:b/>
          <w:bCs/>
          <w:color w:val="000000"/>
          <w:sz w:val="22"/>
          <w:szCs w:val="22"/>
        </w:rPr>
        <w:t>2.4</w:t>
      </w:r>
      <w:r>
        <w:rPr>
          <w:rFonts w:cs="Arial" w:ascii="Arial" w:hAnsi="Arial"/>
          <w:color w:val="000000"/>
          <w:sz w:val="22"/>
          <w:szCs w:val="22"/>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360"/>
        <w:jc w:val="both"/>
        <w:rPr>
          <w:rFonts w:ascii="Arial" w:hAnsi="Arial"/>
          <w:sz w:val="22"/>
          <w:szCs w:val="22"/>
        </w:rPr>
      </w:pPr>
      <w:r>
        <w:rPr>
          <w:rFonts w:cs="Arial" w:ascii="Arial" w:hAnsi="Arial"/>
          <w:b/>
          <w:bCs/>
          <w:color w:val="000000"/>
          <w:sz w:val="22"/>
          <w:szCs w:val="22"/>
        </w:rPr>
        <w:t xml:space="preserve">2.5 </w:t>
      </w:r>
      <w:r>
        <w:rPr>
          <w:rFonts w:cs="Arial" w:ascii="Arial" w:hAnsi="Arial"/>
          <w:iCs/>
          <w:color w:val="000000"/>
          <w:sz w:val="22"/>
          <w:szCs w:val="22"/>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2.6. </w:t>
      </w:r>
      <w:r>
        <w:rPr>
          <w:rFonts w:cs="Arial" w:ascii="Arial" w:hAnsi="Arial"/>
          <w:iCs/>
          <w:color w:val="000000"/>
          <w:sz w:val="22"/>
          <w:szCs w:val="22"/>
        </w:rPr>
        <w:t>Não poderão disputar esta licitação:</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 xml:space="preserve">a) </w:t>
      </w:r>
      <w:r>
        <w:rPr>
          <w:rFonts w:cs="Arial" w:ascii="Arial" w:hAnsi="Arial"/>
          <w:iCs/>
          <w:color w:val="000000"/>
          <w:sz w:val="22"/>
          <w:szCs w:val="22"/>
        </w:rPr>
        <w:t>aquele que não atenda às condições deste Edital e seu(s) anexo(s);</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b)</w:t>
      </w:r>
      <w:r>
        <w:rPr>
          <w:rFonts w:cs="Arial" w:ascii="Arial" w:hAnsi="Arial"/>
          <w:iCs/>
          <w:color w:val="000000"/>
          <w:sz w:val="22"/>
          <w:szCs w:val="22"/>
        </w:rPr>
        <w:t xml:space="preserve"> autor do anteprojeto, do projeto básico ou do projeto executivo, pessoa física ou jurídica, quando a licitação versar sobre serviços ou fornecimento de bens a ele relacionados;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c) </w:t>
      </w:r>
      <w:bookmarkStart w:id="0" w:name="_Ref114659913"/>
      <w:r>
        <w:rPr>
          <w:rFonts w:cs="Arial" w:ascii="Arial" w:hAnsi="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pessoa física ou jurídica que se encontre, ao tempo da licitação, impossibilitada de participar da licitação em decorrência de sanção que lhe foi imposta;</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f) </w:t>
      </w:r>
      <w:r>
        <w:rPr>
          <w:rFonts w:cs="Arial" w:ascii="Arial" w:hAnsi="Arial"/>
          <w:color w:val="000000"/>
          <w:sz w:val="22"/>
          <w:szCs w:val="22"/>
        </w:rPr>
        <w:t>empresas controladoras, controladas ou coligadas, nos termos da Lei Federal n.º 6.404, de 15 de dezembro de 1976, concorrendo entre si;</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g)</w:t>
      </w:r>
      <w:r>
        <w:rPr>
          <w:rFonts w:cs="Arial" w:ascii="Arial" w:hAnsi="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h)</w:t>
      </w:r>
      <w:r>
        <w:rPr>
          <w:rFonts w:cs="Arial" w:ascii="Arial" w:hAnsi="Arial"/>
          <w:color w:val="000000"/>
          <w:sz w:val="22"/>
          <w:szCs w:val="22"/>
        </w:rPr>
        <w:t xml:space="preserve"> agente público do órgão ou entidade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i)</w:t>
      </w:r>
      <w:r>
        <w:rPr>
          <w:rFonts w:cs="Arial" w:ascii="Arial" w:hAnsi="Arial"/>
          <w:color w:val="000000"/>
          <w:sz w:val="22"/>
          <w:szCs w:val="22"/>
        </w:rPr>
        <w:t xml:space="preserve"> </w:t>
      </w:r>
      <w:r>
        <w:rPr>
          <w:rFonts w:eastAsia="Arial" w:cs="Arial" w:ascii="Arial" w:hAnsi="Arial"/>
          <w:color w:val="000000"/>
          <w:sz w:val="22"/>
          <w:szCs w:val="22"/>
        </w:rPr>
        <w:t>Organizações da Sociedade Civil de Interesse Público - OSCIP, atuando nessa condição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2.6.1</w:t>
      </w:r>
      <w:r>
        <w:rPr>
          <w:rFonts w:cs="Arial" w:ascii="Arial" w:hAnsi="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2.6.2</w:t>
      </w:r>
      <w:r>
        <w:rPr>
          <w:rFonts w:cs="Arial" w:ascii="Arial" w:hAnsi="Arial"/>
          <w:color w:val="000000"/>
          <w:sz w:val="22"/>
          <w:szCs w:val="22"/>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2.6.3</w:t>
      </w:r>
      <w:r>
        <w:rPr>
          <w:rFonts w:cs="Arial" w:ascii="Arial" w:hAnsi="Arial"/>
          <w:color w:val="000000"/>
          <w:sz w:val="22"/>
          <w:szCs w:val="22"/>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2.6.4</w:t>
      </w:r>
      <w:r>
        <w:rPr>
          <w:rFonts w:cs="Arial" w:ascii="Arial" w:hAnsi="Arial"/>
          <w:color w:val="000000"/>
          <w:sz w:val="22"/>
          <w:szCs w:val="22"/>
        </w:rPr>
        <w:t xml:space="preserve"> Equiparam-se aos autores do projeto as empresas integrantes do mesmo grupo econômico.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2.6.5 </w:t>
      </w:r>
      <w:r>
        <w:rPr>
          <w:rFonts w:cs="Arial" w:ascii="Arial" w:hAnsi="Arial"/>
          <w:color w:val="000000"/>
          <w:sz w:val="22"/>
          <w:szCs w:val="22"/>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2.6.6</w:t>
      </w:r>
      <w:r>
        <w:rPr>
          <w:rFonts w:cs="Arial" w:ascii="Arial" w:hAnsi="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2.6.7</w:t>
      </w:r>
      <w:r>
        <w:rPr>
          <w:rFonts w:cs="Arial" w:ascii="Arial" w:hAnsi="Arial"/>
          <w:color w:val="000000"/>
          <w:sz w:val="22"/>
          <w:szCs w:val="22"/>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360"/>
        <w:jc w:val="both"/>
        <w:textAlignment w:val="top"/>
        <w:rPr/>
      </w:pPr>
      <w:r>
        <w:rPr>
          <w:rFonts w:cs="Arial" w:ascii="Arial" w:hAnsi="Arial"/>
          <w:b/>
          <w:bCs/>
          <w:color w:val="000000"/>
          <w:sz w:val="22"/>
          <w:szCs w:val="22"/>
        </w:rPr>
        <w:t xml:space="preserve">2.7 </w:t>
      </w:r>
      <w:r>
        <w:rPr>
          <w:rFonts w:eastAsia="Arial" w:cs="Arial" w:ascii="Arial" w:hAnsi="Arial"/>
          <w:color w:val="000000"/>
          <w:sz w:val="22"/>
          <w:szCs w:val="22"/>
        </w:rPr>
        <w:t xml:space="preserve">Será concedido tratamento favorecido para as microempresas e empresas de pequeno porte, para as sociedades cooperativas mencionadas no </w:t>
      </w:r>
      <w:r>
        <w:fldChar w:fldCharType="begin"/>
      </w:r>
      <w:r>
        <w:rPr>
          <w:sz w:val="22"/>
          <w:u w:val="single"/>
          <w:szCs w:val="22"/>
          <w:rFonts w:eastAsia="Arial" w:cs="Arial" w:ascii="Arial" w:hAnsi="Arial"/>
          <w:color w:val="000000"/>
        </w:rPr>
        <w:instrText xml:space="preserve"> HYPERLINK "http://www.planalto.gov.br/ccivil_03/_ato2019-2022/2021/lei/L14133.htm" \l "art16"</w:instrText>
      </w:r>
      <w:r>
        <w:rPr>
          <w:sz w:val="22"/>
          <w:u w:val="single"/>
          <w:szCs w:val="22"/>
          <w:rFonts w:eastAsia="Arial" w:cs="Arial" w:ascii="Arial" w:hAnsi="Arial"/>
          <w:color w:val="000000"/>
        </w:rPr>
        <w:fldChar w:fldCharType="separate"/>
      </w:r>
      <w:r>
        <w:rPr>
          <w:rFonts w:eastAsia="Arial" w:cs="Arial" w:ascii="Arial" w:hAnsi="Arial"/>
          <w:color w:val="000000"/>
          <w:sz w:val="22"/>
          <w:szCs w:val="22"/>
          <w:u w:val="single"/>
        </w:rPr>
        <w:t>artigo 16 da Lei nº 14.133, de 2021</w:t>
      </w:r>
      <w:r>
        <w:rPr>
          <w:sz w:val="22"/>
          <w:u w:val="single"/>
          <w:szCs w:val="22"/>
          <w:rFonts w:eastAsia="Arial" w:cs="Arial" w:ascii="Arial" w:hAnsi="Arial"/>
          <w:color w:val="000000"/>
        </w:rPr>
        <w:fldChar w:fldCharType="end"/>
      </w:r>
      <w:r>
        <w:rPr>
          <w:rFonts w:eastAsia="Arial" w:cs="Arial" w:ascii="Arial" w:hAnsi="Arial"/>
          <w:color w:val="000000"/>
          <w:sz w:val="22"/>
          <w:szCs w:val="22"/>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rPr>
          <w:t>Lei Complementar nº 123, de 2006</w:t>
        </w:r>
      </w:hyperlink>
      <w:r>
        <w:rPr>
          <w:rFonts w:eastAsia="Arial"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2.8 </w:t>
      </w:r>
      <w:r>
        <w:rPr>
          <w:rFonts w:cs="Arial" w:ascii="Arial" w:hAnsi="Arial"/>
          <w:color w:val="000000"/>
          <w:sz w:val="22"/>
          <w:szCs w:val="22"/>
        </w:rPr>
        <w:t>A participação de pessoa jurídica em consórcio no presente processo licitatório fica condicionada ao atendimento dos requisitos do art. 15 da Lei 14.133/2021.</w:t>
      </w:r>
    </w:p>
    <w:p>
      <w:pPr>
        <w:pStyle w:val="Normal"/>
        <w:spacing w:lineRule="auto" w:line="360"/>
        <w:jc w:val="both"/>
        <w:textAlignment w:val="top"/>
        <w:rPr>
          <w:rFonts w:ascii="Arial" w:hAnsi="Arial"/>
          <w:sz w:val="22"/>
          <w:szCs w:val="22"/>
        </w:rPr>
      </w:pPr>
      <w:r>
        <w:rPr>
          <w:rFonts w:ascii="Arial" w:hAnsi="Arial"/>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3. DO EDITAL</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3.1</w:t>
      </w:r>
      <w:r>
        <w:rPr>
          <w:rFonts w:cs="Arial" w:ascii="Arial" w:hAnsi="Arial"/>
          <w:color w:val="000000"/>
          <w:sz w:val="22"/>
          <w:szCs w:val="22"/>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 </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4. DO CRITÉRIO DE JULGAMENTO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4.1.</w:t>
      </w:r>
      <w:r>
        <w:rPr>
          <w:rFonts w:cs="Arial" w:ascii="Arial" w:hAnsi="Arial"/>
          <w:color w:val="000000"/>
          <w:sz w:val="22"/>
          <w:szCs w:val="22"/>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r>
        <w:rPr>
          <w:rFonts w:cs="Arial" w:ascii="Arial" w:hAnsi="Arial"/>
          <w:color w:val="000000"/>
          <w:sz w:val="22"/>
          <w:szCs w:val="22"/>
        </w:rPr>
        <w:t>, observado o prazo para fornecimento, as especificações técnicas, parâmetros mínimos de desempenho e de qualidade e demais condições definidas neste Edital.</w:t>
      </w:r>
    </w:p>
    <w:p>
      <w:pPr>
        <w:pStyle w:val="Normal"/>
        <w:spacing w:lineRule="auto" w:line="360"/>
        <w:jc w:val="both"/>
        <w:textAlignment w:val="top"/>
        <w:rPr>
          <w:rFonts w:ascii="Arial" w:hAnsi="Arial"/>
          <w:sz w:val="22"/>
          <w:szCs w:val="22"/>
        </w:rPr>
      </w:pPr>
      <w:r>
        <w:rPr>
          <w:rFonts w:ascii="Arial" w:hAnsi="Arial"/>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5. DO CREDENCIAMENTO NO SISTEMA DE LICITAÇÕES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5.1</w:t>
      </w:r>
      <w:r>
        <w:rPr>
          <w:rFonts w:cs="Arial" w:ascii="Arial" w:hAnsi="Arial"/>
          <w:color w:val="000000"/>
          <w:sz w:val="22"/>
          <w:szCs w:val="22"/>
        </w:rPr>
        <w:t xml:space="preserve"> O Pregão é o nível básico do registro cadastral no PORTAL DE COMPRAS PÚBLICAS que permite a participação dos interessados na modalidade LICITATÓRIA PREGÃO, em sua FORMA ELETRÔNICA.</w:t>
      </w:r>
    </w:p>
    <w:p>
      <w:pPr>
        <w:pStyle w:val="Normal"/>
        <w:spacing w:lineRule="auto" w:line="360"/>
        <w:jc w:val="both"/>
        <w:textAlignment w:val="top"/>
        <w:rPr/>
      </w:pPr>
      <w:r>
        <w:rPr>
          <w:rFonts w:cs="Arial" w:ascii="Arial" w:hAnsi="Arial"/>
          <w:b/>
          <w:bCs/>
          <w:color w:val="000000"/>
          <w:sz w:val="22"/>
          <w:szCs w:val="22"/>
        </w:rPr>
        <w:t>5.2</w:t>
      </w:r>
      <w:r>
        <w:rPr>
          <w:rFonts w:cs="Arial" w:ascii="Arial" w:hAnsi="Arial"/>
          <w:color w:val="000000"/>
          <w:sz w:val="22"/>
          <w:szCs w:val="22"/>
        </w:rPr>
        <w:t xml:space="preserve"> O cadastro deverá ser feito no Portal de Compras Públicas, no endereço eletrônico </w:t>
      </w:r>
      <w:hyperlink r:id="rId5">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5.3</w:t>
      </w:r>
      <w:r>
        <w:rPr>
          <w:rFonts w:cs="Arial" w:ascii="Arial" w:hAnsi="Arial"/>
          <w:color w:val="000000"/>
          <w:sz w:val="22"/>
          <w:szCs w:val="22"/>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5.4</w:t>
      </w:r>
      <w:r>
        <w:rPr>
          <w:rFonts w:cs="Arial" w:ascii="Arial" w:hAnsi="Arial"/>
          <w:color w:val="000000"/>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 </w:t>
      </w:r>
      <w:r>
        <w:rPr>
          <w:rFonts w:cs="Arial" w:ascii="Arial" w:hAnsi="Arial"/>
          <w:color w:val="000000"/>
          <w:sz w:val="22"/>
          <w:szCs w:val="22"/>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5.5.1 </w:t>
      </w:r>
      <w:r>
        <w:rPr>
          <w:rFonts w:cs="Arial" w:ascii="Arial" w:hAnsi="Arial"/>
          <w:color w:val="000000"/>
          <w:sz w:val="22"/>
          <w:szCs w:val="22"/>
        </w:rPr>
        <w:t>A não observância do disposto no subitem anterior poderá ensejar desclassificação no momento da habilitação.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 xml:space="preserve">6. DA APRESENTAÇÃO DA PROPOSTA E DOS DOCUMENTOS DE HABILITAÇÃO </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Na presente licitação, a fase de habilitação sucederá as fases de apresentação de propostas e lances e de julgamento.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6.2</w:t>
      </w:r>
      <w:r>
        <w:rPr>
          <w:rFonts w:cs="Arial" w:ascii="Arial" w:hAnsi="Arial"/>
          <w:b w:val="false"/>
          <w:bCs w:val="false"/>
          <w:color w:val="000000"/>
          <w:sz w:val="22"/>
          <w:szCs w:val="22"/>
        </w:rPr>
        <w:t xml:space="preserve"> Os licitantes encaminharão, </w:t>
      </w:r>
      <w:r>
        <w:rPr>
          <w:rFonts w:cs="Arial" w:ascii="Arial" w:hAnsi="Arial"/>
          <w:b w:val="false"/>
          <w:bCs w:val="false"/>
          <w:color w:val="000000"/>
          <w:sz w:val="22"/>
          <w:szCs w:val="22"/>
          <w:u w:val="single"/>
        </w:rPr>
        <w:t>exclusivamente</w:t>
      </w:r>
      <w:r>
        <w:rPr>
          <w:rFonts w:cs="Arial" w:ascii="Arial" w:hAnsi="Arial"/>
          <w:b w:val="false"/>
          <w:bCs w:val="false"/>
          <w:color w:val="000000"/>
          <w:sz w:val="22"/>
          <w:szCs w:val="22"/>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6.3</w:t>
      </w:r>
      <w:r>
        <w:rPr>
          <w:rFonts w:cs="Arial" w:ascii="Arial" w:hAnsi="Arial"/>
          <w:b w:val="false"/>
          <w:bCs w:val="false"/>
          <w:color w:val="000000"/>
          <w:sz w:val="22"/>
          <w:szCs w:val="22"/>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6.4</w:t>
      </w:r>
      <w:r>
        <w:rPr>
          <w:rFonts w:cs="Arial" w:ascii="Arial" w:hAnsi="Arial"/>
          <w:color w:val="000000"/>
          <w:sz w:val="22"/>
          <w:szCs w:val="22"/>
        </w:rPr>
        <w:t xml:space="preserve"> No cadastramento da proposta inicial, a licitante declarará, em campo próprio do sistema, que:</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b)</w:t>
      </w:r>
      <w:r>
        <w:rPr>
          <w:rFonts w:cs="Arial" w:ascii="Arial" w:hAnsi="Arial"/>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d) </w:t>
      </w:r>
      <w:r>
        <w:rPr>
          <w:rFonts w:cs="Arial" w:ascii="Arial" w:hAnsi="Arial"/>
          <w:color w:val="000000"/>
          <w:sz w:val="22"/>
          <w:szCs w:val="22"/>
        </w:rPr>
        <w:t>cumpre as exigências de reserva de cargos para pessoa com deficiência e para reabilitado da Previdência Social, previstas em lei e em outras normas específicas.</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6.5 </w:t>
      </w:r>
      <w:r>
        <w:rPr>
          <w:rFonts w:cs="Arial" w:ascii="Arial" w:hAnsi="Arial"/>
          <w:color w:val="000000"/>
          <w:sz w:val="22"/>
          <w:szCs w:val="22"/>
        </w:rPr>
        <w:t>A licitante organizada em cooperativa deverá declarar, ainda, em campo próprio do sistema eletrônico, que cumpre os requisitos estabelecidos no artigo 16 da Lei Federal n.º 14.133/2021.</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Fonts w:cs="Arial" w:ascii="Arial" w:hAnsi="Arial"/>
          <w:b/>
          <w:bCs/>
          <w:color w:val="000000"/>
          <w:sz w:val="22"/>
          <w:szCs w:val="22"/>
        </w:rPr>
        <w:t>6.6</w:t>
      </w:r>
      <w:r>
        <w:rPr>
          <w:rFonts w:cs="Arial" w:ascii="Arial" w:hAnsi="Arial"/>
          <w:color w:val="000000"/>
          <w:sz w:val="22"/>
          <w:szCs w:val="22"/>
        </w:rPr>
        <w:t xml:space="preserve"> A</w:t>
      </w:r>
      <w:r>
        <w:rPr>
          <w:rStyle w:val="LinkdaInternet"/>
          <w:rFonts w:cs="Arial" w:ascii="Arial" w:hAnsi="Arial"/>
          <w:color w:val="000000"/>
          <w:sz w:val="22"/>
          <w:szCs w:val="22"/>
          <w:u w:val="none"/>
        </w:rPr>
        <w:t xml:space="preserve"> licitante enquadrada como </w:t>
      </w:r>
      <w:r>
        <w:rPr>
          <w:rFonts w:cs="Arial" w:ascii="Arial" w:hAnsi="Arial"/>
          <w:color w:val="000000"/>
          <w:sz w:val="22"/>
          <w:szCs w:val="22"/>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6.6.1 </w:t>
      </w:r>
      <w:r>
        <w:rPr>
          <w:rFonts w:cs="Arial" w:ascii="Arial" w:hAnsi="Arial"/>
          <w:color w:val="000000"/>
          <w:sz w:val="22"/>
          <w:szCs w:val="22"/>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6.6.2 </w:t>
      </w:r>
      <w:r>
        <w:rPr>
          <w:rFonts w:cs="Arial" w:ascii="Arial" w:hAnsi="Arial"/>
          <w:color w:val="000000"/>
          <w:sz w:val="22"/>
          <w:szCs w:val="22"/>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6.7</w:t>
      </w:r>
      <w:r>
        <w:rPr>
          <w:rStyle w:val="LinkdaInternet"/>
          <w:rFonts w:cs="Arial" w:ascii="Arial" w:hAnsi="Arial"/>
          <w:color w:val="000000"/>
          <w:sz w:val="22"/>
          <w:szCs w:val="22"/>
          <w:u w:val="none"/>
        </w:rPr>
        <w:t xml:space="preserve"> O licitante declarar</w:t>
      </w:r>
      <w:r>
        <w:rPr>
          <w:rFonts w:cs="Arial" w:ascii="Arial" w:hAnsi="Arial"/>
          <w:color w:val="000000"/>
          <w:sz w:val="22"/>
          <w:szCs w:val="22"/>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rPr>
        <w:t>sujeitará a licitante às sanções previstas na Lei Federal n.º 14.133/2021, e no Termo de Referência – Anexo I.</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6.8 </w:t>
      </w:r>
      <w:r>
        <w:rPr>
          <w:rFonts w:cs="Arial" w:ascii="Arial" w:hAnsi="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6.9</w:t>
      </w:r>
      <w:r>
        <w:rPr>
          <w:rFonts w:cs="Arial" w:ascii="Arial" w:hAnsi="Arial"/>
          <w:color w:val="000000"/>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6.10 </w:t>
      </w:r>
      <w:r>
        <w:rPr>
          <w:rFonts w:cs="Arial" w:ascii="Arial" w:hAnsi="Arial"/>
          <w:color w:val="000000"/>
          <w:sz w:val="22"/>
          <w:szCs w:val="22"/>
        </w:rPr>
        <w:t>Não será estabelecida, nesta etapa do certame, ordem de classificação entre as propostas apresentadas, o que somente ocorrerá após a realização dos procedimentos de negociação e julgamento da proposta.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6.11</w:t>
      </w:r>
      <w:r>
        <w:rPr>
          <w:rFonts w:cs="Arial" w:ascii="Arial" w:hAnsi="Arial"/>
          <w:color w:val="000000"/>
          <w:sz w:val="22"/>
          <w:szCs w:val="22"/>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6.12</w:t>
      </w:r>
      <w:r>
        <w:rPr>
          <w:rFonts w:cs="Arial" w:ascii="Arial" w:hAnsi="Arial"/>
          <w:color w:val="000000"/>
          <w:sz w:val="22"/>
          <w:szCs w:val="22"/>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360"/>
        <w:jc w:val="both"/>
        <w:rPr>
          <w:rFonts w:ascii="Arial" w:hAnsi="Arial"/>
          <w:sz w:val="22"/>
          <w:szCs w:val="22"/>
        </w:rPr>
      </w:pPr>
      <w:r>
        <w:rPr>
          <w:rFonts w:cs="Arial" w:ascii="Arial" w:hAnsi="Arial"/>
          <w:b/>
          <w:bCs/>
          <w:sz w:val="22"/>
          <w:szCs w:val="22"/>
        </w:rPr>
        <w:t xml:space="preserve">6.13 </w:t>
      </w:r>
      <w:r>
        <w:rPr>
          <w:rFonts w:cs="Arial" w:ascii="Arial" w:hAnsi="Arial"/>
          <w:sz w:val="22"/>
          <w:szCs w:val="22"/>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360"/>
        <w:jc w:val="both"/>
        <w:rPr>
          <w:rFonts w:ascii="Arial" w:hAnsi="Arial"/>
          <w:sz w:val="22"/>
          <w:szCs w:val="22"/>
        </w:rPr>
      </w:pPr>
      <w:r>
        <w:rPr>
          <w:rFonts w:cs="Arial" w:ascii="Arial" w:hAnsi="Arial"/>
          <w:b/>
          <w:bCs/>
          <w:sz w:val="22"/>
          <w:szCs w:val="22"/>
        </w:rPr>
        <w:t xml:space="preserve">6.14 </w:t>
      </w:r>
      <w:r>
        <w:rPr>
          <w:rFonts w:cs="Arial" w:ascii="Arial" w:hAnsi="Arial"/>
          <w:sz w:val="22"/>
          <w:szCs w:val="22"/>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 Habilitação:</w:t>
      </w:r>
    </w:p>
    <w:p>
      <w:pPr>
        <w:pStyle w:val="Normal"/>
        <w:spacing w:lineRule="auto" w:line="360"/>
        <w:jc w:val="both"/>
        <w:textAlignment w:val="top"/>
        <w:rPr>
          <w:rFonts w:ascii="Arial" w:hAnsi="Arial"/>
          <w:sz w:val="22"/>
          <w:szCs w:val="22"/>
        </w:rPr>
      </w:pPr>
      <w:r>
        <w:rPr>
          <w:rFonts w:cs="Arial" w:ascii="Arial" w:hAnsi="Arial"/>
          <w:color w:val="000000"/>
          <w:sz w:val="22"/>
          <w:szCs w:val="22"/>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360"/>
        <w:jc w:val="both"/>
        <w:textAlignment w:val="top"/>
        <w:rPr>
          <w:rFonts w:ascii="Arial" w:hAnsi="Arial"/>
          <w:sz w:val="22"/>
          <w:szCs w:val="22"/>
        </w:rPr>
      </w:pPr>
      <w:r>
        <w:rPr>
          <w:rFonts w:cs="Arial" w:ascii="Arial" w:hAnsi="Arial"/>
          <w:color w:val="000000"/>
          <w:sz w:val="22"/>
          <w:szCs w:val="22"/>
        </w:rPr>
        <w:t>b) É facultado ao pregoeiro prorrogar ou até reabrir o prazo estabelecido, por iniciativa própria ou a partir de solicitação fundamentada feita no chat pelo licitante, antes de findo o prazo.</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6.15.1 Habilitação Jurídica:</w:t>
      </w:r>
    </w:p>
    <w:p>
      <w:pPr>
        <w:pStyle w:val="Default"/>
        <w:spacing w:lineRule="auto" w:line="360"/>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spacing w:lineRule="auto" w:line="360"/>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360"/>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360"/>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spacing w:lineRule="auto" w:line="360"/>
        <w:jc w:val="both"/>
        <w:textAlignment w:val="top"/>
        <w:rPr>
          <w:rFonts w:ascii="Arial" w:hAnsi="Arial" w:cs="Arial"/>
          <w:b/>
          <w:bCs/>
          <w:color w:val="000000"/>
          <w:sz w:val="22"/>
          <w:szCs w:val="22"/>
        </w:rPr>
      </w:pPr>
      <w:r>
        <w:rPr>
          <w:rFonts w:cs="Arial" w:ascii="Arial" w:hAnsi="Arial"/>
          <w:b/>
          <w:bCs/>
          <w:color w:val="000000"/>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6.15.2 Habilitação fiscal, Social e Trabalhista: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spacing w:lineRule="auto" w:line="360"/>
        <w:jc w:val="both"/>
        <w:textAlignment w:val="top"/>
        <w:rPr>
          <w:rFonts w:ascii="Arial" w:hAnsi="Arial" w:cs="Arial"/>
          <w:b/>
          <w:color w:val="000000"/>
          <w:sz w:val="22"/>
          <w:szCs w:val="22"/>
        </w:rPr>
      </w:pPr>
      <w:r>
        <w:rPr>
          <w:rFonts w:cs="Arial" w:ascii="Arial" w:hAnsi="Arial"/>
          <w:b/>
          <w:color w:val="000000"/>
          <w:sz w:val="22"/>
          <w:szCs w:val="22"/>
        </w:rPr>
      </w:r>
    </w:p>
    <w:p>
      <w:pPr>
        <w:pStyle w:val="Normal"/>
        <w:spacing w:lineRule="auto" w:line="360"/>
        <w:jc w:val="both"/>
        <w:textAlignment w:val="top"/>
        <w:rPr>
          <w:rFonts w:ascii="Arial" w:hAnsi="Arial"/>
          <w:sz w:val="22"/>
          <w:szCs w:val="22"/>
        </w:rPr>
      </w:pPr>
      <w:r>
        <w:rPr>
          <w:rFonts w:cs="Arial" w:ascii="Arial" w:hAnsi="Arial"/>
          <w:b/>
          <w:color w:val="000000"/>
          <w:sz w:val="22"/>
          <w:szCs w:val="22"/>
        </w:rPr>
        <w:t>6.15.3 Habilitação Econômico-Financeiro: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360"/>
        <w:jc w:val="both"/>
        <w:textAlignment w:val="top"/>
        <w:rPr>
          <w:rFonts w:ascii="Arial" w:hAnsi="Arial" w:cs="Arial"/>
          <w:b/>
          <w:color w:val="000000"/>
          <w:sz w:val="22"/>
          <w:szCs w:val="22"/>
        </w:rPr>
      </w:pPr>
      <w:r>
        <w:rPr>
          <w:rFonts w:cs="Arial" w:ascii="Arial" w:hAnsi="Arial"/>
          <w:b/>
          <w:color w:val="000000"/>
          <w:sz w:val="22"/>
          <w:szCs w:val="22"/>
        </w:rPr>
      </w:r>
    </w:p>
    <w:p>
      <w:pPr>
        <w:pStyle w:val="Normal"/>
        <w:spacing w:lineRule="auto" w:line="360"/>
        <w:jc w:val="both"/>
        <w:textAlignment w:val="top"/>
        <w:rPr>
          <w:rFonts w:ascii="Arial" w:hAnsi="Arial"/>
          <w:sz w:val="22"/>
          <w:szCs w:val="22"/>
        </w:rPr>
      </w:pPr>
      <w:r>
        <w:rPr>
          <w:rFonts w:cs="Arial" w:ascii="Arial" w:hAnsi="Arial"/>
          <w:b/>
          <w:color w:val="000000"/>
          <w:sz w:val="22"/>
          <w:szCs w:val="22"/>
        </w:rPr>
        <w:t>6.15.4 Declaração:</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Declaração que atende aos requisitos de habilitação, e responderá pela veracidade das informações prestadas, na forma da lei;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 xml:space="preserve">Declaração que tomou conhecimento de todas as informações e das condições locais para o cumprimento das obrigações objeto da licitação.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f) </w:t>
      </w:r>
      <w:r>
        <w:rPr>
          <w:rFonts w:cs="Arial" w:ascii="Arial" w:hAnsi="Arial"/>
          <w:color w:val="000000"/>
          <w:sz w:val="22"/>
          <w:szCs w:val="22"/>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auto"/>
          <w:sz w:val="22"/>
          <w:szCs w:val="22"/>
        </w:rPr>
        <w:t xml:space="preserve">g) </w:t>
      </w:r>
      <w:r>
        <w:rPr>
          <w:rFonts w:cs="Arial" w:ascii="Arial" w:hAnsi="Arial"/>
          <w:b w:val="false"/>
          <w:bCs w:val="false"/>
          <w:color w:val="auto"/>
          <w:sz w:val="22"/>
          <w:szCs w:val="22"/>
        </w:rPr>
        <w:t>Declaração que não está suspensa temporariamente da participação em licitações, nem impedida de contratar com o Poder Público e, da mesma forma não está na situação de empresa inidônea para licitar ou contratar com o Poder Público.</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h) </w:t>
      </w:r>
      <w:r>
        <w:rPr>
          <w:rFonts w:cs="Arial" w:ascii="Arial" w:hAnsi="Arial"/>
          <w:color w:val="000000"/>
          <w:sz w:val="22"/>
          <w:szCs w:val="22"/>
        </w:rPr>
        <w:t xml:space="preserve">Declaração que não se enquadra em nenhuma das hipóteses de impedimento previstas no artigo 14º, da Lei Federal nº 14.133/21. </w:t>
      </w:r>
      <w:r>
        <w:rPr>
          <w:rFonts w:cs="Arial" w:ascii="Arial" w:hAnsi="Arial"/>
          <w:b/>
          <w:color w:val="000000"/>
          <w:sz w:val="22"/>
          <w:szCs w:val="22"/>
        </w:rPr>
        <w:t>(Anexo II)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i) </w:t>
      </w:r>
      <w:r>
        <w:rPr>
          <w:rFonts w:cs="Arial" w:ascii="Arial" w:hAnsi="Arial"/>
          <w:color w:val="000000"/>
          <w:sz w:val="22"/>
          <w:szCs w:val="22"/>
        </w:rPr>
        <w:t xml:space="preserve">Declaração do porte da empresa. </w:t>
      </w:r>
      <w:r>
        <w:rPr>
          <w:rFonts w:cs="Arial" w:ascii="Arial" w:hAnsi="Arial"/>
          <w:b/>
          <w:color w:val="000000"/>
          <w:sz w:val="22"/>
          <w:szCs w:val="22"/>
        </w:rPr>
        <w:t>(Anexo III)</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cs="Arial" w:ascii="Arial" w:hAnsi="Arial"/>
          <w:b/>
          <w:bCs/>
          <w:sz w:val="22"/>
          <w:szCs w:val="22"/>
          <w:shd w:fill="auto" w:val="clear"/>
        </w:rPr>
        <w:t xml:space="preserve">6.15.5 Qualificação Técnica </w:t>
      </w:r>
    </w:p>
    <w:p>
      <w:pPr>
        <w:pStyle w:val="Normal"/>
        <w:spacing w:lineRule="auto" w:line="360"/>
        <w:jc w:val="both"/>
        <w:textAlignment w:val="top"/>
        <w:rPr>
          <w:rFonts w:ascii="Arial" w:hAnsi="Arial"/>
          <w:sz w:val="22"/>
          <w:szCs w:val="22"/>
        </w:rPr>
      </w:pPr>
      <w:r>
        <w:rPr>
          <w:rFonts w:cs="Arial" w:ascii="Arial" w:hAnsi="Arial"/>
          <w:b/>
          <w:color w:val="000000"/>
          <w:sz w:val="22"/>
          <w:szCs w:val="22"/>
          <w:shd w:fill="auto" w:val="clear"/>
        </w:rPr>
        <w:t xml:space="preserve">a) </w:t>
      </w:r>
      <w:r>
        <w:rPr>
          <w:rFonts w:cs="Arial" w:ascii="Arial" w:hAnsi="Arial"/>
          <w:b w:val="false"/>
          <w:bCs w:val="false"/>
          <w:color w:val="000000"/>
          <w:sz w:val="22"/>
          <w:szCs w:val="22"/>
          <w:shd w:fill="auto" w:val="clear"/>
        </w:rPr>
        <w:t>Não será solicitado.</w:t>
      </w:r>
    </w:p>
    <w:p>
      <w:pPr>
        <w:pStyle w:val="Normal"/>
        <w:spacing w:lineRule="auto" w:line="360"/>
        <w:jc w:val="both"/>
        <w:textAlignment w:val="top"/>
        <w:rPr>
          <w:rFonts w:ascii="Arial" w:hAnsi="Arial"/>
          <w:color w:val="000000"/>
          <w:sz w:val="22"/>
          <w:szCs w:val="22"/>
        </w:rPr>
      </w:pPr>
      <w:r>
        <w:rPr>
          <w:rFonts w:ascii="Arial" w:hAnsi="Arial"/>
          <w:color w:val="000000"/>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6.16 </w:t>
      </w:r>
      <w:r>
        <w:rPr>
          <w:rFonts w:cs="Arial" w:ascii="Arial" w:hAnsi="Arial"/>
          <w:color w:val="000000"/>
          <w:sz w:val="22"/>
          <w:szCs w:val="22"/>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408"/>
          <w:tab w:val="left" w:pos="851" w:leader="none"/>
        </w:tabs>
        <w:spacing w:lineRule="auto" w:line="360"/>
        <w:jc w:val="both"/>
        <w:rPr>
          <w:rFonts w:ascii="Arial" w:hAnsi="Arial"/>
          <w:sz w:val="22"/>
          <w:szCs w:val="22"/>
        </w:rPr>
      </w:pPr>
      <w:r>
        <w:rPr>
          <w:rFonts w:cs="Arial" w:ascii="Arial" w:hAnsi="Arial"/>
          <w:b/>
          <w:bCs/>
          <w:color w:val="000000"/>
          <w:sz w:val="22"/>
          <w:szCs w:val="22"/>
        </w:rPr>
        <w:t xml:space="preserve">6.16.1 </w:t>
      </w:r>
      <w:r>
        <w:rPr>
          <w:rFonts w:cs="Arial" w:ascii="Arial" w:hAnsi="Arial"/>
          <w:color w:val="000000"/>
          <w:sz w:val="22"/>
          <w:szCs w:val="22"/>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408"/>
          <w:tab w:val="left" w:pos="993" w:leader="none"/>
        </w:tabs>
        <w:spacing w:lineRule="auto" w:line="360"/>
        <w:jc w:val="both"/>
        <w:rPr>
          <w:rFonts w:ascii="Arial" w:hAnsi="Arial"/>
          <w:sz w:val="22"/>
          <w:szCs w:val="22"/>
        </w:rPr>
      </w:pPr>
      <w:r>
        <w:rPr>
          <w:rFonts w:cs="Arial" w:ascii="Arial" w:hAnsi="Arial"/>
          <w:b/>
          <w:bCs/>
          <w:color w:val="000000"/>
          <w:sz w:val="22"/>
          <w:szCs w:val="22"/>
        </w:rPr>
        <w:t>6.17</w:t>
      </w:r>
      <w:r>
        <w:rPr>
          <w:rFonts w:cs="Arial" w:ascii="Arial" w:hAnsi="Arial"/>
          <w:bCs/>
          <w:color w:val="000000"/>
          <w:sz w:val="22"/>
          <w:szCs w:val="22"/>
        </w:rPr>
        <w:t xml:space="preserve"> </w:t>
      </w:r>
      <w:r>
        <w:rPr>
          <w:rFonts w:cs="Arial" w:ascii="Arial" w:hAnsi="Arial"/>
          <w:color w:val="000000"/>
          <w:sz w:val="22"/>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tabs>
          <w:tab w:val="clear" w:pos="408"/>
          <w:tab w:val="left" w:pos="993" w:leader="none"/>
        </w:tabs>
        <w:spacing w:lineRule="auto" w:line="360"/>
        <w:jc w:val="both"/>
        <w:rPr>
          <w:rFonts w:ascii="Arial" w:hAnsi="Arial"/>
          <w:sz w:val="22"/>
          <w:szCs w:val="22"/>
        </w:rPr>
      </w:pPr>
      <w:r>
        <w:rPr>
          <w:rFonts w:ascii="Arial" w:hAnsi="Arial"/>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7. DO PREENCHIMENTO DA PROPOSTA NO SISTEMA</w:t>
      </w:r>
    </w:p>
    <w:p>
      <w:pPr>
        <w:pStyle w:val="Normal"/>
        <w:spacing w:lineRule="auto" w:line="360"/>
        <w:jc w:val="both"/>
        <w:rPr>
          <w:rFonts w:ascii="Arial" w:hAnsi="Arial"/>
          <w:sz w:val="22"/>
          <w:szCs w:val="22"/>
        </w:rPr>
      </w:pPr>
      <w:r>
        <w:rPr>
          <w:rFonts w:cs="Arial" w:ascii="Arial" w:hAnsi="Arial"/>
          <w:b/>
          <w:bCs/>
          <w:color w:val="000000"/>
          <w:sz w:val="22"/>
          <w:szCs w:val="22"/>
        </w:rPr>
        <w:t>7.1</w:t>
      </w:r>
      <w:r>
        <w:rPr>
          <w:rFonts w:cs="Arial" w:ascii="Arial" w:hAnsi="Arial"/>
          <w:color w:val="000000"/>
          <w:sz w:val="22"/>
          <w:szCs w:val="22"/>
        </w:rPr>
        <w:t xml:space="preserve"> A proposta, cujo prazo de validade é fixado pela Administração em </w:t>
      </w:r>
      <w:r>
        <w:rPr>
          <w:rFonts w:cs="Arial" w:ascii="Arial" w:hAnsi="Arial"/>
          <w:b/>
          <w:color w:val="000000"/>
          <w:sz w:val="22"/>
          <w:szCs w:val="22"/>
        </w:rPr>
        <w:t xml:space="preserve">sessenta </w:t>
      </w:r>
      <w:r>
        <w:rPr>
          <w:rFonts w:cs="Arial" w:ascii="Arial" w:hAnsi="Arial"/>
          <w:color w:val="000000"/>
          <w:sz w:val="22"/>
          <w:szCs w:val="22"/>
        </w:rPr>
        <w:t xml:space="preserve">(60) dias, deverá ser registrada no sistema eletrônico, observando as diretrizes do </w:t>
      </w:r>
      <w:r>
        <w:rPr>
          <w:rFonts w:cs="Arial" w:ascii="Arial" w:hAnsi="Arial"/>
          <w:b/>
          <w:color w:val="000000"/>
          <w:sz w:val="22"/>
          <w:szCs w:val="22"/>
        </w:rPr>
        <w:t>Anexo IV</w:t>
      </w:r>
      <w:r>
        <w:rPr>
          <w:rFonts w:cs="Arial" w:ascii="Arial" w:hAnsi="Arial"/>
          <w:color w:val="000000"/>
          <w:sz w:val="22"/>
          <w:szCs w:val="22"/>
        </w:rPr>
        <w:t>. Também deverá conter:</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razão social da empresa;</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Informação de marca/modelo ofertada.</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Informação do fabricante do produto.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Descrição do objeto, contendo as informações similares à especificação do Termo de Referência – Anexo 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7.2 </w:t>
      </w:r>
      <w:r>
        <w:rPr>
          <w:rFonts w:cs="Arial" w:ascii="Arial" w:hAnsi="Arial"/>
          <w:color w:val="000000"/>
          <w:sz w:val="22"/>
          <w:szCs w:val="22"/>
        </w:rPr>
        <w:t>Serão desclassificadas as propostas que se apresentarem em desconformidade com este edital, bem como, com preços superestimados ou inexequíveis.</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7.3 </w:t>
      </w:r>
      <w:r>
        <w:rPr>
          <w:rFonts w:cs="Arial" w:ascii="Arial" w:hAnsi="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360"/>
        <w:jc w:val="both"/>
        <w:rPr>
          <w:rFonts w:ascii="Arial" w:hAnsi="Arial"/>
          <w:sz w:val="22"/>
          <w:szCs w:val="22"/>
        </w:rPr>
      </w:pPr>
      <w:r>
        <w:rPr>
          <w:rFonts w:cs="Arial" w:ascii="Arial" w:hAnsi="Arial"/>
          <w:b/>
          <w:color w:val="000000"/>
          <w:sz w:val="22"/>
          <w:szCs w:val="22"/>
        </w:rPr>
        <w:t xml:space="preserve">7.4 </w:t>
      </w:r>
      <w:r>
        <w:rPr>
          <w:rFonts w:cs="Arial" w:ascii="Arial" w:hAnsi="Arial"/>
          <w:color w:val="000000"/>
          <w:sz w:val="22"/>
          <w:szCs w:val="22"/>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8. ABERTURA DA SESSÃO PÚBLICA</w:t>
      </w:r>
    </w:p>
    <w:p>
      <w:pPr>
        <w:pStyle w:val="Default"/>
        <w:spacing w:lineRule="auto" w:line="360"/>
        <w:jc w:val="both"/>
        <w:rPr>
          <w:rFonts w:ascii="Arial" w:hAnsi="Arial"/>
          <w:sz w:val="22"/>
          <w:szCs w:val="22"/>
        </w:rPr>
      </w:pPr>
      <w:r>
        <w:rPr>
          <w:rFonts w:cs="Arial" w:ascii="Arial" w:hAnsi="Arial"/>
          <w:b/>
          <w:sz w:val="22"/>
          <w:szCs w:val="22"/>
        </w:rPr>
        <w:t xml:space="preserve">8.1 </w:t>
      </w:r>
      <w:r>
        <w:rPr>
          <w:rFonts w:cs="Arial" w:ascii="Arial" w:hAnsi="Arial"/>
          <w:sz w:val="22"/>
          <w:szCs w:val="22"/>
        </w:rPr>
        <w:t>No dia e hora indicados no preâmbulo, o pregoeiro abrirá a sessão pública, mediante a utilização de sua chave e senha.</w:t>
      </w:r>
    </w:p>
    <w:p>
      <w:pPr>
        <w:pStyle w:val="Default"/>
        <w:spacing w:lineRule="auto" w:line="360"/>
        <w:jc w:val="both"/>
        <w:rPr>
          <w:rFonts w:ascii="Arial" w:hAnsi="Arial"/>
          <w:sz w:val="22"/>
          <w:szCs w:val="22"/>
        </w:rPr>
      </w:pPr>
      <w:r>
        <w:rPr>
          <w:rFonts w:cs="Arial" w:ascii="Arial" w:hAnsi="Arial"/>
          <w:b/>
          <w:sz w:val="22"/>
          <w:szCs w:val="22"/>
        </w:rPr>
        <w:t xml:space="preserve">8.2 </w:t>
      </w:r>
      <w:r>
        <w:rPr>
          <w:rFonts w:cs="Arial" w:ascii="Arial" w:hAnsi="Arial"/>
          <w:sz w:val="22"/>
          <w:szCs w:val="22"/>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360"/>
        <w:jc w:val="both"/>
        <w:rPr>
          <w:rFonts w:ascii="Arial" w:hAnsi="Arial"/>
          <w:sz w:val="22"/>
          <w:szCs w:val="22"/>
        </w:rPr>
      </w:pPr>
      <w:r>
        <w:rPr>
          <w:rFonts w:cs="Arial" w:ascii="Arial" w:hAnsi="Arial"/>
          <w:b/>
          <w:sz w:val="22"/>
          <w:szCs w:val="22"/>
        </w:rPr>
        <w:t xml:space="preserve">8.3 </w:t>
      </w:r>
      <w:r>
        <w:rPr>
          <w:rFonts w:cs="Arial" w:ascii="Arial" w:hAnsi="Arial"/>
          <w:sz w:val="22"/>
          <w:szCs w:val="22"/>
        </w:rPr>
        <w:t>A comunicação entre o pregoeiro e os licitantes ocorrerá mediante troca de mensagens em campo próprio do sistema eletrônico.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8.4 </w:t>
      </w:r>
      <w:r>
        <w:rPr>
          <w:rFonts w:cs="Arial" w:ascii="Arial" w:hAnsi="Arial"/>
          <w:color w:val="000000"/>
          <w:sz w:val="22"/>
          <w:szCs w:val="22"/>
        </w:rPr>
        <w:t>Iniciada a sessão, as propostas de preços contendo a descrição do objeto e do valor estarão disponíveis na internet.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8.5 </w:t>
      </w:r>
      <w:r>
        <w:rPr>
          <w:rFonts w:eastAsia="Arial" w:cs="Arial" w:ascii="Arial" w:hAnsi="Arial"/>
          <w:color w:val="000000"/>
          <w:sz w:val="22"/>
          <w:szCs w:val="22"/>
        </w:rPr>
        <w:t>Os licitantes poderão retirar ou substituir a proposta ou os documentos de habilitação, quando for o caso, anteriormente inseridos no sistema, até a abertura da sessão pública.</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9. CLASSIFICAÇÃO INICIAL DAS PROPOSTAS E FORMULAÇÃO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9.1</w:t>
      </w:r>
      <w:r>
        <w:rPr>
          <w:rFonts w:cs="Arial" w:ascii="Arial" w:hAnsi="Arial"/>
          <w:color w:val="000000"/>
          <w:sz w:val="22"/>
          <w:szCs w:val="22"/>
        </w:rPr>
        <w:t xml:space="preserve"> O pregoeiro verificará as propostas apresentadas e desclassificará fundamentadamente aquelas que não estejam em conformidade com os requisitos estabelecidos no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 </w:t>
      </w:r>
      <w:r>
        <w:rPr>
          <w:rFonts w:cs="Arial" w:ascii="Arial" w:hAnsi="Arial"/>
          <w:color w:val="000000"/>
          <w:sz w:val="22"/>
          <w:szCs w:val="22"/>
        </w:rPr>
        <w:t>Será desclassificada a proposta que:</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contiver vícios insanáveis;</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não obedecer às especificações técnicas contidas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apresentar preços inexequíveis ou permanecerem acima do preço máximo definido para 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não tiverem sua exequibilidade demonstrada, quando exigido pela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apresentar desconformidade com quaisquer outras exigências deste Edital ou seus anexos, desde que insanável.</w:t>
      </w:r>
    </w:p>
    <w:p>
      <w:pPr>
        <w:pStyle w:val="Normal"/>
        <w:spacing w:lineRule="auto" w:line="360"/>
        <w:jc w:val="both"/>
        <w:rPr>
          <w:rFonts w:ascii="Arial" w:hAnsi="Arial"/>
          <w:sz w:val="22"/>
          <w:szCs w:val="22"/>
        </w:rPr>
      </w:pPr>
      <w:r>
        <w:rPr>
          <w:rFonts w:cs="Arial" w:ascii="Arial" w:hAnsi="Arial"/>
          <w:b/>
          <w:color w:val="000000"/>
          <w:sz w:val="22"/>
          <w:szCs w:val="22"/>
        </w:rPr>
        <w:t xml:space="preserve">9.2.1 </w:t>
      </w:r>
      <w:r>
        <w:rPr>
          <w:rFonts w:cs="Arial" w:ascii="Arial" w:hAnsi="Arial"/>
          <w:color w:val="000000"/>
          <w:sz w:val="22"/>
          <w:szCs w:val="22"/>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9.2.2 </w:t>
      </w:r>
      <w:r>
        <w:rPr>
          <w:rFonts w:cs="Arial" w:ascii="Arial" w:hAnsi="Arial"/>
          <w:color w:val="000000"/>
          <w:sz w:val="22"/>
          <w:szCs w:val="22"/>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360"/>
        <w:jc w:val="both"/>
        <w:rPr>
          <w:rFonts w:ascii="Arial" w:hAnsi="Arial"/>
          <w:sz w:val="22"/>
          <w:szCs w:val="22"/>
        </w:rPr>
      </w:pPr>
      <w:r>
        <w:rPr>
          <w:rFonts w:cs="Arial" w:ascii="Arial" w:hAnsi="Arial"/>
          <w:b/>
          <w:color w:val="000000"/>
          <w:sz w:val="22"/>
          <w:szCs w:val="22"/>
        </w:rPr>
        <w:t xml:space="preserve">9.2.3 </w:t>
      </w:r>
      <w:r>
        <w:rPr>
          <w:rFonts w:cs="Arial" w:ascii="Arial" w:hAnsi="Arial"/>
          <w:color w:val="000000"/>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360"/>
        <w:jc w:val="both"/>
        <w:rPr>
          <w:rFonts w:ascii="Arial" w:hAnsi="Arial"/>
          <w:sz w:val="22"/>
          <w:szCs w:val="22"/>
        </w:rPr>
      </w:pPr>
      <w:r>
        <w:rPr>
          <w:rFonts w:cs="Arial" w:ascii="Arial" w:hAnsi="Arial"/>
          <w:b/>
          <w:color w:val="000000"/>
          <w:sz w:val="22"/>
          <w:szCs w:val="22"/>
        </w:rPr>
        <w:t xml:space="preserve">9.3 </w:t>
      </w:r>
      <w:r>
        <w:rPr>
          <w:rFonts w:cs="Arial" w:ascii="Arial" w:hAnsi="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9.4 </w:t>
      </w:r>
      <w:r>
        <w:rPr>
          <w:rFonts w:cs="Arial" w:ascii="Arial" w:hAnsi="Arial"/>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9.4.1 </w:t>
      </w:r>
      <w:r>
        <w:rPr>
          <w:rFonts w:cs="Arial" w:ascii="Arial" w:hAnsi="Arial"/>
          <w:color w:val="000000"/>
          <w:sz w:val="22"/>
          <w:szCs w:val="22"/>
        </w:rPr>
        <w:t>O ajuste de que trata este dispositivo se limita a sanar erros ou falhas que não alterem a substância das propostas;</w:t>
      </w:r>
    </w:p>
    <w:p>
      <w:pPr>
        <w:pStyle w:val="Normal"/>
        <w:spacing w:lineRule="auto" w:line="360"/>
        <w:jc w:val="both"/>
        <w:rPr>
          <w:rFonts w:ascii="Arial" w:hAnsi="Arial"/>
          <w:sz w:val="22"/>
          <w:szCs w:val="22"/>
        </w:rPr>
      </w:pPr>
      <w:r>
        <w:rPr>
          <w:rFonts w:cs="Arial" w:ascii="Arial" w:hAnsi="Arial"/>
          <w:b/>
          <w:color w:val="000000"/>
          <w:sz w:val="22"/>
          <w:szCs w:val="22"/>
        </w:rPr>
        <w:t xml:space="preserve">9.4.2 </w:t>
      </w:r>
      <w:r>
        <w:rPr>
          <w:rFonts w:cs="Arial" w:ascii="Arial" w:hAnsi="Arial"/>
          <w:color w:val="000000"/>
          <w:sz w:val="22"/>
          <w:szCs w:val="22"/>
        </w:rPr>
        <w:t>Considera-se erro no preenchimento da planilha passível de correção a indicação de recolhimento de impostos e contribuições na forma do Simples Nacional, quando não cabível esse regime.</w:t>
      </w:r>
    </w:p>
    <w:p>
      <w:pPr>
        <w:pStyle w:val="Normal"/>
        <w:spacing w:lineRule="auto" w:line="360"/>
        <w:jc w:val="both"/>
        <w:rPr>
          <w:rFonts w:ascii="Arial" w:hAnsi="Arial"/>
          <w:sz w:val="22"/>
          <w:szCs w:val="22"/>
        </w:rPr>
      </w:pPr>
      <w:r>
        <w:rPr>
          <w:rFonts w:cs="Arial" w:ascii="Arial" w:hAnsi="Arial"/>
          <w:b/>
          <w:color w:val="000000"/>
          <w:sz w:val="22"/>
          <w:szCs w:val="22"/>
        </w:rPr>
        <w:t xml:space="preserve">9.5 </w:t>
      </w:r>
      <w:r>
        <w:rPr>
          <w:rFonts w:cs="Arial" w:ascii="Arial" w:hAnsi="Arial"/>
          <w:color w:val="000000"/>
          <w:sz w:val="22"/>
          <w:szCs w:val="22"/>
        </w:rPr>
        <w:t>Caso o Termo de Referência – Anexo I – exija a apresentação de amostra, o licitante classificado em primeiro lugar deverá apresentá-la, conforme disciplinado no Termo de Referência – Anexo I – sob pena de não aceitação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9.5.1 </w:t>
      </w:r>
      <w:r>
        <w:rPr>
          <w:rFonts w:cs="Arial" w:ascii="Arial" w:hAnsi="Arial"/>
          <w:color w:val="000000"/>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9.6 </w:t>
      </w:r>
      <w:r>
        <w:rPr>
          <w:rFonts w:cs="Arial" w:ascii="Arial" w:hAnsi="Arial"/>
          <w:color w:val="000000"/>
          <w:sz w:val="22"/>
          <w:szCs w:val="22"/>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360"/>
        <w:jc w:val="both"/>
        <w:rPr>
          <w:rFonts w:ascii="Arial" w:hAnsi="Arial"/>
          <w:sz w:val="22"/>
          <w:szCs w:val="22"/>
        </w:rPr>
      </w:pPr>
      <w:r>
        <w:rPr>
          <w:rFonts w:cs="Arial" w:ascii="Arial" w:hAnsi="Arial"/>
          <w:b/>
          <w:color w:val="000000"/>
          <w:sz w:val="22"/>
          <w:szCs w:val="22"/>
        </w:rPr>
        <w:t xml:space="preserve">9.7 </w:t>
      </w:r>
      <w:r>
        <w:rPr>
          <w:rFonts w:cs="Arial" w:ascii="Arial" w:hAnsi="Arial"/>
          <w:color w:val="000000"/>
          <w:sz w:val="22"/>
          <w:szCs w:val="22"/>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360"/>
        <w:jc w:val="both"/>
        <w:rPr>
          <w:rFonts w:ascii="Arial" w:hAnsi="Arial"/>
          <w:sz w:val="22"/>
          <w:szCs w:val="22"/>
        </w:rPr>
      </w:pPr>
      <w:r>
        <w:rPr>
          <w:rFonts w:cs="Arial" w:ascii="Arial" w:hAnsi="Arial"/>
          <w:b/>
          <w:color w:val="000000"/>
          <w:sz w:val="22"/>
          <w:szCs w:val="22"/>
        </w:rPr>
        <w:t xml:space="preserve">9.8 </w:t>
      </w:r>
      <w:r>
        <w:rPr>
          <w:rFonts w:cs="Arial" w:ascii="Arial" w:hAnsi="Arial"/>
          <w:color w:val="000000"/>
          <w:sz w:val="22"/>
          <w:szCs w:val="22"/>
        </w:rPr>
        <w:t>Somente poderão participar da fase competitiva os autores das propostas classificadas.</w:t>
      </w:r>
    </w:p>
    <w:p>
      <w:pPr>
        <w:pStyle w:val="Normal"/>
        <w:spacing w:lineRule="auto" w:line="360"/>
        <w:jc w:val="both"/>
        <w:rPr>
          <w:rFonts w:ascii="Arial" w:hAnsi="Arial"/>
          <w:sz w:val="22"/>
          <w:szCs w:val="22"/>
        </w:rPr>
      </w:pPr>
      <w:r>
        <w:rPr>
          <w:rFonts w:cs="Arial" w:ascii="Arial" w:hAnsi="Arial"/>
          <w:b/>
          <w:color w:val="000000"/>
          <w:sz w:val="22"/>
          <w:szCs w:val="22"/>
        </w:rPr>
        <w:t xml:space="preserve">9.9 </w:t>
      </w:r>
      <w:r>
        <w:rPr>
          <w:rFonts w:cs="Arial" w:ascii="Arial" w:hAnsi="Arial"/>
          <w:color w:val="000000"/>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360"/>
        <w:jc w:val="both"/>
        <w:rPr>
          <w:rFonts w:ascii="Arial" w:hAnsi="Arial"/>
          <w:sz w:val="22"/>
          <w:szCs w:val="22"/>
        </w:rPr>
      </w:pPr>
      <w:r>
        <w:rPr>
          <w:rFonts w:cs="Arial" w:ascii="Arial" w:hAnsi="Arial"/>
          <w:b/>
          <w:color w:val="000000"/>
          <w:sz w:val="22"/>
          <w:szCs w:val="22"/>
        </w:rPr>
        <w:t xml:space="preserve">9.9.1 </w:t>
      </w:r>
      <w:r>
        <w:rPr>
          <w:rFonts w:cs="Arial" w:ascii="Arial" w:hAnsi="Arial"/>
          <w:color w:val="000000"/>
          <w:sz w:val="22"/>
          <w:szCs w:val="22"/>
        </w:rPr>
        <w:t>O licitante será imediatamente informado do recebimento do lance e do valor consignado no registro.</w:t>
      </w:r>
    </w:p>
    <w:p>
      <w:pPr>
        <w:pStyle w:val="Normal"/>
        <w:spacing w:lineRule="auto" w:line="360"/>
        <w:jc w:val="both"/>
        <w:rPr>
          <w:rFonts w:ascii="Arial" w:hAnsi="Arial"/>
          <w:sz w:val="22"/>
          <w:szCs w:val="22"/>
        </w:rPr>
      </w:pPr>
      <w:r>
        <w:rPr>
          <w:rFonts w:cs="Arial" w:ascii="Arial" w:hAnsi="Arial"/>
          <w:b/>
          <w:color w:val="000000"/>
          <w:sz w:val="22"/>
          <w:szCs w:val="22"/>
        </w:rPr>
        <w:t xml:space="preserve">9.9.2. </w:t>
      </w:r>
      <w:r>
        <w:rPr>
          <w:rFonts w:cs="Arial" w:ascii="Arial" w:hAnsi="Arial"/>
          <w:color w:val="000000"/>
          <w:sz w:val="22"/>
          <w:szCs w:val="22"/>
        </w:rPr>
        <w:t>O licitante somente poderá oferecer valor inferior ao último lance por ele ofertado e registrado pelo sistema.</w:t>
      </w:r>
    </w:p>
    <w:p>
      <w:pPr>
        <w:pStyle w:val="Normal"/>
        <w:spacing w:lineRule="auto" w:line="360"/>
        <w:jc w:val="both"/>
        <w:rPr>
          <w:rFonts w:ascii="Arial" w:hAnsi="Arial"/>
          <w:sz w:val="22"/>
          <w:szCs w:val="22"/>
        </w:rPr>
      </w:pPr>
      <w:r>
        <w:rPr>
          <w:rFonts w:cs="Arial" w:ascii="Arial" w:hAnsi="Arial"/>
          <w:b/>
          <w:color w:val="000000"/>
          <w:sz w:val="22"/>
          <w:szCs w:val="22"/>
        </w:rPr>
        <w:t xml:space="preserve">9.9.3. </w:t>
      </w:r>
      <w:r>
        <w:rPr>
          <w:rFonts w:cs="Arial" w:ascii="Arial" w:hAnsi="Arial"/>
          <w:color w:val="000000"/>
          <w:sz w:val="22"/>
          <w:szCs w:val="22"/>
        </w:rPr>
        <w:t>Não serão aceitos dois ou mais lances iguais e prevalecerá aquele que for recebido e registrado primeiro.</w:t>
      </w:r>
    </w:p>
    <w:p>
      <w:pPr>
        <w:pStyle w:val="Normal"/>
        <w:spacing w:lineRule="auto" w:line="360"/>
        <w:jc w:val="both"/>
        <w:rPr>
          <w:rFonts w:ascii="Arial" w:hAnsi="Arial"/>
          <w:sz w:val="22"/>
          <w:szCs w:val="22"/>
        </w:rPr>
      </w:pPr>
      <w:r>
        <w:rPr>
          <w:rFonts w:cs="Arial" w:ascii="Arial" w:hAnsi="Arial"/>
          <w:b/>
          <w:color w:val="000000"/>
          <w:sz w:val="22"/>
          <w:szCs w:val="22"/>
        </w:rPr>
        <w:t xml:space="preserve">9.9.4. </w:t>
      </w:r>
      <w:r>
        <w:rPr>
          <w:rFonts w:cs="Arial" w:ascii="Arial" w:hAnsi="Arial"/>
          <w:b w:val="false"/>
          <w:bCs w:val="false"/>
          <w:color w:val="000000"/>
          <w:sz w:val="22"/>
          <w:szCs w:val="22"/>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360"/>
        <w:jc w:val="both"/>
        <w:rPr>
          <w:rFonts w:ascii="Arial" w:hAnsi="Arial"/>
          <w:sz w:val="22"/>
          <w:szCs w:val="22"/>
        </w:rPr>
      </w:pPr>
      <w:r>
        <w:rPr>
          <w:rFonts w:cs="Arial" w:ascii="Arial" w:hAnsi="Arial"/>
          <w:b/>
          <w:sz w:val="22"/>
          <w:szCs w:val="22"/>
        </w:rPr>
        <w:t xml:space="preserve">9.9.5 </w:t>
      </w:r>
      <w:r>
        <w:rPr>
          <w:rFonts w:cs="Arial" w:ascii="Arial" w:hAnsi="Arial"/>
          <w:sz w:val="22"/>
          <w:szCs w:val="22"/>
        </w:rPr>
        <w:t>Serão considerados intermediários os lances iguais ou superiores ao menor já ofertado.</w:t>
      </w:r>
    </w:p>
    <w:p>
      <w:pPr>
        <w:pStyle w:val="Normal"/>
        <w:spacing w:lineRule="auto" w:line="360"/>
        <w:jc w:val="both"/>
        <w:rPr>
          <w:rFonts w:ascii="Arial" w:hAnsi="Arial"/>
          <w:sz w:val="22"/>
          <w:szCs w:val="22"/>
        </w:rPr>
      </w:pPr>
      <w:r>
        <w:rPr>
          <w:rFonts w:cs="Arial" w:ascii="Arial" w:hAnsi="Arial"/>
          <w:b/>
          <w:color w:val="000000"/>
          <w:sz w:val="22"/>
          <w:szCs w:val="22"/>
        </w:rPr>
        <w:t xml:space="preserve">9.9.6 </w:t>
      </w:r>
      <w:r>
        <w:rPr>
          <w:rFonts w:cs="Arial" w:ascii="Arial" w:hAnsi="Arial"/>
          <w:color w:val="000000"/>
          <w:sz w:val="22"/>
          <w:szCs w:val="22"/>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360"/>
        <w:jc w:val="both"/>
        <w:rPr>
          <w:rFonts w:ascii="Arial" w:hAnsi="Arial"/>
          <w:sz w:val="22"/>
          <w:szCs w:val="22"/>
        </w:rPr>
      </w:pPr>
      <w:r>
        <w:rPr>
          <w:rFonts w:cs="Arial" w:ascii="Arial" w:hAnsi="Arial"/>
          <w:b/>
          <w:color w:val="000000"/>
          <w:sz w:val="22"/>
          <w:szCs w:val="22"/>
        </w:rPr>
        <w:t xml:space="preserve">9.10 </w:t>
      </w:r>
      <w:r>
        <w:rPr>
          <w:rFonts w:cs="Arial" w:ascii="Arial" w:hAnsi="Arial"/>
          <w:color w:val="000000"/>
          <w:sz w:val="22"/>
          <w:szCs w:val="22"/>
        </w:rPr>
        <w:t>O sistema disponibilizará campo próprio para troca de mensagens entre o(a) Pregoeiro(a) e os licitantes.</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 xml:space="preserve">10. MODO DE DISPUTA </w:t>
      </w:r>
    </w:p>
    <w:p>
      <w:pPr>
        <w:pStyle w:val="Default"/>
        <w:spacing w:lineRule="auto" w:line="360"/>
        <w:jc w:val="both"/>
        <w:rPr>
          <w:rFonts w:ascii="Arial" w:hAnsi="Arial"/>
          <w:sz w:val="22"/>
          <w:szCs w:val="22"/>
        </w:rPr>
      </w:pPr>
      <w:r>
        <w:rPr>
          <w:rFonts w:cs="Arial" w:ascii="Arial" w:hAnsi="Arial"/>
          <w:b/>
          <w:sz w:val="22"/>
          <w:szCs w:val="22"/>
        </w:rPr>
        <w:t xml:space="preserve">10.1. </w:t>
      </w:r>
      <w:r>
        <w:rPr>
          <w:rFonts w:cs="Arial" w:ascii="Arial" w:hAnsi="Arial"/>
          <w:sz w:val="22"/>
          <w:szCs w:val="22"/>
        </w:rPr>
        <w:t xml:space="preserve">Será adotado o modo de disputa </w:t>
      </w:r>
      <w:r>
        <w:rPr>
          <w:rFonts w:cs="Arial" w:ascii="Arial" w:hAnsi="Arial"/>
          <w:b/>
          <w:bCs/>
          <w:sz w:val="22"/>
          <w:szCs w:val="22"/>
        </w:rPr>
        <w:t>ABERTO</w:t>
      </w:r>
      <w:r>
        <w:rPr>
          <w:rFonts w:cs="Arial" w:ascii="Arial" w:hAnsi="Arial"/>
          <w:sz w:val="22"/>
          <w:szCs w:val="22"/>
        </w:rPr>
        <w:t>, em que os licitantes apresentarão lances públicos e sucessivos, observando as regras constantes no item 9.</w:t>
      </w:r>
    </w:p>
    <w:p>
      <w:pPr>
        <w:pStyle w:val="Default"/>
        <w:spacing w:lineRule="auto" w:line="360"/>
        <w:jc w:val="both"/>
        <w:rPr>
          <w:rFonts w:ascii="Arial" w:hAnsi="Arial"/>
          <w:sz w:val="22"/>
          <w:szCs w:val="22"/>
        </w:rPr>
      </w:pPr>
      <w:r>
        <w:rPr>
          <w:rFonts w:cs="Arial" w:ascii="Arial" w:hAnsi="Arial"/>
          <w:b/>
          <w:sz w:val="22"/>
          <w:szCs w:val="22"/>
        </w:rPr>
        <w:t xml:space="preserve">10.2. </w:t>
      </w:r>
      <w:r>
        <w:rPr>
          <w:rFonts w:cs="Arial" w:ascii="Arial" w:hAnsi="Arial"/>
          <w:sz w:val="22"/>
          <w:szCs w:val="22"/>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360"/>
        <w:jc w:val="both"/>
        <w:rPr>
          <w:rFonts w:ascii="Arial" w:hAnsi="Arial"/>
          <w:sz w:val="22"/>
          <w:szCs w:val="22"/>
        </w:rPr>
      </w:pPr>
      <w:r>
        <w:rPr>
          <w:rFonts w:cs="Arial" w:ascii="Arial" w:hAnsi="Arial"/>
          <w:b/>
          <w:sz w:val="22"/>
          <w:szCs w:val="22"/>
        </w:rPr>
        <w:t xml:space="preserve">10.3. </w:t>
      </w:r>
      <w:r>
        <w:rPr>
          <w:rFonts w:cs="Arial" w:ascii="Arial" w:hAnsi="Arial"/>
          <w:sz w:val="22"/>
          <w:szCs w:val="22"/>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360"/>
        <w:jc w:val="both"/>
        <w:rPr>
          <w:rFonts w:ascii="Arial" w:hAnsi="Arial"/>
          <w:sz w:val="22"/>
          <w:szCs w:val="22"/>
        </w:rPr>
      </w:pPr>
      <w:r>
        <w:rPr>
          <w:rFonts w:cs="Arial" w:ascii="Arial" w:hAnsi="Arial"/>
          <w:b/>
          <w:color w:val="000000"/>
          <w:sz w:val="22"/>
          <w:szCs w:val="22"/>
        </w:rPr>
        <w:t xml:space="preserve">10.4. </w:t>
      </w:r>
      <w:r>
        <w:rPr>
          <w:rFonts w:cs="Arial" w:ascii="Arial" w:hAnsi="Arial"/>
          <w:color w:val="000000"/>
          <w:sz w:val="22"/>
          <w:szCs w:val="22"/>
        </w:rPr>
        <w:t xml:space="preserve">Na hipótese de não haver novos lances, a sessão pública será encerrada automaticamente. </w:t>
      </w:r>
    </w:p>
    <w:p>
      <w:pPr>
        <w:pStyle w:val="Default"/>
        <w:spacing w:lineRule="auto" w:line="360"/>
        <w:jc w:val="both"/>
        <w:rPr>
          <w:rFonts w:ascii="Arial" w:hAnsi="Arial"/>
          <w:sz w:val="22"/>
          <w:szCs w:val="22"/>
        </w:rPr>
      </w:pPr>
      <w:r>
        <w:rPr>
          <w:rFonts w:cs="Arial" w:ascii="Arial" w:hAnsi="Arial"/>
          <w:b/>
          <w:sz w:val="22"/>
          <w:szCs w:val="22"/>
        </w:rPr>
        <w:t xml:space="preserve">10.5. </w:t>
      </w:r>
      <w:r>
        <w:rPr>
          <w:rFonts w:cs="Arial" w:ascii="Arial" w:hAnsi="Arial"/>
          <w:sz w:val="22"/>
          <w:szCs w:val="22"/>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360"/>
        <w:jc w:val="both"/>
        <w:rPr>
          <w:rFonts w:ascii="Arial" w:hAnsi="Arial"/>
          <w:sz w:val="22"/>
          <w:szCs w:val="22"/>
        </w:rPr>
      </w:pPr>
      <w:r>
        <w:rPr>
          <w:rFonts w:cs="Arial" w:ascii="Arial" w:hAnsi="Arial"/>
          <w:b/>
          <w:sz w:val="22"/>
          <w:szCs w:val="22"/>
        </w:rPr>
        <w:t xml:space="preserve">10.6. </w:t>
      </w:r>
      <w:r>
        <w:rPr>
          <w:rFonts w:cs="Arial" w:ascii="Arial" w:hAnsi="Arial"/>
          <w:sz w:val="22"/>
          <w:szCs w:val="22"/>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360"/>
        <w:jc w:val="both"/>
        <w:rPr/>
      </w:pPr>
      <w:r>
        <w:rPr>
          <w:rFonts w:cs="Arial" w:ascii="Arial" w:hAnsi="Arial"/>
          <w:b/>
          <w:color w:val="000000"/>
          <w:sz w:val="22"/>
          <w:szCs w:val="22"/>
        </w:rPr>
        <w:t xml:space="preserve">10.7. </w:t>
      </w:r>
      <w:r>
        <w:rPr>
          <w:rFonts w:cs="Arial" w:ascii="Arial" w:hAnsi="Arial"/>
          <w:color w:val="000000"/>
          <w:sz w:val="22"/>
          <w:szCs w:val="22"/>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Itemdoedital"/>
        <w:numPr>
          <w:ilvl w:val="0"/>
          <w:numId w:val="12"/>
        </w:numPr>
        <w:spacing w:lineRule="auto" w:line="360"/>
        <w:ind w:left="0" w:right="0" w:hanging="0"/>
        <w:rPr>
          <w:rFonts w:ascii="Arial" w:hAnsi="Arial"/>
          <w:sz w:val="22"/>
          <w:szCs w:val="22"/>
        </w:rPr>
      </w:pPr>
      <w:r>
        <w:rPr>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 xml:space="preserve">11. CRITÉRIOS DE DESEMPATE </w:t>
      </w:r>
    </w:p>
    <w:p>
      <w:pPr>
        <w:pStyle w:val="Default"/>
        <w:spacing w:lineRule="auto" w:line="360"/>
        <w:jc w:val="both"/>
        <w:rPr>
          <w:rFonts w:ascii="Arial" w:hAnsi="Arial"/>
          <w:sz w:val="22"/>
          <w:szCs w:val="22"/>
        </w:rPr>
      </w:pPr>
      <w:r>
        <w:rPr>
          <w:rFonts w:cs="Arial" w:ascii="Arial" w:hAnsi="Arial"/>
          <w:b/>
          <w:sz w:val="22"/>
          <w:szCs w:val="22"/>
        </w:rPr>
        <w:t xml:space="preserve">11.1. </w:t>
      </w:r>
      <w:r>
        <w:rPr>
          <w:rFonts w:cs="Arial" w:ascii="Arial" w:hAnsi="Arial"/>
          <w:sz w:val="22"/>
          <w:szCs w:val="22"/>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360"/>
        <w:jc w:val="both"/>
        <w:rPr>
          <w:rFonts w:ascii="Arial" w:hAnsi="Arial"/>
          <w:sz w:val="22"/>
          <w:szCs w:val="22"/>
        </w:rPr>
      </w:pPr>
      <w:r>
        <w:rPr>
          <w:rFonts w:cs="Arial" w:ascii="Arial" w:hAnsi="Arial"/>
          <w:b/>
          <w:sz w:val="22"/>
          <w:szCs w:val="22"/>
        </w:rPr>
        <w:t xml:space="preserve">11.1.1. </w:t>
      </w:r>
      <w:r>
        <w:rPr>
          <w:rFonts w:cs="Arial" w:ascii="Arial" w:hAnsi="Arial"/>
          <w:sz w:val="22"/>
          <w:szCs w:val="22"/>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360"/>
        <w:jc w:val="both"/>
        <w:rPr>
          <w:rFonts w:ascii="Arial" w:hAnsi="Arial"/>
          <w:sz w:val="22"/>
          <w:szCs w:val="22"/>
        </w:rPr>
      </w:pPr>
      <w:r>
        <w:rPr>
          <w:rFonts w:cs="Arial" w:ascii="Arial" w:hAnsi="Arial"/>
          <w:b/>
          <w:sz w:val="22"/>
          <w:szCs w:val="22"/>
        </w:rPr>
        <w:t xml:space="preserve">11.1.2. </w:t>
      </w:r>
      <w:r>
        <w:rPr>
          <w:rFonts w:cs="Arial" w:ascii="Arial" w:hAnsi="Arial"/>
          <w:sz w:val="22"/>
          <w:szCs w:val="22"/>
        </w:rPr>
        <w:t>Ocorrendo o empate, na forma do subitem anterior, proceder-se-á da seguinte forma:</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sz w:val="22"/>
          <w:szCs w:val="22"/>
        </w:rPr>
        <w:t xml:space="preserve">a </w:t>
      </w:r>
      <w:r>
        <w:rPr>
          <w:rFonts w:cs="Arial" w:ascii="Arial" w:hAnsi="Arial"/>
          <w:sz w:val="22"/>
          <w:szCs w:val="22"/>
        </w:rPr>
        <w:t xml:space="preserve">deste item. </w:t>
      </w:r>
    </w:p>
    <w:p>
      <w:pPr>
        <w:pStyle w:val="Default"/>
        <w:spacing w:lineRule="auto" w:line="360"/>
        <w:jc w:val="both"/>
        <w:rPr>
          <w:rFonts w:ascii="Arial" w:hAnsi="Arial"/>
          <w:sz w:val="22"/>
          <w:szCs w:val="22"/>
        </w:rPr>
      </w:pPr>
      <w:r>
        <w:rPr>
          <w:rFonts w:cs="Arial" w:ascii="Arial" w:hAnsi="Arial"/>
          <w:b/>
          <w:sz w:val="22"/>
          <w:szCs w:val="22"/>
        </w:rPr>
        <w:t xml:space="preserve">11.1.3. </w:t>
      </w:r>
      <w:r>
        <w:rPr>
          <w:rFonts w:cs="Arial" w:ascii="Arial" w:hAnsi="Arial"/>
          <w:sz w:val="22"/>
          <w:szCs w:val="22"/>
        </w:rPr>
        <w:t>O disposto no item 11.1 não se aplica às hipóteses em que a proposta de menor valor inicial tiver sido apresentada por beneficiária da Lei Complementar nº 123/2006.</w:t>
      </w:r>
    </w:p>
    <w:p>
      <w:pPr>
        <w:pStyle w:val="Normal"/>
        <w:spacing w:lineRule="auto" w:line="360"/>
        <w:jc w:val="both"/>
        <w:rPr>
          <w:rFonts w:ascii="Arial" w:hAnsi="Arial"/>
          <w:sz w:val="22"/>
          <w:szCs w:val="22"/>
        </w:rPr>
      </w:pPr>
      <w:r>
        <w:rPr>
          <w:rFonts w:cs="Arial" w:ascii="Arial" w:hAnsi="Arial"/>
          <w:b/>
          <w:color w:val="000000"/>
          <w:sz w:val="22"/>
          <w:szCs w:val="22"/>
        </w:rPr>
        <w:t xml:space="preserve">11.2. </w:t>
      </w:r>
      <w:r>
        <w:rPr>
          <w:rFonts w:cs="Arial" w:ascii="Arial" w:hAnsi="Arial"/>
          <w:color w:val="000000"/>
          <w:sz w:val="22"/>
          <w:szCs w:val="22"/>
        </w:rPr>
        <w:t xml:space="preserve">Se não houver licitante que atenda ao item 11.1 e seus subitens, serão utilizados os seguintes critérios de desempate, nesta ordem: </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disputa final, hipótese em que os licitantes empatados poderão apresentar nova proposta em ato contínuo à classificação;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desenvolvimento pelo licitante de ações de equidade entre homens e mulheres no ambiente de trabalho;</w:t>
      </w:r>
    </w:p>
    <w:p>
      <w:pPr>
        <w:pStyle w:val="Default"/>
        <w:spacing w:lineRule="auto" w:line="360"/>
        <w:jc w:val="both"/>
        <w:rPr>
          <w:rFonts w:ascii="Arial" w:hAnsi="Arial"/>
          <w:sz w:val="22"/>
          <w:szCs w:val="22"/>
        </w:rPr>
      </w:pPr>
      <w:r>
        <w:rPr>
          <w:rFonts w:cs="Arial" w:ascii="Arial" w:hAnsi="Arial"/>
          <w:b/>
          <w:sz w:val="22"/>
          <w:szCs w:val="22"/>
        </w:rPr>
        <w:t xml:space="preserve">d) </w:t>
      </w:r>
      <w:r>
        <w:rPr>
          <w:rFonts w:cs="Arial" w:ascii="Arial" w:hAnsi="Arial"/>
          <w:sz w:val="22"/>
          <w:szCs w:val="22"/>
        </w:rPr>
        <w:t>desenvolvimento pelo licitante de programa de integridade, conforme orientações dos órgãos de controle.</w:t>
      </w:r>
    </w:p>
    <w:p>
      <w:pPr>
        <w:pStyle w:val="Default"/>
        <w:spacing w:lineRule="auto" w:line="360"/>
        <w:jc w:val="both"/>
        <w:rPr>
          <w:rFonts w:ascii="Arial" w:hAnsi="Arial"/>
          <w:sz w:val="22"/>
          <w:szCs w:val="22"/>
        </w:rPr>
      </w:pPr>
      <w:r>
        <w:rPr>
          <w:rFonts w:cs="Arial" w:ascii="Arial" w:hAnsi="Arial"/>
          <w:b/>
          <w:sz w:val="22"/>
          <w:szCs w:val="22"/>
        </w:rPr>
        <w:t xml:space="preserve">11.3. </w:t>
      </w:r>
      <w:r>
        <w:rPr>
          <w:rFonts w:cs="Arial" w:ascii="Arial" w:hAnsi="Arial"/>
          <w:sz w:val="22"/>
          <w:szCs w:val="22"/>
        </w:rPr>
        <w:t>Em igualdade de condições, se não houver desempate, será assegurada preferência, sucessivamente, aos bens e serviços produzidos ou prestados por:</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empresas estabelecidas no território do Estado do Rio Grande do Sul;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empresas brasileiras;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empresas que invistam em pesquisa e no desenvolvimento de tecnologia no País;</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empresas que comprovem a prática de mitigação, nos termos da Lei nº 12.187, de 29 de dezembro de 2009. </w:t>
      </w:r>
    </w:p>
    <w:p>
      <w:pPr>
        <w:pStyle w:val="Default"/>
        <w:spacing w:lineRule="auto" w:line="360"/>
        <w:jc w:val="both"/>
        <w:rPr>
          <w:rFonts w:ascii="Arial" w:hAnsi="Arial" w:cs="Arial"/>
          <w:sz w:val="22"/>
          <w:szCs w:val="22"/>
        </w:rPr>
      </w:pPr>
      <w:r>
        <w:rPr>
          <w:rFonts w:cs="Arial" w:ascii="Arial" w:hAnsi="Arial"/>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 xml:space="preserve">12. NEGOCIAÇÃO E JULGAMENTO </w:t>
      </w:r>
    </w:p>
    <w:p>
      <w:pPr>
        <w:pStyle w:val="Default"/>
        <w:spacing w:lineRule="auto" w:line="360"/>
        <w:jc w:val="both"/>
        <w:rPr>
          <w:rFonts w:ascii="Arial" w:hAnsi="Arial"/>
          <w:sz w:val="22"/>
          <w:szCs w:val="22"/>
        </w:rPr>
      </w:pPr>
      <w:r>
        <w:rPr>
          <w:rFonts w:cs="Arial" w:ascii="Arial" w:hAnsi="Arial"/>
          <w:b/>
          <w:sz w:val="22"/>
          <w:szCs w:val="22"/>
        </w:rPr>
        <w:t xml:space="preserve">12.1. </w:t>
      </w:r>
      <w:r>
        <w:rPr>
          <w:rFonts w:cs="Arial" w:ascii="Arial" w:hAnsi="Arial"/>
          <w:sz w:val="22"/>
          <w:szCs w:val="22"/>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360"/>
        <w:jc w:val="both"/>
        <w:rPr>
          <w:rFonts w:ascii="Arial" w:hAnsi="Arial"/>
          <w:sz w:val="22"/>
          <w:szCs w:val="22"/>
        </w:rPr>
      </w:pPr>
      <w:r>
        <w:rPr>
          <w:rFonts w:cs="Arial" w:ascii="Arial" w:hAnsi="Arial"/>
          <w:b/>
          <w:color w:val="000000"/>
          <w:sz w:val="22"/>
          <w:szCs w:val="22"/>
        </w:rPr>
        <w:t xml:space="preserve">12.1.1 </w:t>
      </w:r>
      <w:r>
        <w:rPr>
          <w:rFonts w:cs="Arial" w:ascii="Arial" w:hAnsi="Arial"/>
          <w:color w:val="000000"/>
          <w:sz w:val="22"/>
          <w:szCs w:val="22"/>
        </w:rPr>
        <w:t>A negociação será realizada por meio do sistema, podendo ser acompanhada pelos demais licitantes.</w:t>
      </w:r>
    </w:p>
    <w:p>
      <w:pPr>
        <w:pStyle w:val="Default"/>
        <w:spacing w:lineRule="auto" w:line="360"/>
        <w:jc w:val="both"/>
        <w:rPr>
          <w:rFonts w:ascii="Arial" w:hAnsi="Arial"/>
          <w:sz w:val="22"/>
          <w:szCs w:val="22"/>
        </w:rPr>
      </w:pPr>
      <w:r>
        <w:rPr>
          <w:rFonts w:cs="Arial" w:ascii="Arial" w:hAnsi="Arial"/>
          <w:b/>
          <w:sz w:val="22"/>
          <w:szCs w:val="22"/>
        </w:rPr>
        <w:t xml:space="preserve">12.2. </w:t>
      </w:r>
      <w:r>
        <w:rPr>
          <w:rFonts w:cs="Arial" w:ascii="Arial" w:hAnsi="Arial"/>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360"/>
        <w:jc w:val="both"/>
        <w:rPr>
          <w:rFonts w:ascii="Arial" w:hAnsi="Arial"/>
          <w:sz w:val="22"/>
          <w:szCs w:val="22"/>
        </w:rPr>
      </w:pPr>
      <w:r>
        <w:rPr>
          <w:rFonts w:cs="Arial" w:ascii="Arial" w:hAnsi="Arial"/>
          <w:b/>
          <w:sz w:val="22"/>
          <w:szCs w:val="22"/>
        </w:rPr>
        <w:t xml:space="preserve">12.3. </w:t>
      </w:r>
      <w:r>
        <w:rPr>
          <w:rFonts w:cs="Arial" w:ascii="Arial" w:hAnsi="Arial"/>
          <w:sz w:val="22"/>
          <w:szCs w:val="22"/>
        </w:rPr>
        <w:t>Encerrada a etapa de negociação, será examinada a proposta classificada em primeiro lugar quanto à adequação ao objeto e à compatibilidade do preço em relação valor de referência da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12.4. </w:t>
      </w:r>
      <w:r>
        <w:rPr>
          <w:rFonts w:cs="Arial" w:ascii="Arial" w:hAnsi="Arial"/>
          <w:color w:val="000000"/>
          <w:sz w:val="22"/>
          <w:szCs w:val="22"/>
        </w:rPr>
        <w:t xml:space="preserve">Não serão consideradas, para julgamento das propostas, vantagens não previstas no edital. </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 xml:space="preserve">13. VERIFICAÇÃO DE HABILITAÇÃO </w:t>
      </w:r>
    </w:p>
    <w:p>
      <w:pPr>
        <w:pStyle w:val="Normal"/>
        <w:spacing w:lineRule="auto" w:line="360"/>
        <w:jc w:val="both"/>
        <w:rPr>
          <w:rFonts w:ascii="Arial" w:hAnsi="Arial"/>
          <w:sz w:val="22"/>
          <w:szCs w:val="22"/>
        </w:rPr>
      </w:pPr>
      <w:r>
        <w:rPr>
          <w:rFonts w:cs="Arial" w:ascii="Arial" w:hAnsi="Arial"/>
          <w:b/>
          <w:color w:val="000000"/>
          <w:sz w:val="22"/>
          <w:szCs w:val="22"/>
        </w:rPr>
        <w:t xml:space="preserve">13.1 </w:t>
      </w:r>
      <w:r>
        <w:rPr>
          <w:rFonts w:cs="Arial" w:ascii="Arial" w:hAnsi="Arial"/>
          <w:color w:val="000000"/>
          <w:sz w:val="22"/>
          <w:szCs w:val="22"/>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Cadastro Nacional de Empresas Punidas (CNEP), mantido pela Controladoria-Geral da União (www.portaldatransparencia.gov.br/sancoes/cnep);</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Cadastro Nacional de Empresas Inidôneas e Suspensas - CEIS, mantido pela Controladoria-Geral da União (www.portaldatransparencia.gov.br/ceis ); </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360"/>
        <w:jc w:val="both"/>
        <w:rPr>
          <w:rFonts w:ascii="Arial" w:hAnsi="Arial"/>
          <w:sz w:val="22"/>
          <w:szCs w:val="22"/>
        </w:rPr>
      </w:pPr>
      <w:r>
        <w:rPr>
          <w:rFonts w:cs="Arial" w:ascii="Arial" w:hAnsi="Arial"/>
          <w:b/>
          <w:sz w:val="22"/>
          <w:szCs w:val="22"/>
        </w:rPr>
        <w:t xml:space="preserve">13.2 </w:t>
      </w:r>
      <w:r>
        <w:rPr>
          <w:rFonts w:cs="Arial" w:ascii="Arial" w:hAnsi="Arial"/>
          <w:sz w:val="22"/>
          <w:szCs w:val="22"/>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360"/>
        <w:jc w:val="both"/>
        <w:rPr>
          <w:rFonts w:ascii="Arial" w:hAnsi="Arial"/>
          <w:sz w:val="22"/>
          <w:szCs w:val="22"/>
        </w:rPr>
      </w:pPr>
      <w:r>
        <w:rPr>
          <w:rFonts w:cs="Arial" w:ascii="Arial" w:hAnsi="Arial"/>
          <w:b/>
          <w:sz w:val="22"/>
          <w:szCs w:val="22"/>
        </w:rPr>
        <w:t xml:space="preserve">13.2.1 </w:t>
      </w:r>
      <w:r>
        <w:rPr>
          <w:rFonts w:cs="Arial" w:ascii="Arial" w:hAnsi="Arial"/>
          <w:sz w:val="22"/>
          <w:szCs w:val="22"/>
        </w:rPr>
        <w:t xml:space="preserve">Constatada a existência de sanção, o(a) Pregoeiro(a) reputará o licitante inabilitado, por falta de condição de participação. </w:t>
      </w:r>
    </w:p>
    <w:p>
      <w:pPr>
        <w:pStyle w:val="Default"/>
        <w:spacing w:lineRule="auto" w:line="360"/>
        <w:jc w:val="both"/>
        <w:rPr>
          <w:rFonts w:ascii="Arial" w:hAnsi="Arial"/>
          <w:sz w:val="22"/>
          <w:szCs w:val="22"/>
        </w:rPr>
      </w:pPr>
      <w:r>
        <w:rPr>
          <w:rFonts w:cs="Arial" w:ascii="Arial" w:hAnsi="Arial"/>
          <w:b/>
          <w:sz w:val="22"/>
          <w:szCs w:val="22"/>
        </w:rPr>
        <w:t xml:space="preserve">13.3. </w:t>
      </w:r>
      <w:r>
        <w:rPr>
          <w:rFonts w:cs="Arial" w:ascii="Arial" w:hAnsi="Arial"/>
          <w:sz w:val="22"/>
          <w:szCs w:val="22"/>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360"/>
        <w:jc w:val="both"/>
        <w:rPr>
          <w:rFonts w:ascii="Arial" w:hAnsi="Arial"/>
          <w:sz w:val="22"/>
          <w:szCs w:val="22"/>
        </w:rPr>
      </w:pPr>
      <w:r>
        <w:rPr>
          <w:rFonts w:cs="Arial" w:ascii="Arial" w:hAnsi="Arial"/>
          <w:b/>
          <w:sz w:val="22"/>
          <w:szCs w:val="22"/>
        </w:rPr>
        <w:t xml:space="preserve">13.3.1 </w:t>
      </w:r>
      <w:r>
        <w:rPr>
          <w:rFonts w:cs="Arial" w:ascii="Arial" w:hAnsi="Arial"/>
          <w:sz w:val="22"/>
          <w:szCs w:val="22"/>
        </w:rPr>
        <w:t xml:space="preserve">A tentativa de burla será verificada por meio dos vínculos societários, linhas de fornecimento similares, dentre outros. </w:t>
      </w:r>
    </w:p>
    <w:p>
      <w:pPr>
        <w:pStyle w:val="Default"/>
        <w:spacing w:lineRule="auto" w:line="360"/>
        <w:jc w:val="both"/>
        <w:rPr>
          <w:rFonts w:ascii="Arial" w:hAnsi="Arial"/>
          <w:sz w:val="22"/>
          <w:szCs w:val="22"/>
        </w:rPr>
      </w:pPr>
      <w:r>
        <w:rPr>
          <w:rFonts w:cs="Arial" w:ascii="Arial" w:hAnsi="Arial"/>
          <w:b/>
          <w:sz w:val="22"/>
          <w:szCs w:val="22"/>
        </w:rPr>
        <w:t xml:space="preserve">13.3.2 </w:t>
      </w:r>
      <w:r>
        <w:rPr>
          <w:rFonts w:cs="Arial" w:ascii="Arial" w:hAnsi="Arial"/>
          <w:sz w:val="22"/>
          <w:szCs w:val="22"/>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360"/>
        <w:jc w:val="both"/>
        <w:rPr>
          <w:rFonts w:ascii="Arial" w:hAnsi="Arial"/>
          <w:sz w:val="22"/>
          <w:szCs w:val="22"/>
        </w:rPr>
      </w:pPr>
      <w:r>
        <w:rPr>
          <w:rFonts w:cs="Arial" w:ascii="Arial" w:hAnsi="Arial"/>
          <w:b/>
          <w:color w:val="000000"/>
          <w:sz w:val="22"/>
          <w:szCs w:val="22"/>
        </w:rPr>
        <w:t xml:space="preserve">13.4 </w:t>
      </w:r>
      <w:r>
        <w:rPr>
          <w:rFonts w:cs="Arial" w:ascii="Arial" w:hAnsi="Arial"/>
          <w:color w:val="000000"/>
          <w:sz w:val="22"/>
          <w:szCs w:val="22"/>
        </w:rPr>
        <w:t>Caso atendidas as condições de participação, será iniciado o procedimento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13.4.1 </w:t>
      </w:r>
      <w:r>
        <w:rPr>
          <w:rFonts w:cs="Arial" w:ascii="Arial" w:hAnsi="Arial"/>
          <w:color w:val="000000"/>
          <w:sz w:val="22"/>
          <w:szCs w:val="22"/>
        </w:rPr>
        <w:t>É dever do licitante atualizar previamente as comprovações constantes do PORTAL DE COMPRAS PÚBLICAS, para que estejam vigentes na data da abertura da sessão pública.</w:t>
      </w:r>
    </w:p>
    <w:p>
      <w:pPr>
        <w:pStyle w:val="Normal"/>
        <w:spacing w:lineRule="auto" w:line="360"/>
        <w:jc w:val="both"/>
        <w:rPr>
          <w:rFonts w:ascii="Arial" w:hAnsi="Arial"/>
          <w:sz w:val="22"/>
          <w:szCs w:val="22"/>
        </w:rPr>
      </w:pPr>
      <w:r>
        <w:rPr>
          <w:rFonts w:cs="Arial" w:ascii="Arial" w:hAnsi="Arial"/>
          <w:b/>
          <w:color w:val="000000"/>
          <w:sz w:val="22"/>
          <w:szCs w:val="22"/>
        </w:rPr>
        <w:t xml:space="preserve">13.5 </w:t>
      </w:r>
      <w:r>
        <w:rPr>
          <w:rFonts w:cs="Arial" w:ascii="Arial" w:hAnsi="Arial"/>
          <w:color w:val="000000"/>
          <w:sz w:val="22"/>
          <w:szCs w:val="22"/>
        </w:rPr>
        <w:t>Os documentos de habilitação, de que trata o item 6.8, serão examinados pelo pregoeiro, que verificará a autenticidade das certidões junto aos sítios eletrônicos oficiais de órgãos e entidades emissores.</w:t>
      </w:r>
    </w:p>
    <w:p>
      <w:pPr>
        <w:pStyle w:val="Normal"/>
        <w:spacing w:lineRule="auto" w:line="360"/>
        <w:jc w:val="both"/>
        <w:rPr>
          <w:rFonts w:ascii="Arial" w:hAnsi="Arial"/>
          <w:sz w:val="22"/>
          <w:szCs w:val="22"/>
        </w:rPr>
      </w:pPr>
      <w:r>
        <w:rPr>
          <w:rFonts w:cs="Arial" w:ascii="Arial" w:hAnsi="Arial"/>
          <w:b/>
          <w:color w:val="000000"/>
          <w:sz w:val="22"/>
          <w:szCs w:val="22"/>
        </w:rPr>
        <w:t xml:space="preserve">13.6 </w:t>
      </w:r>
      <w:r>
        <w:rPr>
          <w:rFonts w:cs="Arial" w:ascii="Arial" w:hAnsi="Arial"/>
          <w:color w:val="000000"/>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360"/>
        <w:jc w:val="both"/>
        <w:rPr>
          <w:rFonts w:ascii="Arial" w:hAnsi="Arial"/>
          <w:sz w:val="22"/>
          <w:szCs w:val="22"/>
        </w:rPr>
      </w:pPr>
      <w:r>
        <w:rPr>
          <w:rFonts w:cs="Arial" w:ascii="Arial" w:hAnsi="Arial"/>
          <w:b/>
          <w:color w:val="000000"/>
          <w:sz w:val="22"/>
          <w:szCs w:val="22"/>
        </w:rPr>
        <w:t xml:space="preserve">13.7 </w:t>
      </w:r>
      <w:r>
        <w:rPr>
          <w:rFonts w:cs="Arial" w:ascii="Arial" w:hAnsi="Arial"/>
          <w:color w:val="000000"/>
          <w:sz w:val="22"/>
          <w:szCs w:val="22"/>
        </w:rPr>
        <w:t>A verificação pelo pregoeiro, em sítios eletrônicos oficiais de órgãos e entidades emissores de certidões constitui meio legal de prova, para fins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13.8 </w:t>
      </w:r>
      <w:r>
        <w:rPr>
          <w:rFonts w:cs="Arial" w:ascii="Arial" w:hAnsi="Arial"/>
          <w:color w:val="000000"/>
          <w:sz w:val="22"/>
          <w:szCs w:val="22"/>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360"/>
        <w:jc w:val="both"/>
        <w:rPr>
          <w:rFonts w:ascii="Arial" w:hAnsi="Arial"/>
          <w:sz w:val="22"/>
          <w:szCs w:val="22"/>
        </w:rPr>
      </w:pPr>
      <w:r>
        <w:rPr>
          <w:rFonts w:cs="Arial" w:ascii="Arial" w:hAnsi="Arial"/>
          <w:b/>
          <w:sz w:val="22"/>
          <w:szCs w:val="22"/>
        </w:rPr>
        <w:t xml:space="preserve">13.9 </w:t>
      </w:r>
      <w:r>
        <w:rPr>
          <w:rFonts w:cs="Arial" w:ascii="Arial" w:hAnsi="Arial"/>
          <w:sz w:val="22"/>
          <w:szCs w:val="22"/>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360"/>
        <w:jc w:val="both"/>
        <w:rPr>
          <w:rFonts w:ascii="Arial" w:hAnsi="Arial"/>
          <w:sz w:val="22"/>
          <w:szCs w:val="22"/>
        </w:rPr>
      </w:pPr>
      <w:r>
        <w:rPr>
          <w:rFonts w:cs="Arial" w:ascii="Arial" w:hAnsi="Arial"/>
          <w:b/>
          <w:sz w:val="22"/>
          <w:szCs w:val="22"/>
        </w:rPr>
        <w:t xml:space="preserve">13.9.1 </w:t>
      </w:r>
      <w:r>
        <w:rPr>
          <w:rFonts w:cs="Arial" w:ascii="Arial" w:hAnsi="Arial"/>
          <w:sz w:val="22"/>
          <w:szCs w:val="22"/>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360"/>
        <w:jc w:val="both"/>
        <w:rPr>
          <w:rFonts w:ascii="Arial" w:hAnsi="Arial"/>
          <w:sz w:val="22"/>
          <w:szCs w:val="22"/>
        </w:rPr>
      </w:pPr>
      <w:r>
        <w:rPr>
          <w:rFonts w:cs="Arial" w:ascii="Arial" w:hAnsi="Arial"/>
          <w:b/>
          <w:color w:val="000000"/>
          <w:sz w:val="22"/>
          <w:szCs w:val="22"/>
        </w:rPr>
        <w:t xml:space="preserve">13.10 </w:t>
      </w:r>
      <w:r>
        <w:rPr>
          <w:rFonts w:cs="Arial" w:ascii="Arial" w:hAnsi="Arial"/>
          <w:color w:val="000000"/>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360"/>
        <w:jc w:val="both"/>
        <w:rPr>
          <w:rFonts w:ascii="Arial" w:hAnsi="Arial"/>
          <w:sz w:val="22"/>
          <w:szCs w:val="22"/>
        </w:rPr>
      </w:pPr>
      <w:r>
        <w:rPr>
          <w:rFonts w:cs="Arial" w:ascii="Arial" w:hAnsi="Arial"/>
          <w:b/>
          <w:color w:val="000000"/>
          <w:sz w:val="22"/>
          <w:szCs w:val="22"/>
        </w:rPr>
        <w:t xml:space="preserve">13.11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13.12 </w:t>
      </w:r>
      <w:r>
        <w:rPr>
          <w:rFonts w:cs="Arial" w:ascii="Arial" w:hAnsi="Arial"/>
          <w:color w:val="000000"/>
          <w:sz w:val="22"/>
          <w:szCs w:val="22"/>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360"/>
        <w:jc w:val="both"/>
        <w:rPr>
          <w:rFonts w:ascii="Arial" w:hAnsi="Arial"/>
          <w:sz w:val="22"/>
          <w:szCs w:val="22"/>
        </w:rPr>
      </w:pPr>
      <w:r>
        <w:rPr>
          <w:rFonts w:cs="Arial" w:ascii="Arial" w:hAnsi="Arial"/>
          <w:b/>
          <w:color w:val="000000"/>
          <w:sz w:val="22"/>
          <w:szCs w:val="22"/>
        </w:rPr>
        <w:t xml:space="preserve">13.13 </w:t>
      </w:r>
      <w:r>
        <w:rPr>
          <w:rFonts w:cs="Arial" w:ascii="Arial" w:hAnsi="Arial"/>
          <w:color w:val="000000"/>
          <w:sz w:val="22"/>
          <w:szCs w:val="22"/>
        </w:rPr>
        <w:t>Caso a licitação dependa da verificação da Planilha de Custos, a sessão será suspensa para análise pela secretaria competente para, após, ser adjudicada.</w:t>
      </w:r>
    </w:p>
    <w:p>
      <w:pPr>
        <w:pStyle w:val="Normal"/>
        <w:spacing w:lineRule="auto" w:line="360"/>
        <w:jc w:val="both"/>
        <w:rPr>
          <w:rFonts w:ascii="Arial" w:hAnsi="Arial"/>
          <w:sz w:val="22"/>
          <w:szCs w:val="22"/>
        </w:rPr>
      </w:pPr>
      <w:r>
        <w:rPr>
          <w:rFonts w:cs="Arial" w:ascii="Arial" w:hAnsi="Arial"/>
          <w:b/>
          <w:color w:val="000000"/>
          <w:sz w:val="22"/>
          <w:szCs w:val="22"/>
        </w:rPr>
        <w:t xml:space="preserve">13.13.1 </w:t>
      </w:r>
      <w:r>
        <w:rPr>
          <w:rFonts w:cs="Arial" w:ascii="Arial" w:hAnsi="Arial"/>
          <w:color w:val="000000"/>
          <w:sz w:val="22"/>
          <w:szCs w:val="22"/>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360"/>
        <w:jc w:val="both"/>
        <w:rPr>
          <w:rFonts w:ascii="Arial" w:hAnsi="Arial"/>
          <w:sz w:val="22"/>
          <w:szCs w:val="22"/>
        </w:rPr>
      </w:pPr>
      <w:r>
        <w:rPr>
          <w:rFonts w:cs="Arial" w:ascii="Arial" w:hAnsi="Arial"/>
          <w:b/>
          <w:bCs/>
          <w:sz w:val="22"/>
          <w:szCs w:val="22"/>
        </w:rPr>
        <w:t>13.14</w:t>
      </w:r>
      <w:r>
        <w:rPr>
          <w:rFonts w:cs="Arial" w:ascii="Arial" w:hAnsi="Arial"/>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sz w:val="22"/>
          <w:szCs w:val="22"/>
        </w:rPr>
        <w:t>2 horas úteis</w:t>
      </w:r>
      <w:r>
        <w:rPr>
          <w:rFonts w:cs="Arial" w:ascii="Arial" w:hAnsi="Arial"/>
          <w:sz w:val="22"/>
          <w:szCs w:val="22"/>
        </w:rPr>
        <w:t>, sob pena de inabilitação.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13.15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rPr>
          <w:rFonts w:ascii="Arial" w:hAnsi="Arial"/>
          <w:sz w:val="22"/>
          <w:szCs w:val="22"/>
        </w:rPr>
      </w:pPr>
      <w:r>
        <w:rPr>
          <w:rFonts w:cs="Arial" w:ascii="Arial" w:hAnsi="Arial"/>
          <w:b/>
          <w:bCs/>
          <w:color w:val="000000"/>
          <w:sz w:val="22"/>
          <w:szCs w:val="22"/>
        </w:rPr>
        <w:t>13.16</w:t>
      </w:r>
      <w:r>
        <w:rPr>
          <w:rFonts w:cs="Arial" w:ascii="Arial" w:hAnsi="Arial"/>
          <w:color w:val="000000"/>
          <w:sz w:val="22"/>
          <w:szCs w:val="22"/>
        </w:rPr>
        <w:t xml:space="preserve"> Deverá constar, na proposta resultante de lances ou nos documentos de habilitação, o telefone da licitante vencedora, inclusive com contato para WhatsApp institucional, bem como e-mail.</w:t>
      </w:r>
    </w:p>
    <w:p>
      <w:pPr>
        <w:pStyle w:val="Normal"/>
        <w:spacing w:lineRule="auto" w:line="360"/>
        <w:jc w:val="both"/>
        <w:rPr>
          <w:rFonts w:ascii="Arial" w:hAnsi="Arial"/>
          <w:sz w:val="22"/>
          <w:szCs w:val="22"/>
        </w:rPr>
      </w:pPr>
      <w:r>
        <w:rPr>
          <w:rFonts w:ascii="Arial" w:hAnsi="Arial"/>
          <w:sz w:val="22"/>
          <w:szCs w:val="22"/>
        </w:rPr>
      </w:r>
    </w:p>
    <w:p>
      <w:pPr>
        <w:pStyle w:val="Itemdoedital"/>
        <w:numPr>
          <w:ilvl w:val="0"/>
          <w:numId w:val="12"/>
        </w:numPr>
        <w:spacing w:lineRule="auto" w:line="360"/>
        <w:ind w:left="0" w:right="0" w:hanging="0"/>
        <w:jc w:val="both"/>
        <w:rPr>
          <w:rFonts w:ascii="Arial" w:hAnsi="Arial"/>
          <w:sz w:val="22"/>
          <w:szCs w:val="22"/>
        </w:rPr>
      </w:pPr>
      <w:r>
        <w:rPr>
          <w:sz w:val="22"/>
          <w:szCs w:val="22"/>
        </w:rPr>
        <w:t xml:space="preserve">14. RECURSO </w:t>
      </w:r>
    </w:p>
    <w:p>
      <w:pPr>
        <w:pStyle w:val="Normal"/>
        <w:spacing w:lineRule="auto" w:line="360"/>
        <w:jc w:val="both"/>
        <w:rPr>
          <w:rFonts w:ascii="Arial" w:hAnsi="Arial"/>
          <w:sz w:val="22"/>
          <w:szCs w:val="22"/>
        </w:rPr>
      </w:pPr>
      <w:r>
        <w:rPr>
          <w:rFonts w:cs="Arial" w:ascii="Arial" w:hAnsi="Arial"/>
          <w:b/>
          <w:color w:val="000000"/>
          <w:sz w:val="22"/>
          <w:szCs w:val="22"/>
        </w:rPr>
        <w:t xml:space="preserve">14.1 </w:t>
      </w:r>
      <w:r>
        <w:rPr>
          <w:rFonts w:cs="Arial" w:ascii="Arial" w:hAnsi="Arial"/>
          <w:color w:val="000000"/>
          <w:sz w:val="22"/>
          <w:szCs w:val="22"/>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rPr>
        <w:t>10 (DEZ) MINUTOS.</w:t>
      </w:r>
    </w:p>
    <w:p>
      <w:pPr>
        <w:pStyle w:val="Default"/>
        <w:spacing w:lineRule="auto" w:line="360"/>
        <w:jc w:val="both"/>
        <w:rPr>
          <w:rFonts w:ascii="Arial" w:hAnsi="Arial"/>
          <w:sz w:val="22"/>
          <w:szCs w:val="22"/>
        </w:rPr>
      </w:pPr>
      <w:r>
        <w:rPr>
          <w:rFonts w:cs="Arial" w:ascii="Arial" w:hAnsi="Arial"/>
          <w:b/>
          <w:bCs/>
          <w:sz w:val="22"/>
          <w:szCs w:val="22"/>
        </w:rPr>
        <w:t>14.1.1</w:t>
      </w:r>
      <w:r>
        <w:rPr>
          <w:rFonts w:cs="Arial" w:ascii="Arial" w:hAnsi="Arial"/>
          <w:sz w:val="22"/>
          <w:szCs w:val="22"/>
        </w:rPr>
        <w:t xml:space="preserve"> A falta de manifestação da intenção de interpor recurso, na forma e prazo estipulado, implicará preclusão do direito de recurso, permitindo ao Pregoeiro adjudicar o objeto ao licitante vencedor. </w:t>
      </w:r>
    </w:p>
    <w:p>
      <w:pPr>
        <w:pStyle w:val="Default"/>
        <w:spacing w:lineRule="auto" w:line="360"/>
        <w:jc w:val="both"/>
        <w:rPr>
          <w:rFonts w:ascii="Arial" w:hAnsi="Arial"/>
          <w:sz w:val="22"/>
          <w:szCs w:val="22"/>
        </w:rPr>
      </w:pPr>
      <w:r>
        <w:rPr>
          <w:rFonts w:cs="Arial" w:ascii="Arial" w:hAnsi="Arial"/>
          <w:b/>
          <w:color w:val="000000"/>
          <w:sz w:val="22"/>
          <w:szCs w:val="22"/>
        </w:rPr>
        <w:t xml:space="preserve">14.2 </w:t>
      </w:r>
      <w:r>
        <w:rPr>
          <w:rFonts w:cs="Arial" w:ascii="Arial" w:hAnsi="Arial"/>
          <w:color w:val="000000"/>
          <w:sz w:val="22"/>
          <w:szCs w:val="22"/>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Default"/>
        <w:spacing w:lineRule="auto" w:line="360"/>
        <w:jc w:val="both"/>
        <w:rPr>
          <w:rFonts w:ascii="Arial" w:hAnsi="Arial"/>
          <w:sz w:val="22"/>
          <w:szCs w:val="22"/>
        </w:rPr>
      </w:pPr>
      <w:r>
        <w:rPr>
          <w:rFonts w:cs="Arial" w:ascii="Arial" w:hAnsi="Arial"/>
          <w:b/>
          <w:color w:val="000000"/>
          <w:sz w:val="22"/>
          <w:szCs w:val="22"/>
        </w:rPr>
        <w:t xml:space="preserve">14.2.1 </w:t>
      </w:r>
      <w:r>
        <w:rPr>
          <w:rFonts w:cs="Arial" w:ascii="Arial" w:hAnsi="Arial"/>
          <w:color w:val="000000"/>
          <w:sz w:val="22"/>
          <w:szCs w:val="22"/>
        </w:rPr>
        <w:t>O recurso deverá versar sobre:</w:t>
      </w:r>
    </w:p>
    <w:p>
      <w:pPr>
        <w:pStyle w:val="Default"/>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ato que defira ou indefira pedido de pré-qualificação de interessado ou de inscrição em registro cadastral, sua alteração ou cancelamento;</w:t>
      </w:r>
    </w:p>
    <w:p>
      <w:pPr>
        <w:pStyle w:val="Default"/>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julgamento das propostas;</w:t>
      </w:r>
    </w:p>
    <w:p>
      <w:pPr>
        <w:pStyle w:val="Default"/>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ato de habilitação ou inabilitação de licitante;</w:t>
      </w:r>
    </w:p>
    <w:p>
      <w:pPr>
        <w:pStyle w:val="Default"/>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anulação ou revogação da licitação.</w:t>
      </w:r>
    </w:p>
    <w:p>
      <w:pPr>
        <w:pStyle w:val="Default"/>
        <w:spacing w:lineRule="auto" w:line="360"/>
        <w:jc w:val="both"/>
        <w:rPr>
          <w:rFonts w:ascii="Arial" w:hAnsi="Arial"/>
          <w:sz w:val="22"/>
          <w:szCs w:val="22"/>
        </w:rPr>
      </w:pPr>
      <w:r>
        <w:rPr>
          <w:rFonts w:cs="Arial" w:ascii="Arial" w:hAnsi="Arial"/>
          <w:b/>
          <w:color w:val="000000"/>
          <w:sz w:val="22"/>
          <w:szCs w:val="22"/>
        </w:rPr>
        <w:t xml:space="preserve">14.2.2 </w:t>
      </w:r>
      <w:r>
        <w:rPr>
          <w:rFonts w:cs="Arial" w:ascii="Arial" w:hAnsi="Arial"/>
          <w:color w:val="000000"/>
          <w:sz w:val="22"/>
          <w:szCs w:val="22"/>
        </w:rPr>
        <w:t>Quanto ao recurso apresentado em virtude do disposto nas alíneas “b” e “c” do item 14.2.1 do presente Edital, serão observadas as seguintes disposições:</w:t>
      </w:r>
    </w:p>
    <w:p>
      <w:pPr>
        <w:pStyle w:val="Default"/>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pPr>
        <w:pStyle w:val="Default"/>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a apreciação dar-se-á em fase única.</w:t>
      </w:r>
    </w:p>
    <w:p>
      <w:pPr>
        <w:pStyle w:val="Default"/>
        <w:spacing w:lineRule="auto" w:line="360"/>
        <w:jc w:val="both"/>
        <w:rPr>
          <w:rFonts w:ascii="Arial" w:hAnsi="Arial"/>
          <w:sz w:val="22"/>
          <w:szCs w:val="22"/>
        </w:rPr>
      </w:pPr>
      <w:r>
        <w:rPr>
          <w:rFonts w:cs="Arial" w:ascii="Arial" w:hAnsi="Arial"/>
          <w:b/>
          <w:color w:val="000000"/>
          <w:sz w:val="22"/>
          <w:szCs w:val="22"/>
        </w:rPr>
        <w:t xml:space="preserve">14.3 </w:t>
      </w:r>
      <w:r>
        <w:rPr>
          <w:rFonts w:cs="Arial" w:ascii="Arial" w:hAnsi="Arial"/>
          <w:color w:val="000000"/>
          <w:sz w:val="22"/>
          <w:szCs w:val="22"/>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Default"/>
        <w:spacing w:lineRule="auto" w:line="360"/>
        <w:jc w:val="both"/>
        <w:rPr>
          <w:rFonts w:ascii="Arial" w:hAnsi="Arial"/>
          <w:sz w:val="22"/>
          <w:szCs w:val="22"/>
        </w:rPr>
      </w:pPr>
      <w:r>
        <w:rPr>
          <w:rFonts w:cs="Arial" w:ascii="Arial" w:hAnsi="Arial"/>
          <w:b/>
          <w:color w:val="000000"/>
          <w:sz w:val="22"/>
          <w:szCs w:val="22"/>
        </w:rPr>
        <w:t xml:space="preserve">14.4 </w:t>
      </w:r>
      <w:r>
        <w:rPr>
          <w:rFonts w:cs="Arial" w:ascii="Arial" w:hAnsi="Arial"/>
          <w:color w:val="000000"/>
          <w:sz w:val="22"/>
          <w:szCs w:val="22"/>
        </w:rPr>
        <w:t>O acolhimento do recurso implicará invalidação apenas de ato insuscetível de aproveitamento.</w:t>
      </w:r>
    </w:p>
    <w:p>
      <w:pPr>
        <w:pStyle w:val="Default"/>
        <w:spacing w:lineRule="auto" w:line="360"/>
        <w:jc w:val="both"/>
        <w:rPr>
          <w:rFonts w:ascii="Arial" w:hAnsi="Arial"/>
          <w:sz w:val="22"/>
          <w:szCs w:val="22"/>
        </w:rPr>
      </w:pPr>
      <w:r>
        <w:rPr>
          <w:rFonts w:cs="Arial" w:ascii="Arial" w:hAnsi="Arial"/>
          <w:b/>
          <w:color w:val="000000"/>
          <w:sz w:val="22"/>
          <w:szCs w:val="22"/>
        </w:rPr>
        <w:t xml:space="preserve">14.5 </w:t>
      </w:r>
      <w:r>
        <w:rPr>
          <w:rFonts w:cs="Arial" w:ascii="Arial" w:hAnsi="Arial"/>
          <w:color w:val="000000"/>
          <w:sz w:val="22"/>
          <w:szCs w:val="22"/>
        </w:rPr>
        <w:t>O recurso interposto dará efeito suspensivo ao ato ou à decisão recorrida, até que sobrevenha decisão final da autoridade competente.</w:t>
      </w:r>
    </w:p>
    <w:p>
      <w:pPr>
        <w:pStyle w:val="Default"/>
        <w:numPr>
          <w:ilvl w:val="0"/>
          <w:numId w:val="12"/>
        </w:numPr>
        <w:spacing w:lineRule="auto" w:line="360"/>
        <w:jc w:val="both"/>
        <w:rPr>
          <w:rFonts w:ascii="Arial" w:hAnsi="Arial"/>
          <w:sz w:val="22"/>
          <w:szCs w:val="22"/>
        </w:rPr>
      </w:pPr>
      <w:r>
        <w:rPr>
          <w:rFonts w:ascii="Arial" w:hAnsi="Arial"/>
          <w:sz w:val="22"/>
          <w:szCs w:val="22"/>
        </w:rPr>
      </w:r>
    </w:p>
    <w:p>
      <w:pPr>
        <w:pStyle w:val="Default"/>
        <w:numPr>
          <w:ilvl w:val="0"/>
          <w:numId w:val="12"/>
        </w:numPr>
        <w:spacing w:lineRule="auto" w:line="360"/>
        <w:jc w:val="both"/>
        <w:rPr>
          <w:rFonts w:ascii="Arial" w:hAnsi="Arial"/>
          <w:sz w:val="22"/>
          <w:szCs w:val="22"/>
        </w:rPr>
      </w:pPr>
      <w:r>
        <w:rPr>
          <w:rFonts w:ascii="Arial" w:hAnsi="Arial"/>
          <w:b/>
          <w:bCs/>
          <w:sz w:val="22"/>
          <w:szCs w:val="22"/>
        </w:rPr>
        <w:t>15. ENCERRAMENTO DA LICITAÇÃO</w:t>
      </w:r>
      <w:r>
        <w:rPr>
          <w:rFonts w:ascii="Arial" w:hAnsi="Arial"/>
          <w:sz w:val="22"/>
          <w:szCs w:val="22"/>
        </w:rPr>
        <w:t xml:space="preserve"> </w:t>
      </w:r>
    </w:p>
    <w:p>
      <w:pPr>
        <w:pStyle w:val="Default"/>
        <w:spacing w:lineRule="auto" w:line="360"/>
        <w:jc w:val="both"/>
        <w:rPr>
          <w:rFonts w:ascii="Arial" w:hAnsi="Arial"/>
          <w:sz w:val="22"/>
          <w:szCs w:val="22"/>
        </w:rPr>
      </w:pPr>
      <w:r>
        <w:rPr>
          <w:rFonts w:cs="Arial" w:ascii="Arial" w:hAnsi="Arial"/>
          <w:b/>
          <w:sz w:val="22"/>
          <w:szCs w:val="22"/>
        </w:rPr>
        <w:t xml:space="preserve">15.1 </w:t>
      </w:r>
      <w:r>
        <w:rPr>
          <w:rFonts w:cs="Arial" w:ascii="Arial" w:hAnsi="Arial"/>
          <w:sz w:val="22"/>
          <w:szCs w:val="22"/>
        </w:rPr>
        <w:t>Encerradas as fases de julgamento e habilitação, e exauridos os recursos administrativos, o processo licitatório será encaminhado à autoridade superior, que poderá:</w:t>
      </w:r>
    </w:p>
    <w:p>
      <w:pPr>
        <w:pStyle w:val="Default"/>
        <w:spacing w:lineRule="auto" w:line="360"/>
        <w:jc w:val="both"/>
        <w:rPr>
          <w:rFonts w:ascii="Arial" w:hAnsi="Arial"/>
          <w:sz w:val="22"/>
          <w:szCs w:val="22"/>
        </w:rPr>
      </w:pPr>
      <w:r>
        <w:rPr>
          <w:rFonts w:cs="Arial" w:ascii="Arial" w:hAnsi="Arial"/>
          <w:b/>
          <w:sz w:val="22"/>
          <w:szCs w:val="22"/>
        </w:rPr>
        <w:t xml:space="preserve">15.1.1 </w:t>
      </w:r>
      <w:r>
        <w:rPr>
          <w:rFonts w:cs="Arial" w:ascii="Arial" w:hAnsi="Arial"/>
          <w:sz w:val="22"/>
          <w:szCs w:val="22"/>
        </w:rPr>
        <w:t>determinar o retorno dos autos para saneamento de irregularidades;</w:t>
      </w:r>
    </w:p>
    <w:p>
      <w:pPr>
        <w:pStyle w:val="Default"/>
        <w:spacing w:lineRule="auto" w:line="360"/>
        <w:jc w:val="both"/>
        <w:rPr>
          <w:rFonts w:ascii="Arial" w:hAnsi="Arial"/>
          <w:sz w:val="22"/>
          <w:szCs w:val="22"/>
        </w:rPr>
      </w:pPr>
      <w:r>
        <w:rPr>
          <w:rFonts w:cs="Arial" w:ascii="Arial" w:hAnsi="Arial"/>
          <w:b/>
          <w:sz w:val="22"/>
          <w:szCs w:val="22"/>
        </w:rPr>
        <w:t xml:space="preserve">15.1.2 </w:t>
      </w:r>
      <w:r>
        <w:rPr>
          <w:rFonts w:cs="Arial" w:ascii="Arial" w:hAnsi="Arial"/>
          <w:sz w:val="22"/>
          <w:szCs w:val="22"/>
        </w:rPr>
        <w:t>revogar a licitação por motivo de conveniência e oportunidade;</w:t>
      </w:r>
    </w:p>
    <w:p>
      <w:pPr>
        <w:pStyle w:val="Default"/>
        <w:spacing w:lineRule="auto" w:line="360"/>
        <w:jc w:val="both"/>
        <w:rPr>
          <w:rFonts w:ascii="Arial" w:hAnsi="Arial"/>
          <w:sz w:val="22"/>
          <w:szCs w:val="22"/>
        </w:rPr>
      </w:pPr>
      <w:r>
        <w:rPr>
          <w:rFonts w:cs="Arial" w:ascii="Arial" w:hAnsi="Arial"/>
          <w:b/>
          <w:sz w:val="22"/>
          <w:szCs w:val="22"/>
        </w:rPr>
        <w:t xml:space="preserve">15.1.3 </w:t>
      </w:r>
      <w:r>
        <w:rPr>
          <w:rFonts w:cs="Arial" w:ascii="Arial" w:hAnsi="Arial"/>
          <w:sz w:val="22"/>
          <w:szCs w:val="22"/>
        </w:rPr>
        <w:t>proceder à anulação da licitação, de ofício ou mediante provocação de terceiros, sempre que presente ilegalidade insanável;</w:t>
      </w:r>
    </w:p>
    <w:p>
      <w:pPr>
        <w:pStyle w:val="Default"/>
        <w:spacing w:lineRule="auto" w:line="360"/>
        <w:jc w:val="both"/>
        <w:rPr>
          <w:rFonts w:ascii="Arial" w:hAnsi="Arial"/>
          <w:sz w:val="22"/>
          <w:szCs w:val="22"/>
        </w:rPr>
      </w:pPr>
      <w:r>
        <w:rPr>
          <w:rFonts w:cs="Arial" w:ascii="Arial" w:hAnsi="Arial"/>
          <w:b/>
          <w:color w:val="000000"/>
          <w:sz w:val="22"/>
          <w:szCs w:val="22"/>
        </w:rPr>
        <w:t xml:space="preserve">15.1.4 </w:t>
      </w:r>
      <w:r>
        <w:rPr>
          <w:rFonts w:cs="Arial" w:ascii="Arial" w:hAnsi="Arial"/>
          <w:color w:val="000000"/>
          <w:sz w:val="22"/>
          <w:szCs w:val="22"/>
        </w:rPr>
        <w:t xml:space="preserve">adjudicar o objeto e homologar a licitação. </w:t>
      </w:r>
    </w:p>
    <w:p>
      <w:pPr>
        <w:pStyle w:val="Default"/>
        <w:spacing w:lineRule="auto" w:line="360"/>
        <w:jc w:val="both"/>
        <w:rPr>
          <w:rFonts w:ascii="Arial" w:hAnsi="Arial"/>
          <w:sz w:val="22"/>
          <w:szCs w:val="22"/>
        </w:rPr>
      </w:pPr>
      <w:r>
        <w:rPr>
          <w:rFonts w:ascii="Arial" w:hAnsi="Arial"/>
          <w:sz w:val="22"/>
          <w:szCs w:val="22"/>
        </w:rPr>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16. DO SISTEMA DE REGISTRO DE PREÇOS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16.1 </w:t>
      </w:r>
      <w:r>
        <w:rPr>
          <w:rFonts w:cs="Arial" w:ascii="Arial" w:hAnsi="Arial"/>
          <w:color w:val="000000"/>
          <w:sz w:val="22"/>
          <w:szCs w:val="22"/>
          <w:shd w:fill="auto" w:val="clear"/>
        </w:rPr>
        <w:t xml:space="preserve">O registro de preços será formalizado através da ata de registro de preços.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16.2 </w:t>
      </w:r>
      <w:r>
        <w:rPr>
          <w:rFonts w:cs="Arial" w:ascii="Arial" w:hAnsi="Arial"/>
          <w:color w:val="000000"/>
          <w:sz w:val="22"/>
          <w:szCs w:val="22"/>
          <w:shd w:fill="auto" w:val="clear"/>
        </w:rPr>
        <w:t>O preço registrado e a indicação do respectivo fornecedor serão divulgados na imprensa oficial do Município e ficarão disponibilizados durante a vigência da ata de registro de preços.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16.2.1 </w:t>
      </w:r>
      <w:r>
        <w:rPr>
          <w:rFonts w:cs="Arial" w:ascii="Arial" w:hAnsi="Arial"/>
          <w:color w:val="000000"/>
          <w:sz w:val="22"/>
          <w:szCs w:val="22"/>
          <w:shd w:fill="auto" w:val="clear"/>
        </w:rPr>
        <w:t>Os preços registrados não poderão ultrapassar o preço praticado no mercado.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16.3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a quantidade total registrada, facultada a realização de licitação específica para a aquisição pretendida, desde que devidamente justificada.</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16.4 </w:t>
      </w:r>
      <w:r>
        <w:rPr>
          <w:rFonts w:cs="Arial" w:ascii="Arial" w:hAnsi="Arial"/>
          <w:color w:val="000000"/>
          <w:sz w:val="22"/>
          <w:szCs w:val="22"/>
          <w:shd w:fill="auto" w:val="clear"/>
        </w:rPr>
        <w:t>O Município realizará durante o prazo de vigência da ata de registro de preços, pesquisas periódicas de preços, com a finalidade de obter os valores praticados no mercado para os itens objeto da presente licitação.</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 xml:space="preserve">16.5 </w:t>
      </w:r>
      <w:r>
        <w:rPr>
          <w:rFonts w:cs="Arial" w:ascii="Arial" w:hAnsi="Arial"/>
          <w:color w:val="000000"/>
          <w:sz w:val="22"/>
          <w:szCs w:val="22"/>
          <w:shd w:fill="auto" w:val="clear"/>
        </w:rPr>
        <w:t>S</w:t>
      </w:r>
      <w:r>
        <w:rPr>
          <w:rFonts w:cs="Arial" w:ascii="Arial" w:hAnsi="Arial"/>
          <w:color w:val="000000"/>
          <w:sz w:val="22"/>
          <w:szCs w:val="22"/>
          <w:shd w:fill="auto" w:val="clear"/>
          <w:lang w:eastAsia="pt-BR"/>
        </w:rPr>
        <w:t>erá incluído na ata, na forma de anexo, o registro do cadastro de reserva:</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lang w:eastAsia="pt-BR"/>
        </w:rPr>
        <w:t>a)</w:t>
      </w:r>
      <w:r>
        <w:rPr>
          <w:rFonts w:cs="Arial" w:ascii="Arial" w:hAnsi="Arial"/>
          <w:color w:val="000000"/>
          <w:sz w:val="22"/>
          <w:szCs w:val="22"/>
          <w:shd w:fill="auto" w:val="clear"/>
          <w:lang w:eastAsia="pt-BR"/>
        </w:rPr>
        <w:t xml:space="preserve"> dos licitantes ou dos fornecedores que aceitarem cotar os bens, as Saúde ou os serviços com preços iguais aos do adjudicatário, observada a classificação na licitação; e</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lang w:eastAsia="pt-BR"/>
        </w:rPr>
        <w:t>b)</w:t>
      </w:r>
      <w:r>
        <w:rPr>
          <w:rFonts w:cs="Arial" w:ascii="Arial" w:hAnsi="Arial"/>
          <w:color w:val="000000"/>
          <w:sz w:val="22"/>
          <w:szCs w:val="22"/>
          <w:shd w:fill="auto" w:val="clear"/>
          <w:lang w:eastAsia="pt-BR"/>
        </w:rPr>
        <w:t xml:space="preserve"> dos licitantes ou dos fornecedores que mantiverem sua proposta original.</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16.6</w:t>
      </w:r>
      <w:r>
        <w:rPr>
          <w:rFonts w:cs="Arial" w:ascii="Arial" w:hAnsi="Arial"/>
          <w:color w:val="000000"/>
          <w:sz w:val="22"/>
          <w:szCs w:val="22"/>
          <w:shd w:fill="auto" w:val="clear"/>
          <w:lang w:eastAsia="pt-BR"/>
        </w:rPr>
        <w:t xml:space="preserve"> Será respeitada, nas contratações, a ordem de classificação dos licitantes ou fornecedores registrados na ata.</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lang w:eastAsia="pt-BR"/>
        </w:rPr>
        <w:t>16.7</w:t>
      </w:r>
      <w:r>
        <w:rPr>
          <w:rFonts w:cs="Arial" w:ascii="Arial" w:hAnsi="Arial"/>
          <w:color w:val="000000"/>
          <w:sz w:val="22"/>
          <w:szCs w:val="22"/>
          <w:shd w:fill="auto" w:val="clear"/>
          <w:lang w:eastAsia="pt-BR"/>
        </w:rPr>
        <w:t xml:space="preserve"> O registro a que se refere o item 16.5 tem por objetivo a formação de cadastro de reserva, para o caso de impossibilidade de atendimento pelo signatário da ata.</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kern w:val="2"/>
          <w:sz w:val="22"/>
          <w:szCs w:val="22"/>
          <w:shd w:fill="auto" w:val="clear"/>
          <w:lang w:val="pt-BR" w:eastAsia="pt-BR" w:bidi="ar-SA"/>
        </w:rPr>
        <w:t xml:space="preserve">16.8 </w:t>
      </w:r>
      <w:r>
        <w:rPr>
          <w:rFonts w:eastAsia="Arial" w:cs="Arial" w:ascii="Arial" w:hAnsi="Arial"/>
          <w:b w:val="false"/>
          <w:bCs w:val="false"/>
          <w:color w:val="000000"/>
          <w:kern w:val="2"/>
          <w:sz w:val="22"/>
          <w:szCs w:val="22"/>
          <w:shd w:fill="auto" w:val="clear"/>
          <w:lang w:val="pt-BR" w:eastAsia="pt-BR" w:bidi="ar-SA"/>
        </w:rPr>
        <w:t>Para fins da ordem de classificação, os licitantes ou fornecedores de que trata a alínea “a” do item 16.5 antecederão aqueles de que trata a alínea “b” do referido item.</w:t>
      </w:r>
    </w:p>
    <w:p>
      <w:pPr>
        <w:pStyle w:val="Default"/>
        <w:spacing w:lineRule="auto" w:line="360"/>
        <w:jc w:val="both"/>
        <w:rPr>
          <w:rFonts w:ascii="Arial" w:hAnsi="Arial"/>
          <w:sz w:val="22"/>
          <w:szCs w:val="22"/>
        </w:rPr>
      </w:pPr>
      <w:r>
        <w:rPr>
          <w:rFonts w:cs="Arial" w:ascii="Arial" w:hAnsi="Arial"/>
          <w:b/>
          <w:color w:val="000000"/>
          <w:sz w:val="22"/>
          <w:szCs w:val="22"/>
          <w:shd w:fill="auto" w:val="clear"/>
        </w:rPr>
        <w:t xml:space="preserve">17. CONDIÇÕES PARA ASSINATURA DA ATA DE REGISTRO DE PREÇOS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17.1 </w:t>
      </w:r>
      <w:r>
        <w:rPr>
          <w:rFonts w:cs="Arial" w:ascii="Arial" w:hAnsi="Arial"/>
          <w:color w:val="000000"/>
          <w:sz w:val="22"/>
          <w:szCs w:val="22"/>
          <w:shd w:fill="auto" w:val="clear"/>
        </w:rPr>
        <w:t xml:space="preserve">O licitante vencedor será convocado para assinar a ata de registro de preços ou para aceitar ou retirar o instrumento equivalente, dentro do prazo de 5 (cinco) dias úteis, sob pena de decair o direito à contratação, sem prejuízo das sanções previstas neste edital.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17.2 </w:t>
      </w:r>
      <w:r>
        <w:rPr>
          <w:rFonts w:cs="Arial" w:ascii="Arial" w:hAnsi="Arial"/>
          <w:color w:val="000000"/>
          <w:sz w:val="22"/>
          <w:szCs w:val="22"/>
          <w:shd w:fill="auto" w:val="clear"/>
        </w:rPr>
        <w:t xml:space="preserve">O prazo de convocação poderá ser prorrogado 1 (uma) vez, por igual período, mediante solicitação da parte, durante seu transcurso, devidamente justificada e desde que o motivo apresentado seja aceito pela Administração.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17.3 </w:t>
      </w:r>
      <w:r>
        <w:rPr>
          <w:rFonts w:cs="Arial" w:ascii="Arial" w:hAnsi="Arial"/>
          <w:color w:val="000000"/>
          <w:sz w:val="22"/>
          <w:szCs w:val="22"/>
          <w:shd w:fill="auto" w:val="clear"/>
        </w:rPr>
        <w:t>A assinatura da ata de registro de preços deverá ser realizada, preferencialmente, de forma digital.</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17.4 </w:t>
      </w:r>
      <w:r>
        <w:rPr>
          <w:rFonts w:cs="Arial" w:ascii="Arial" w:hAnsi="Arial"/>
          <w:color w:val="000000"/>
          <w:sz w:val="22"/>
          <w:szCs w:val="22"/>
          <w:shd w:fill="auto" w:val="clear"/>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consoante cadastro de reserva.</w:t>
      </w:r>
    </w:p>
    <w:p>
      <w:pPr>
        <w:pStyle w:val="Default"/>
        <w:spacing w:lineRule="auto" w:line="360"/>
        <w:jc w:val="both"/>
        <w:rPr>
          <w:rFonts w:ascii="Arial" w:hAnsi="Arial"/>
          <w:sz w:val="22"/>
          <w:szCs w:val="22"/>
        </w:rPr>
      </w:pPr>
      <w:r>
        <w:rPr>
          <w:rFonts w:cs="Arial" w:ascii="Arial" w:hAnsi="Arial"/>
          <w:b/>
          <w:color w:val="000000"/>
          <w:sz w:val="22"/>
          <w:szCs w:val="22"/>
          <w:shd w:fill="auto" w:val="clear"/>
        </w:rPr>
        <w:t xml:space="preserve">17.5 </w:t>
      </w:r>
      <w:r>
        <w:rPr>
          <w:rFonts w:cs="Arial" w:ascii="Arial" w:hAnsi="Arial"/>
          <w:color w:val="000000"/>
          <w:sz w:val="22"/>
          <w:szCs w:val="22"/>
          <w:shd w:fill="auto" w:val="clear"/>
        </w:rPr>
        <w:t>Decorrido o prazo de validade da proposta indicado no item 7.1 deste edital, sem convocação para a contratação, ficarão os licitantes liberados dos compromissos assumidos.</w:t>
      </w:r>
    </w:p>
    <w:p>
      <w:pPr>
        <w:pStyle w:val="Normal"/>
        <w:spacing w:lineRule="auto" w:line="360"/>
        <w:jc w:val="both"/>
        <w:rPr>
          <w:rFonts w:ascii="Arial" w:hAnsi="Arial"/>
          <w:sz w:val="22"/>
          <w:szCs w:val="22"/>
        </w:rPr>
      </w:pPr>
      <w:r>
        <w:rPr>
          <w:rFonts w:cs="Arial" w:ascii="Arial" w:hAnsi="Arial"/>
          <w:b/>
          <w:bCs/>
          <w:color w:val="000000"/>
          <w:sz w:val="22"/>
          <w:szCs w:val="22"/>
          <w:shd w:fill="auto" w:val="clear"/>
        </w:rPr>
        <w:t xml:space="preserve">17.6 </w:t>
      </w:r>
      <w:r>
        <w:rPr>
          <w:rFonts w:cs="Arial" w:ascii="Arial" w:hAnsi="Arial"/>
          <w:b w:val="false"/>
          <w:bCs w:val="false"/>
          <w:color w:val="000000"/>
          <w:sz w:val="22"/>
          <w:szCs w:val="22"/>
          <w:shd w:fill="auto" w:val="clea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Município.</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b/>
          <w:bCs/>
          <w:sz w:val="22"/>
          <w:szCs w:val="22"/>
        </w:rPr>
        <w:t xml:space="preserve">18. </w:t>
      </w:r>
      <w:r>
        <w:rPr>
          <w:rFonts w:cs="Arial" w:ascii="Arial" w:hAnsi="Arial"/>
          <w:b/>
          <w:bCs/>
          <w:color w:val="000000"/>
          <w:sz w:val="22"/>
          <w:szCs w:val="22"/>
          <w:shd w:fill="auto" w:val="clear"/>
        </w:rPr>
        <w:t>DA VIGÊNCIA DA ATA DE REGISTRO DE PREÇOS</w:t>
      </w:r>
    </w:p>
    <w:p>
      <w:pPr>
        <w:pStyle w:val="Default"/>
        <w:spacing w:lineRule="auto" w:line="360"/>
        <w:jc w:val="both"/>
        <w:rPr/>
      </w:pPr>
      <w:r>
        <w:rPr>
          <w:rFonts w:cs="Arial" w:ascii="Arial" w:hAnsi="Arial"/>
          <w:b/>
          <w:bCs/>
          <w:color w:val="000000"/>
          <w:sz w:val="22"/>
          <w:szCs w:val="22"/>
          <w:shd w:fill="auto" w:val="clear"/>
        </w:rPr>
        <w:t xml:space="preserve">18.1 </w:t>
      </w:r>
      <w:r>
        <w:rPr>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r>
        <w:rPr>
          <w:rStyle w:val="Strong"/>
          <w:rFonts w:cs="Arial" w:ascii="Arial" w:hAnsi="Arial"/>
          <w:b w:val="false"/>
          <w:bCs w:val="false"/>
          <w:color w:val="000000"/>
          <w:sz w:val="22"/>
          <w:szCs w:val="22"/>
          <w:shd w:fill="auto" w:val="clear"/>
        </w:rPr>
        <w:t>.</w:t>
      </w:r>
    </w:p>
    <w:p>
      <w:pPr>
        <w:pStyle w:val="Default"/>
        <w:spacing w:lineRule="auto" w:line="360"/>
        <w:jc w:val="both"/>
        <w:rPr>
          <w:rFonts w:ascii="Arial" w:hAnsi="Arial"/>
          <w:sz w:val="22"/>
          <w:szCs w:val="22"/>
        </w:rPr>
      </w:pPr>
      <w:r>
        <w:rPr>
          <w:rFonts w:ascii="Arial" w:hAnsi="Arial"/>
          <w:sz w:val="22"/>
          <w:szCs w:val="22"/>
        </w:rPr>
      </w:r>
    </w:p>
    <w:p>
      <w:pPr>
        <w:pStyle w:val="Default"/>
        <w:numPr>
          <w:ilvl w:val="0"/>
          <w:numId w:val="12"/>
        </w:numPr>
        <w:spacing w:lineRule="auto" w:line="360"/>
        <w:jc w:val="both"/>
        <w:rPr>
          <w:rFonts w:ascii="Arial" w:hAnsi="Arial"/>
          <w:sz w:val="22"/>
          <w:szCs w:val="22"/>
        </w:rPr>
      </w:pPr>
      <w:r>
        <w:rPr>
          <w:rFonts w:ascii="Arial" w:hAnsi="Arial"/>
          <w:b/>
          <w:bCs/>
          <w:sz w:val="22"/>
          <w:szCs w:val="22"/>
        </w:rPr>
        <w:t xml:space="preserve">19. </w:t>
      </w:r>
      <w:r>
        <w:rPr>
          <w:rFonts w:cs="Arial" w:ascii="Arial" w:hAnsi="Arial"/>
          <w:b/>
          <w:bCs/>
          <w:color w:val="000000"/>
          <w:sz w:val="22"/>
          <w:szCs w:val="22"/>
          <w:shd w:fill="auto" w:val="clear"/>
        </w:rPr>
        <w:t xml:space="preserve">DA ALTERAÇÃO E DA ATUALIZAÇÃO DOS PREÇOS REGISTRADOS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19.1 </w:t>
      </w:r>
      <w:r>
        <w:rPr>
          <w:rFonts w:cs="Arial" w:ascii="Arial" w:hAnsi="Arial"/>
          <w:color w:val="000000"/>
          <w:sz w:val="22"/>
          <w:szCs w:val="22"/>
          <w:shd w:fill="auto" w:val="clear"/>
        </w:rPr>
        <w:t>Os preços registrados poderão ser alterados ou atualizados em decorrência de eventual redução dos preços praticados no mercado ou de fato que eleve o custo dos bens, das Saúde ou dos serviços registrados, nas seguintes situações: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124 da Lei nº 14.133, de 2021;</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19.1.2 </w:t>
      </w:r>
      <w:r>
        <w:rPr>
          <w:rFonts w:cs="Arial" w:ascii="Arial" w:hAnsi="Arial"/>
          <w:color w:val="000000"/>
          <w:sz w:val="22"/>
          <w:szCs w:val="22"/>
          <w:shd w:fill="auto" w:val="clear"/>
        </w:rPr>
        <w:t>Em caso de criação, alteração ou extinção de quaisquer tributos ou encargos legais ou superveniência de disposições legais, com comprovada repercussão sobre os preços registrados;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19.1.3 </w:t>
      </w:r>
      <w:r>
        <w:rPr>
          <w:rFonts w:cs="Arial" w:ascii="Arial" w:hAnsi="Arial"/>
          <w:color w:val="000000"/>
          <w:sz w:val="22"/>
          <w:szCs w:val="22"/>
          <w:shd w:fill="auto" w:val="clear"/>
        </w:rPr>
        <w:t>Na hipótese de previsão no edital de cláusula de reajustamento ou repactuação sobre os preços registrados, nos termos do disposto na Lei nº 14.133, de 2021.</w:t>
      </w:r>
    </w:p>
    <w:p>
      <w:pPr>
        <w:pStyle w:val="Normal"/>
        <w:numPr>
          <w:ilvl w:val="0"/>
          <w:numId w:val="12"/>
        </w:numPr>
        <w:spacing w:lineRule="auto" w:line="360"/>
        <w:jc w:val="both"/>
        <w:rPr/>
      </w:pPr>
      <w:r>
        <w:rPr>
          <w:rFonts w:cs="Arial" w:ascii="Arial" w:hAnsi="Arial"/>
          <w:b/>
          <w:color w:val="000000"/>
          <w:sz w:val="22"/>
          <w:szCs w:val="22"/>
          <w:shd w:fill="auto" w:val="clear"/>
        </w:rPr>
        <w:t xml:space="preserve">19.1.3.1 </w:t>
      </w:r>
      <w:r>
        <w:rPr>
          <w:rFonts w:cs="Arial" w:ascii="Arial" w:hAnsi="Arial"/>
          <w:color w:val="000000"/>
          <w:sz w:val="22"/>
          <w:szCs w:val="22"/>
          <w:shd w:fill="auto" w:val="clear"/>
        </w:rPr>
        <w:t xml:space="preserve">O valor da proposta será reajustado pelo </w:t>
      </w:r>
      <w:r>
        <w:rPr>
          <w:rStyle w:val="Nfase"/>
          <w:rFonts w:cs="Arial" w:ascii="Arial" w:hAnsi="Arial"/>
          <w:i w:val="false"/>
          <w:color w:val="000000"/>
          <w:sz w:val="22"/>
          <w:szCs w:val="22"/>
          <w:shd w:fill="auto" w:val="clear"/>
        </w:rPr>
        <w:t>IPCA</w:t>
      </w:r>
      <w:r>
        <w:rPr>
          <w:rFonts w:cs="Arial" w:ascii="Arial" w:hAnsi="Arial"/>
          <w:color w:val="000000"/>
          <w:sz w:val="22"/>
          <w:szCs w:val="22"/>
          <w:shd w:fill="auto" w:val="clear"/>
        </w:rPr>
        <w:t xml:space="preserve"> - Índice Nacional de Preços ao Consumidor Amplo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19.2 </w:t>
      </w:r>
      <w:r>
        <w:rPr>
          <w:rFonts w:cs="Arial" w:ascii="Arial" w:hAnsi="Arial"/>
          <w:color w:val="000000"/>
          <w:sz w:val="22"/>
          <w:szCs w:val="22"/>
          <w:shd w:fill="auto" w:val="clear"/>
        </w:rPr>
        <w:t>Na hipótese de o preço registrado tornar-se superior ao preço praticado no mercado, por motivo superveniente, o Município convocará o fornecedor para negociar a redução do preço registrado.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19.2.1 </w:t>
      </w:r>
      <w:r>
        <w:rPr>
          <w:rFonts w:cs="Arial" w:ascii="Arial" w:hAnsi="Arial"/>
          <w:color w:val="000000"/>
          <w:sz w:val="22"/>
          <w:szCs w:val="22"/>
          <w:shd w:fill="auto" w:val="clear"/>
        </w:rPr>
        <w:t>Caso não aceite reduzir seu preço aos valores praticados pelo mercado, o fornecedor será liberado do compromisso assumido quanto ao item registrado, sem aplicação de penalidades administrativas.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19.2.2 </w:t>
      </w:r>
      <w:r>
        <w:rPr>
          <w:rFonts w:cs="Arial" w:ascii="Arial" w:hAnsi="Arial"/>
          <w:color w:val="000000"/>
          <w:sz w:val="22"/>
          <w:szCs w:val="22"/>
          <w:shd w:fill="auto" w:val="clear"/>
        </w:rPr>
        <w:t>Na hipótese prevista no subitem anterior, o Município convocará os fornecedores do cadastro de reserva, na ordem de classificação, para verificar se aceitam reduzir seus preços aos valores de mercado.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19.2.3 </w:t>
      </w:r>
      <w:r>
        <w:rPr>
          <w:rFonts w:cs="Arial" w:ascii="Arial" w:hAnsi="Arial"/>
          <w:color w:val="000000"/>
          <w:sz w:val="22"/>
          <w:szCs w:val="22"/>
          <w:shd w:fill="auto" w:val="clear"/>
        </w:rPr>
        <w:t>Se não obtiver êxito nas negociações, o Município procederá ao cancelamento da ata de registro de preços e adotará as medidas cabíveis para a obtenção de contratação mais vantajosa.</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19.3 </w:t>
      </w:r>
      <w:r>
        <w:rPr>
          <w:rFonts w:cs="Arial" w:ascii="Arial" w:hAnsi="Arial"/>
          <w:color w:val="000000"/>
          <w:sz w:val="22"/>
          <w:szCs w:val="22"/>
          <w:shd w:fill="auto" w:val="clear"/>
        </w:rPr>
        <w:t>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19.3.1 </w:t>
      </w:r>
      <w:r>
        <w:rPr>
          <w:rFonts w:cs="Arial" w:ascii="Arial" w:hAnsi="Arial"/>
          <w:color w:val="000000"/>
          <w:sz w:val="22"/>
          <w:szCs w:val="22"/>
          <w:shd w:fill="auto" w:val="clear"/>
        </w:rPr>
        <w:t>Para fins do disposto no item anterior, o fornecedor encaminhará, juntamente com o pedido de alteração, a documentação comprobatória ou a planilha de custos que demonstre a inviabilidade do preço registrado em relação às condições inicialmente pactuadas.</w:t>
      </w:r>
    </w:p>
    <w:p>
      <w:pPr>
        <w:pStyle w:val="Default"/>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19.3.2</w:t>
      </w:r>
      <w:r>
        <w:rPr>
          <w:rFonts w:cs="Arial" w:ascii="Arial" w:hAnsi="Arial"/>
          <w:color w:val="000000"/>
          <w:sz w:val="22"/>
          <w:szCs w:val="22"/>
          <w:shd w:fill="auto" w:val="clear"/>
        </w:rPr>
        <w:t xml:space="preserve"> 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19.3.3 </w:t>
      </w:r>
      <w:r>
        <w:rPr>
          <w:rFonts w:cs="Arial" w:ascii="Arial" w:hAnsi="Arial"/>
          <w:color w:val="000000"/>
          <w:sz w:val="22"/>
          <w:szCs w:val="22"/>
          <w:shd w:fill="auto" w:val="clear"/>
        </w:rPr>
        <w:t>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19.4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19.5</w:t>
      </w:r>
      <w:r>
        <w:rPr>
          <w:rFonts w:cs="Arial" w:ascii="Arial" w:hAnsi="Arial"/>
          <w:color w:val="000000"/>
          <w:sz w:val="22"/>
          <w:szCs w:val="22"/>
          <w:shd w:fill="auto" w:val="clear"/>
        </w:rPr>
        <w:t xml:space="preserve"> Os preços registrados poderão ser reequilibrados, desde que haja o convencimento do fiscal com base na documentação apresentada pela contratada, sob pena de indeferimento do pedido.</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19.6</w:t>
      </w:r>
      <w:r>
        <w:rPr>
          <w:rFonts w:cs="Arial" w:ascii="Arial" w:hAnsi="Arial"/>
          <w:color w:val="000000"/>
          <w:sz w:val="22"/>
          <w:szCs w:val="22"/>
          <w:shd w:fill="auto" w:val="clear"/>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 xml:space="preserve">19.7 </w:t>
      </w:r>
      <w:r>
        <w:rPr>
          <w:rFonts w:cs="Arial" w:ascii="Arial" w:hAnsi="Arial"/>
          <w:b w:val="false"/>
          <w:bCs w:val="false"/>
          <w:color w:val="000000"/>
          <w:sz w:val="22"/>
          <w:szCs w:val="22"/>
          <w:shd w:fill="auto" w:val="clear"/>
        </w:rPr>
        <w:t>Fica vedado efetuar acréscimos nos quantitativos estabelecidos na ata de registro de preços.</w:t>
      </w:r>
    </w:p>
    <w:p>
      <w:pPr>
        <w:pStyle w:val="Default"/>
        <w:numPr>
          <w:ilvl w:val="0"/>
          <w:numId w:val="12"/>
        </w:numPr>
        <w:spacing w:lineRule="auto" w:line="360"/>
        <w:jc w:val="both"/>
        <w:rPr>
          <w:rFonts w:ascii="Arial" w:hAnsi="Arial"/>
          <w:sz w:val="22"/>
          <w:szCs w:val="22"/>
        </w:rPr>
      </w:pPr>
      <w:r>
        <w:rPr>
          <w:rFonts w:ascii="Arial" w:hAnsi="Arial"/>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 xml:space="preserve">20. </w:t>
      </w:r>
      <w:r>
        <w:rPr>
          <w:rFonts w:cs="Arial"/>
          <w:b/>
          <w:color w:val="000000"/>
          <w:sz w:val="22"/>
          <w:szCs w:val="22"/>
          <w:shd w:fill="auto" w:val="clear"/>
        </w:rPr>
        <w:t xml:space="preserve">DO CANCELAMENTO DO REGISTRO DO FORNECEDOR E DOS PREÇOS REGISTRADOS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 </w:t>
      </w:r>
      <w:r>
        <w:rPr>
          <w:rFonts w:cs="Arial" w:ascii="Arial" w:hAnsi="Arial"/>
          <w:color w:val="000000"/>
          <w:sz w:val="22"/>
          <w:szCs w:val="22"/>
          <w:shd w:fill="auto" w:val="clear"/>
        </w:rPr>
        <w:t>O registro do fornecedor poderá ser suspenso ou cancelado pelo Município, facultada a defesa prévia, no prazo de 5 (cinco) dias úteis, quando: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20.1.2. </w:t>
      </w:r>
      <w:r>
        <w:rPr>
          <w:rFonts w:cs="Arial" w:ascii="Arial" w:hAnsi="Arial"/>
          <w:color w:val="000000"/>
          <w:sz w:val="22"/>
          <w:szCs w:val="22"/>
          <w:shd w:fill="auto" w:val="clear"/>
        </w:rPr>
        <w:t>O fornecedor não retirar a nota de empenho, ou instrumento equivalente, no prazo estabelecido pela Administração, sem justificativa razoável;</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20.1.3. </w:t>
      </w:r>
      <w:r>
        <w:rPr>
          <w:rFonts w:cs="Arial" w:ascii="Arial" w:hAnsi="Arial"/>
          <w:color w:val="000000"/>
          <w:sz w:val="22"/>
          <w:szCs w:val="22"/>
          <w:shd w:fill="auto" w:val="clear"/>
        </w:rPr>
        <w:t>O fornecedor não aceitar manter seu preço registrado;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156 da Lei nº 14.133, de 2021;</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20.1.5. </w:t>
      </w:r>
      <w:r>
        <w:rPr>
          <w:rFonts w:cs="Arial" w:ascii="Arial" w:hAnsi="Arial"/>
          <w:color w:val="000000"/>
          <w:sz w:val="22"/>
          <w:szCs w:val="22"/>
          <w:shd w:fill="auto" w:val="clear"/>
        </w:rPr>
        <w:t>Em qualquer das hipóteses de inexecução total ou parcial do contrato decorrente do registro de preços;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20.1.6. </w:t>
      </w:r>
      <w:r>
        <w:rPr>
          <w:rFonts w:cs="Arial" w:ascii="Arial" w:hAnsi="Arial"/>
          <w:color w:val="000000"/>
          <w:sz w:val="22"/>
          <w:szCs w:val="22"/>
          <w:shd w:fill="auto" w:val="clear"/>
        </w:rPr>
        <w:t>Quando os preços registrados se apresentarem superiores aos praticados pelo mercado;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20.1.7. </w:t>
      </w:r>
      <w:r>
        <w:rPr>
          <w:rFonts w:cs="Arial" w:ascii="Arial" w:hAnsi="Arial"/>
          <w:color w:val="000000"/>
          <w:sz w:val="22"/>
          <w:szCs w:val="22"/>
          <w:shd w:fill="auto" w:val="clear"/>
        </w:rPr>
        <w:t>Por razões de interesse público, devidamente fundamentadas;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20.1.8. </w:t>
      </w:r>
      <w:r>
        <w:rPr>
          <w:rFonts w:cs="Arial" w:ascii="Arial" w:hAnsi="Arial"/>
          <w:color w:val="000000"/>
          <w:sz w:val="22"/>
          <w:szCs w:val="22"/>
          <w:shd w:fill="auto" w:val="clear"/>
        </w:rPr>
        <w:t>A pedido do fornecedor, decorrente de caso fortuito ou de força maior;</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20.1.9. </w:t>
      </w:r>
      <w:r>
        <w:rPr>
          <w:rFonts w:cs="Arial" w:ascii="Arial" w:hAnsi="Arial"/>
          <w:color w:val="000000"/>
          <w:sz w:val="22"/>
          <w:szCs w:val="22"/>
          <w:shd w:fill="auto" w:val="clear"/>
        </w:rPr>
        <w:t>Se não houver êxito nas negociações.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20.2 </w:t>
      </w:r>
      <w:r>
        <w:rPr>
          <w:rFonts w:cs="Arial" w:ascii="Arial" w:hAnsi="Arial"/>
          <w:color w:val="000000"/>
          <w:sz w:val="22"/>
          <w:szCs w:val="22"/>
          <w:shd w:fill="auto" w:val="clear"/>
        </w:rPr>
        <w:t>O fornecedor poderá solicitar o cancelamento do preço registrado, mediante solicitação escrita, comprovando a impossibilidade de cumprir as exigências do instrumento convocatório que deu origem ao registro de preços.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20.3 </w:t>
      </w:r>
      <w:r>
        <w:rPr>
          <w:rFonts w:cs="Arial" w:ascii="Arial" w:hAnsi="Arial"/>
          <w:color w:val="000000"/>
          <w:sz w:val="22"/>
          <w:szCs w:val="22"/>
          <w:shd w:fill="auto" w:val="clear"/>
        </w:rPr>
        <w:t>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20.4 </w:t>
      </w:r>
      <w:r>
        <w:rPr>
          <w:rFonts w:cs="Arial" w:ascii="Arial" w:hAnsi="Arial"/>
          <w:color w:val="000000"/>
          <w:sz w:val="22"/>
          <w:szCs w:val="22"/>
          <w:shd w:fill="auto" w:val="clear"/>
        </w:rPr>
        <w:t>Na hipótese prevista no subitem 20.1.4.,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20.5. </w:t>
      </w:r>
      <w:r>
        <w:rPr>
          <w:rFonts w:cs="Arial" w:ascii="Arial" w:hAnsi="Arial"/>
          <w:color w:val="000000"/>
          <w:sz w:val="22"/>
          <w:szCs w:val="22"/>
          <w:shd w:fill="auto" w:val="clear"/>
        </w:rPr>
        <w:t xml:space="preserve">O cancelamento do registro nas hipóteses previstas no subitem 20.1, será formalizado por despacho do Município, garantidos os princípios do contraditório e da ampla defesa. </w:t>
      </w:r>
    </w:p>
    <w:p>
      <w:pPr>
        <w:pStyle w:val="Itemdoedital"/>
        <w:numPr>
          <w:ilvl w:val="0"/>
          <w:numId w:val="12"/>
        </w:numPr>
        <w:spacing w:lineRule="auto" w:line="360"/>
        <w:ind w:left="0" w:right="0" w:hanging="0"/>
        <w:rPr>
          <w:rFonts w:ascii="Arial" w:hAnsi="Arial"/>
          <w:sz w:val="22"/>
          <w:szCs w:val="22"/>
        </w:rPr>
      </w:pPr>
      <w:r>
        <w:rPr>
          <w:rFonts w:cs="Arial"/>
          <w:b/>
          <w:color w:val="000000"/>
          <w:sz w:val="22"/>
          <w:szCs w:val="22"/>
          <w:shd w:fill="auto" w:val="clear"/>
        </w:rPr>
        <w:t xml:space="preserve">20.6. </w:t>
      </w:r>
      <w:r>
        <w:rPr>
          <w:rFonts w:cs="Arial"/>
          <w:b w:val="false"/>
          <w:bCs w:val="false"/>
          <w:color w:val="000000"/>
          <w:sz w:val="22"/>
          <w:szCs w:val="22"/>
          <w:shd w:fill="auto" w:val="clear"/>
        </w:rPr>
        <w:t>Na hipótese de cancelamento do registro do fornecedor, o Município poderá convocar os licitantes que compõem o cadastro de reserva, observada a ordem de classificação.</w:t>
      </w:r>
      <w:bookmarkStart w:id="1" w:name="_46r0co2"/>
      <w:bookmarkStart w:id="2" w:name="_3tbugp1"/>
      <w:bookmarkStart w:id="3" w:name="_19c6y18"/>
    </w:p>
    <w:p>
      <w:pPr>
        <w:pStyle w:val="Normal"/>
        <w:spacing w:lineRule="auto" w:line="36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rPr>
        <w:t xml:space="preserve">21. </w:t>
      </w:r>
      <w:r>
        <w:rPr>
          <w:rFonts w:cs="Arial"/>
          <w:b/>
          <w:color w:val="000000"/>
          <w:sz w:val="22"/>
          <w:szCs w:val="22"/>
          <w:shd w:fill="auto" w:val="clear"/>
        </w:rPr>
        <w:t xml:space="preserve">DA CONTRATAÇÃO DECORRENTE DA ATA DE REGISTRO DE PREÇOS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21.1 </w:t>
      </w:r>
      <w:r>
        <w:rPr>
          <w:rFonts w:cs="Arial" w:ascii="Arial" w:hAnsi="Arial"/>
          <w:color w:val="000000"/>
          <w:sz w:val="22"/>
          <w:szCs w:val="22"/>
          <w:shd w:fill="auto" w:val="clear"/>
        </w:rPr>
        <w:t>A contratação com os fornecedores registrados na ata será formalizada por meio de instrumento contratual, emissão de nota de empenho de despesa, autorização de compra ou outro instrumento hábil, conforme o disposto no art. 95 da Lei nº 14.133, de 2021.</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21.1.2 </w:t>
      </w:r>
      <w:r>
        <w:rPr>
          <w:rFonts w:cs="Arial" w:ascii="Arial" w:hAnsi="Arial"/>
          <w:color w:val="000000"/>
          <w:sz w:val="22"/>
          <w:szCs w:val="22"/>
          <w:shd w:fill="auto" w:val="clear"/>
        </w:rPr>
        <w:t>Os instrumentos de que trata o subitem anterior serão assinados no prazo de validade da ata de registro de preços.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21.2 </w:t>
      </w:r>
      <w:r>
        <w:rPr>
          <w:rFonts w:cs="Arial" w:ascii="Arial" w:hAnsi="Arial"/>
          <w:color w:val="000000"/>
          <w:sz w:val="22"/>
          <w:szCs w:val="22"/>
          <w:shd w:fill="auto" w:val="clear"/>
        </w:rPr>
        <w:t>Os contratos decorrentes do sistema de registro de preços poderão ser alterados, observado o disposto no art. 124 da Lei nº 14.133, de 2021.</w:t>
      </w:r>
    </w:p>
    <w:p>
      <w:pPr>
        <w:pStyle w:val="Itemdoedital"/>
        <w:numPr>
          <w:ilvl w:val="0"/>
          <w:numId w:val="12"/>
        </w:numPr>
        <w:spacing w:lineRule="auto" w:line="360"/>
        <w:ind w:left="0" w:right="0" w:hanging="0"/>
        <w:rPr>
          <w:rFonts w:ascii="Arial" w:hAnsi="Arial"/>
          <w:sz w:val="22"/>
          <w:szCs w:val="22"/>
        </w:rPr>
      </w:pPr>
      <w:r>
        <w:rPr>
          <w:rFonts w:cs="Arial"/>
          <w:b/>
          <w:color w:val="000000"/>
          <w:sz w:val="22"/>
          <w:szCs w:val="22"/>
          <w:shd w:fill="auto" w:val="clear"/>
        </w:rPr>
        <w:t xml:space="preserve">21.3 </w:t>
      </w:r>
      <w:r>
        <w:rPr>
          <w:rFonts w:cs="Arial"/>
          <w:b w:val="false"/>
          <w:bCs w:val="false"/>
          <w:color w:val="000000"/>
          <w:sz w:val="22"/>
          <w:szCs w:val="22"/>
          <w:shd w:fill="auto" w:val="clear"/>
        </w:rPr>
        <w:t>A vigência dos contratos decorrentes do sistema de registro de preços será estabelecida no edital ou no aviso de contratação direta, observado o disposto no art. 105 da Lei nº 14.133, de 2021.</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2"/>
        </w:numPr>
        <w:spacing w:lineRule="auto" w:line="360"/>
        <w:ind w:left="0" w:right="0" w:hanging="0"/>
        <w:rPr>
          <w:rFonts w:ascii="Arial" w:hAnsi="Arial"/>
          <w:sz w:val="22"/>
          <w:szCs w:val="22"/>
        </w:rPr>
      </w:pPr>
      <w:r>
        <w:rPr>
          <w:sz w:val="22"/>
          <w:szCs w:val="22"/>
          <w:shd w:fill="auto" w:val="clear"/>
        </w:rPr>
        <w:t xml:space="preserve">22. </w:t>
      </w:r>
      <w:r>
        <w:rPr>
          <w:rFonts w:cs="Arial"/>
          <w:b/>
          <w:color w:val="000000"/>
          <w:sz w:val="22"/>
          <w:szCs w:val="22"/>
          <w:shd w:fill="auto" w:val="clear"/>
        </w:rPr>
        <w:t xml:space="preserve">DOS PRAZOS DE EXECUÇÃO E CONDIÇÕES DE PAGAMENTO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22.1 </w:t>
      </w:r>
      <w:r>
        <w:rPr>
          <w:rFonts w:cs="Arial" w:ascii="Arial" w:hAnsi="Arial"/>
          <w:color w:val="000000"/>
          <w:sz w:val="22"/>
          <w:szCs w:val="22"/>
          <w:shd w:fill="auto" w:val="clear"/>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22.1.1 </w:t>
      </w:r>
      <w:r>
        <w:rPr>
          <w:rFonts w:cs="Arial" w:ascii="Arial" w:hAnsi="Arial"/>
          <w:b w:val="false"/>
          <w:bCs w:val="false"/>
          <w:color w:val="000000"/>
          <w:sz w:val="22"/>
          <w:szCs w:val="22"/>
          <w:shd w:fill="auto" w:val="clear"/>
        </w:rPr>
        <w:t>A</w:t>
      </w:r>
      <w:r>
        <w:rPr>
          <w:rFonts w:cs="Arial" w:ascii="Arial" w:hAnsi="Arial"/>
          <w:b/>
          <w:color w:val="000000"/>
          <w:sz w:val="22"/>
          <w:szCs w:val="22"/>
          <w:shd w:fill="auto" w:val="clear"/>
        </w:rPr>
        <w:t xml:space="preserve"> </w:t>
      </w:r>
      <w:r>
        <w:rPr>
          <w:rFonts w:cs="Arial" w:ascii="Arial" w:hAnsi="Arial"/>
          <w:color w:val="000000"/>
          <w:sz w:val="22"/>
          <w:szCs w:val="22"/>
          <w:shd w:fill="auto" w:val="clear"/>
        </w:rPr>
        <w:t xml:space="preserve">prestação de serviço e/ou execução dos serviços </w:t>
      </w:r>
      <w:r>
        <w:rPr>
          <w:rFonts w:cs="Arial" w:ascii="Arial" w:hAnsi="Arial"/>
          <w:b/>
          <w:color w:val="000000"/>
          <w:sz w:val="22"/>
          <w:szCs w:val="22"/>
          <w:shd w:fill="auto" w:val="clear"/>
        </w:rPr>
        <w:t>deverão atender INTEGRALMENTE</w:t>
      </w:r>
      <w:r>
        <w:rPr>
          <w:rFonts w:cs="Arial" w:ascii="Arial" w:hAnsi="Arial"/>
          <w:color w:val="000000"/>
          <w:sz w:val="22"/>
          <w:szCs w:val="22"/>
          <w:shd w:fill="auto" w:val="clear"/>
        </w:rPr>
        <w:t xml:space="preserve"> aos PRAZOS, LOCAIS, CONDIÇÕES DE PAGAMENTO, EXIGÊNCIAS E OBRIGAÇÕES dispostas no TERMO DE REFERÊNCIA, disponível em arquivo anexo a este edital – Anexo I.</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22.1.2 </w:t>
      </w:r>
      <w:r>
        <w:rPr>
          <w:rFonts w:cs="Arial" w:ascii="Arial" w:hAnsi="Arial"/>
          <w:color w:val="000000"/>
          <w:sz w:val="22"/>
          <w:szCs w:val="22"/>
          <w:shd w:fill="auto" w:val="clear"/>
        </w:rPr>
        <w:t>As licitantes devem acompanhar a emissão dos empenhos pelo sistema da Prefeitura, por meio do Portal da Transparência.</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22.2 </w:t>
      </w:r>
      <w:r>
        <w:rPr>
          <w:rFonts w:cs="Arial" w:ascii="Arial" w:hAnsi="Arial"/>
          <w:color w:val="000000"/>
          <w:sz w:val="22"/>
          <w:szCs w:val="22"/>
          <w:shd w:fill="auto" w:val="clear"/>
        </w:rPr>
        <w:t>No caso de execução/prestação de serviço de peças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22.3 </w:t>
      </w:r>
      <w:r>
        <w:rPr>
          <w:rFonts w:cs="Arial" w:ascii="Arial" w:hAnsi="Arial"/>
          <w:color w:val="000000"/>
          <w:sz w:val="22"/>
          <w:szCs w:val="22"/>
          <w:shd w:fill="auto" w:val="clear"/>
        </w:rPr>
        <w:t xml:space="preserve">Os pagamentos serão realizados em até </w:t>
      </w:r>
      <w:r>
        <w:rPr>
          <w:rFonts w:cs="Arial" w:ascii="Arial" w:hAnsi="Arial"/>
          <w:b w:val="false"/>
          <w:bCs w:val="false"/>
          <w:color w:val="000000"/>
          <w:sz w:val="22"/>
          <w:szCs w:val="22"/>
          <w:u w:val="none"/>
          <w:shd w:fill="auto" w:val="clear"/>
        </w:rPr>
        <w:t>15 (quinze) dias</w:t>
      </w:r>
      <w:r>
        <w:rPr>
          <w:rFonts w:cs="Arial" w:ascii="Arial" w:hAnsi="Arial"/>
          <w:color w:val="000000"/>
          <w:sz w:val="22"/>
          <w:szCs w:val="22"/>
          <w:shd w:fill="auto" w:val="clear"/>
        </w:rPr>
        <w:t>,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22.3.1 </w:t>
      </w:r>
      <w:r>
        <w:rPr>
          <w:rFonts w:cs="Arial" w:ascii="Arial" w:hAnsi="Arial"/>
          <w:color w:val="000000"/>
          <w:sz w:val="22"/>
          <w:szCs w:val="22"/>
          <w:shd w:fill="auto" w:val="clear"/>
        </w:rPr>
        <w:t xml:space="preserve">A licitante vencedora deverá emitir a nota fiscal tão logo ocorra a prestação de serviço/ prestação dos serviços. Na nota fiscal deve ser especificado o ponto de entrega do </w:t>
      </w:r>
      <w:r>
        <w:rPr>
          <w:rFonts w:cs="Arial" w:ascii="Arial" w:hAnsi="Arial"/>
          <w:color w:val="000000"/>
          <w:sz w:val="22"/>
          <w:szCs w:val="22"/>
          <w:shd w:fill="auto" w:val="clear"/>
          <w:lang w:eastAsia="zh-CN"/>
        </w:rPr>
        <w:t>objeto</w:t>
      </w:r>
      <w:r>
        <w:rPr>
          <w:rFonts w:cs="Arial" w:ascii="Arial" w:hAnsi="Arial"/>
          <w:color w:val="000000"/>
          <w:sz w:val="22"/>
          <w:szCs w:val="22"/>
          <w:shd w:fill="auto" w:val="clear"/>
        </w:rPr>
        <w:t xml:space="preserve"> e CNPJ da licitante.</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22.3.2 </w:t>
      </w:r>
      <w:r>
        <w:rPr>
          <w:rFonts w:cs="Arial" w:ascii="Arial" w:hAnsi="Arial"/>
          <w:color w:val="000000"/>
          <w:sz w:val="22"/>
          <w:szCs w:val="22"/>
          <w:shd w:fill="auto" w:val="clear"/>
        </w:rPr>
        <w:t>Em caso de rejeição da nota fiscal e/ou fatura, motivada por erro ou incorreção, o prazo de até 30 (trinta) dias passará a ser contado a partir da data da reapresentação.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22.4 </w:t>
      </w:r>
      <w:r>
        <w:rPr>
          <w:rFonts w:cs="Arial" w:ascii="Arial" w:hAnsi="Arial"/>
          <w:color w:val="000000"/>
          <w:sz w:val="22"/>
          <w:szCs w:val="22"/>
          <w:shd w:fill="auto" w:val="clear"/>
        </w:rPr>
        <w:t>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22.5 </w:t>
      </w:r>
      <w:r>
        <w:rPr>
          <w:rFonts w:cs="Arial" w:ascii="Arial" w:hAnsi="Arial"/>
          <w:color w:val="000000"/>
          <w:sz w:val="22"/>
          <w:szCs w:val="22"/>
          <w:shd w:fill="auto" w:val="clear"/>
        </w:rPr>
        <w:t>Não serão aceitos boletos bancários, somente serão efetuados depósitos em conta-corrente em nome da empresa licitante vencedora.</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22.6 </w:t>
      </w:r>
      <w:r>
        <w:rPr>
          <w:rFonts w:cs="Arial" w:ascii="Arial" w:hAnsi="Arial"/>
          <w:color w:val="000000"/>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22.7 </w:t>
      </w:r>
      <w:r>
        <w:rPr>
          <w:rFonts w:cs="Arial" w:ascii="Arial" w:hAnsi="Arial"/>
          <w:color w:val="000000"/>
          <w:sz w:val="22"/>
          <w:szCs w:val="22"/>
          <w:shd w:fill="auto" w:val="clear"/>
        </w:rPr>
        <w:t xml:space="preserve">Ocorrendo atraso no pagamento, os valores serão corrigidos monetariamente pelo índice </w:t>
      </w:r>
      <w:r>
        <w:rPr>
          <w:rFonts w:eastAsia="Times New Roman" w:cs="Arial" w:ascii="Arial" w:hAnsi="Arial"/>
          <w:color w:val="000000"/>
          <w:sz w:val="22"/>
          <w:szCs w:val="22"/>
          <w:shd w:fill="auto" w:val="clear"/>
          <w:lang w:eastAsia="zh-CN"/>
        </w:rPr>
        <w:t>IPCA</w:t>
      </w:r>
      <w:r>
        <w:rPr>
          <w:rFonts w:cs="Arial" w:ascii="Arial" w:hAnsi="Arial"/>
          <w:color w:val="000000"/>
          <w:sz w:val="22"/>
          <w:szCs w:val="22"/>
          <w:shd w:fill="auto" w:val="clear"/>
        </w:rPr>
        <w:t xml:space="preserve">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22.8</w:t>
      </w:r>
      <w:r>
        <w:rPr>
          <w:rFonts w:cs="Arial" w:ascii="Arial" w:hAnsi="Arial"/>
          <w:color w:val="000000"/>
          <w:sz w:val="22"/>
          <w:szCs w:val="22"/>
          <w:shd w:fill="auto" w:val="clear"/>
        </w:rPr>
        <w:t xml:space="preserve"> </w:t>
      </w:r>
      <w:r>
        <w:rPr>
          <w:rFonts w:cs="Arial" w:ascii="Arial" w:hAnsi="Arial"/>
          <w:bCs/>
          <w:color w:val="000000"/>
          <w:sz w:val="22"/>
          <w:szCs w:val="22"/>
          <w:shd w:fill="auto" w:val="clear"/>
        </w:rPr>
        <w:t xml:space="preserve">A </w:t>
      </w:r>
      <w:r>
        <w:rPr>
          <w:rFonts w:cs="Arial" w:ascii="Arial" w:hAnsi="Arial"/>
          <w:color w:val="000000"/>
          <w:sz w:val="22"/>
          <w:szCs w:val="22"/>
          <w:shd w:fill="auto" w:val="clear"/>
        </w:rPr>
        <w:t>despesa correrá na seguinte dotação orçamentária:</w:t>
      </w:r>
    </w:p>
    <w:p>
      <w:pPr>
        <w:pStyle w:val="Normal"/>
        <w:bidi w:val="0"/>
        <w:spacing w:lineRule="auto" w:line="360"/>
        <w:jc w:val="left"/>
        <w:rPr>
          <w:rFonts w:ascii="Arial" w:hAnsi="Arial"/>
          <w:sz w:val="22"/>
          <w:szCs w:val="22"/>
        </w:rPr>
      </w:pPr>
      <w:r>
        <w:rPr>
          <w:rFonts w:ascii="Arial" w:hAnsi="Arial"/>
          <w:sz w:val="22"/>
          <w:szCs w:val="22"/>
        </w:rPr>
        <w:t>Código Reduzido: 463</w:t>
      </w:r>
    </w:p>
    <w:p>
      <w:pPr>
        <w:pStyle w:val="Normal"/>
        <w:bidi w:val="0"/>
        <w:spacing w:lineRule="auto" w:line="360"/>
        <w:jc w:val="left"/>
        <w:rPr>
          <w:rFonts w:ascii="Arial" w:hAnsi="Arial"/>
          <w:sz w:val="22"/>
          <w:szCs w:val="22"/>
        </w:rPr>
      </w:pPr>
      <w:r>
        <w:rPr>
          <w:rFonts w:ascii="Arial" w:hAnsi="Arial"/>
          <w:sz w:val="22"/>
          <w:szCs w:val="22"/>
        </w:rPr>
        <w:t>Órgão: 7 - Secretaria Municipal de Educação</w:t>
      </w:r>
    </w:p>
    <w:p>
      <w:pPr>
        <w:pStyle w:val="Normal"/>
        <w:bidi w:val="0"/>
        <w:spacing w:lineRule="auto" w:line="360"/>
        <w:jc w:val="left"/>
        <w:rPr>
          <w:rFonts w:ascii="Arial" w:hAnsi="Arial"/>
          <w:sz w:val="22"/>
          <w:szCs w:val="22"/>
        </w:rPr>
      </w:pPr>
      <w:r>
        <w:rPr>
          <w:rFonts w:ascii="Arial" w:hAnsi="Arial"/>
          <w:sz w:val="22"/>
          <w:szCs w:val="22"/>
        </w:rPr>
        <w:t>Unidade: 3 - Manutenção e Desenvolvimento do Ensino</w:t>
      </w:r>
    </w:p>
    <w:p>
      <w:pPr>
        <w:pStyle w:val="Normal"/>
        <w:bidi w:val="0"/>
        <w:spacing w:lineRule="auto" w:line="360"/>
        <w:jc w:val="left"/>
        <w:rPr>
          <w:rFonts w:ascii="Arial" w:hAnsi="Arial"/>
          <w:sz w:val="22"/>
          <w:szCs w:val="22"/>
        </w:rPr>
      </w:pPr>
      <w:r>
        <w:rPr>
          <w:rFonts w:ascii="Arial" w:hAnsi="Arial"/>
          <w:sz w:val="22"/>
          <w:szCs w:val="22"/>
        </w:rPr>
        <w:t>Ação: 1048 - Aquisição de Equipamentos para Escolas Municipais de Ensino Fundamental</w:t>
      </w:r>
    </w:p>
    <w:p>
      <w:pPr>
        <w:pStyle w:val="Normal"/>
        <w:bidi w:val="0"/>
        <w:spacing w:lineRule="auto" w:line="360"/>
        <w:jc w:val="left"/>
        <w:rPr>
          <w:rFonts w:ascii="Arial" w:hAnsi="Arial"/>
          <w:sz w:val="22"/>
          <w:szCs w:val="22"/>
        </w:rPr>
      </w:pPr>
      <w:r>
        <w:rPr>
          <w:rFonts w:ascii="Arial" w:hAnsi="Arial"/>
          <w:sz w:val="22"/>
          <w:szCs w:val="22"/>
        </w:rPr>
        <w:t>Vínculo: 15001001 - Recursos não Vinculados de Impostos - MDE</w:t>
      </w:r>
    </w:p>
    <w:p>
      <w:pPr>
        <w:pStyle w:val="Normal"/>
        <w:bidi w:val="0"/>
        <w:spacing w:lineRule="auto" w:line="360"/>
        <w:jc w:val="left"/>
        <w:rPr>
          <w:rFonts w:ascii="Arial" w:hAnsi="Arial"/>
          <w:sz w:val="22"/>
          <w:szCs w:val="22"/>
        </w:rPr>
      </w:pPr>
      <w:r>
        <w:rPr>
          <w:rFonts w:ascii="Arial" w:hAnsi="Arial"/>
          <w:sz w:val="22"/>
          <w:szCs w:val="22"/>
        </w:rPr>
        <w:t>Subelemento: 34490521000000000000 - Aparelhos e equipamentos para esportes e diversoes</w:t>
      </w:r>
    </w:p>
    <w:p>
      <w:pPr>
        <w:pStyle w:val="Normal"/>
        <w:bidi w:val="0"/>
        <w:spacing w:lineRule="auto" w:line="360"/>
        <w:jc w:val="left"/>
        <w:rPr>
          <w:rFonts w:ascii="Arial" w:hAnsi="Arial"/>
          <w:sz w:val="22"/>
          <w:szCs w:val="22"/>
        </w:rPr>
      </w:pPr>
      <w:r>
        <w:rPr>
          <w:rFonts w:ascii="Arial" w:hAnsi="Arial"/>
          <w:sz w:val="22"/>
          <w:szCs w:val="22"/>
        </w:rPr>
        <w:t>Código Reduzido: 473</w:t>
      </w:r>
    </w:p>
    <w:p>
      <w:pPr>
        <w:pStyle w:val="Normal"/>
        <w:bidi w:val="0"/>
        <w:spacing w:lineRule="auto" w:line="360"/>
        <w:jc w:val="left"/>
        <w:rPr>
          <w:rFonts w:ascii="Arial" w:hAnsi="Arial"/>
          <w:sz w:val="22"/>
          <w:szCs w:val="22"/>
        </w:rPr>
      </w:pPr>
      <w:r>
        <w:rPr>
          <w:rFonts w:ascii="Arial" w:hAnsi="Arial"/>
          <w:sz w:val="22"/>
          <w:szCs w:val="22"/>
        </w:rPr>
        <w:t>Órgão: 7 - Secretaria Municipal de Educação</w:t>
      </w:r>
    </w:p>
    <w:p>
      <w:pPr>
        <w:pStyle w:val="Normal"/>
        <w:bidi w:val="0"/>
        <w:spacing w:lineRule="auto" w:line="360"/>
        <w:jc w:val="left"/>
        <w:rPr>
          <w:rFonts w:ascii="Arial" w:hAnsi="Arial"/>
          <w:sz w:val="22"/>
          <w:szCs w:val="22"/>
        </w:rPr>
      </w:pPr>
      <w:r>
        <w:rPr>
          <w:rFonts w:ascii="Arial" w:hAnsi="Arial"/>
          <w:sz w:val="22"/>
          <w:szCs w:val="22"/>
        </w:rPr>
        <w:t>Unidade: 3 - Manutenção e Desenvolvimento do Ensino</w:t>
      </w:r>
    </w:p>
    <w:p>
      <w:pPr>
        <w:pStyle w:val="Normal"/>
        <w:bidi w:val="0"/>
        <w:spacing w:lineRule="auto" w:line="360"/>
        <w:jc w:val="left"/>
        <w:rPr>
          <w:rFonts w:ascii="Arial" w:hAnsi="Arial"/>
          <w:sz w:val="22"/>
          <w:szCs w:val="22"/>
        </w:rPr>
      </w:pPr>
      <w:r>
        <w:rPr>
          <w:rFonts w:ascii="Arial" w:hAnsi="Arial"/>
          <w:sz w:val="22"/>
          <w:szCs w:val="22"/>
        </w:rPr>
        <w:t>Ação: 2052 - Manutenção das Escolas Municipais de Ensino Fundamental</w:t>
      </w:r>
    </w:p>
    <w:p>
      <w:pPr>
        <w:pStyle w:val="Normal"/>
        <w:bidi w:val="0"/>
        <w:spacing w:lineRule="auto" w:line="360"/>
        <w:jc w:val="left"/>
        <w:rPr>
          <w:rFonts w:ascii="Arial" w:hAnsi="Arial"/>
          <w:sz w:val="22"/>
          <w:szCs w:val="22"/>
        </w:rPr>
      </w:pPr>
      <w:r>
        <w:rPr>
          <w:rFonts w:ascii="Arial" w:hAnsi="Arial"/>
          <w:sz w:val="22"/>
          <w:szCs w:val="22"/>
        </w:rPr>
        <w:t>Vínculo: 15001001 - Recursos não Vinculados de Impostos - MDE</w:t>
      </w:r>
    </w:p>
    <w:p>
      <w:pPr>
        <w:pStyle w:val="Normal"/>
        <w:bidi w:val="0"/>
        <w:spacing w:lineRule="auto" w:line="360"/>
        <w:jc w:val="left"/>
        <w:rPr>
          <w:rFonts w:ascii="Arial" w:hAnsi="Arial"/>
          <w:sz w:val="22"/>
          <w:szCs w:val="22"/>
        </w:rPr>
      </w:pPr>
      <w:r>
        <w:rPr>
          <w:rFonts w:ascii="Arial" w:hAnsi="Arial"/>
          <w:sz w:val="22"/>
          <w:szCs w:val="22"/>
        </w:rPr>
        <w:t>Subelemento: 33390301400000000000 - Material educativo e esportivo</w:t>
      </w:r>
    </w:p>
    <w:p>
      <w:pPr>
        <w:pStyle w:val="Normal"/>
        <w:bidi w:val="0"/>
        <w:spacing w:lineRule="auto" w:line="360"/>
        <w:jc w:val="left"/>
        <w:rPr>
          <w:rFonts w:ascii="Arial" w:hAnsi="Arial"/>
          <w:sz w:val="22"/>
          <w:szCs w:val="22"/>
        </w:rPr>
      </w:pPr>
      <w:r>
        <w:rPr>
          <w:rFonts w:ascii="Arial" w:hAnsi="Arial"/>
          <w:sz w:val="22"/>
          <w:szCs w:val="22"/>
        </w:rPr>
        <w:t>Código Reduzido: 473</w:t>
      </w:r>
    </w:p>
    <w:p>
      <w:pPr>
        <w:pStyle w:val="Normal"/>
        <w:bidi w:val="0"/>
        <w:spacing w:lineRule="auto" w:line="360"/>
        <w:jc w:val="left"/>
        <w:rPr>
          <w:rFonts w:ascii="Arial" w:hAnsi="Arial"/>
          <w:sz w:val="22"/>
          <w:szCs w:val="22"/>
        </w:rPr>
      </w:pPr>
      <w:r>
        <w:rPr>
          <w:rFonts w:ascii="Arial" w:hAnsi="Arial"/>
          <w:sz w:val="22"/>
          <w:szCs w:val="22"/>
        </w:rPr>
        <w:t>Órgão: 7 - Secretaria Municipal de Educação</w:t>
      </w:r>
    </w:p>
    <w:p>
      <w:pPr>
        <w:pStyle w:val="Normal"/>
        <w:bidi w:val="0"/>
        <w:spacing w:lineRule="auto" w:line="360"/>
        <w:jc w:val="left"/>
        <w:rPr>
          <w:rFonts w:ascii="Arial" w:hAnsi="Arial"/>
          <w:sz w:val="22"/>
          <w:szCs w:val="22"/>
        </w:rPr>
      </w:pPr>
      <w:r>
        <w:rPr>
          <w:rFonts w:ascii="Arial" w:hAnsi="Arial"/>
          <w:sz w:val="22"/>
          <w:szCs w:val="22"/>
        </w:rPr>
        <w:t>Unidade: 3 - Manutenção e Desenvolvimento do Ensino</w:t>
      </w:r>
    </w:p>
    <w:p>
      <w:pPr>
        <w:pStyle w:val="Normal"/>
        <w:bidi w:val="0"/>
        <w:spacing w:lineRule="auto" w:line="360"/>
        <w:jc w:val="left"/>
        <w:rPr>
          <w:rFonts w:ascii="Arial" w:hAnsi="Arial"/>
          <w:sz w:val="22"/>
          <w:szCs w:val="22"/>
        </w:rPr>
      </w:pPr>
      <w:r>
        <w:rPr>
          <w:rFonts w:ascii="Arial" w:hAnsi="Arial"/>
          <w:sz w:val="22"/>
          <w:szCs w:val="22"/>
        </w:rPr>
        <w:t>Ação: 2052 - Manutenção das Escolas Municipais de Ensino Fundamental</w:t>
      </w:r>
    </w:p>
    <w:p>
      <w:pPr>
        <w:pStyle w:val="Normal"/>
        <w:bidi w:val="0"/>
        <w:spacing w:lineRule="auto" w:line="360"/>
        <w:jc w:val="left"/>
        <w:rPr>
          <w:rFonts w:ascii="Arial" w:hAnsi="Arial"/>
          <w:sz w:val="22"/>
          <w:szCs w:val="22"/>
        </w:rPr>
      </w:pPr>
      <w:r>
        <w:rPr>
          <w:rFonts w:ascii="Arial" w:hAnsi="Arial"/>
          <w:sz w:val="22"/>
          <w:szCs w:val="22"/>
        </w:rPr>
        <w:t>Vínculo: 15001001 - Recursos não Vinculados de Impostos - MDE</w:t>
      </w:r>
    </w:p>
    <w:p>
      <w:pPr>
        <w:pStyle w:val="Normal"/>
        <w:bidi w:val="0"/>
        <w:spacing w:lineRule="auto" w:line="360"/>
        <w:jc w:val="left"/>
        <w:rPr>
          <w:rFonts w:ascii="Arial" w:hAnsi="Arial"/>
          <w:sz w:val="22"/>
          <w:szCs w:val="22"/>
        </w:rPr>
      </w:pPr>
      <w:r>
        <w:rPr>
          <w:rFonts w:ascii="Arial" w:hAnsi="Arial"/>
          <w:sz w:val="22"/>
          <w:szCs w:val="22"/>
        </w:rPr>
        <w:t>Subelemento: 33390302300000000000 - Material de uniformes, tecidos e aviamentos</w:t>
      </w:r>
    </w:p>
    <w:p>
      <w:pPr>
        <w:pStyle w:val="Normal"/>
        <w:bidi w:val="0"/>
        <w:spacing w:lineRule="auto" w:line="360"/>
        <w:jc w:val="left"/>
        <w:rPr>
          <w:rFonts w:ascii="Arial" w:hAnsi="Arial"/>
          <w:sz w:val="22"/>
          <w:szCs w:val="22"/>
        </w:rPr>
      </w:pPr>
      <w:r>
        <w:rPr>
          <w:rFonts w:ascii="Arial" w:hAnsi="Arial"/>
          <w:sz w:val="22"/>
          <w:szCs w:val="22"/>
        </w:rPr>
        <w:t>Código Reduzido: 484</w:t>
      </w:r>
    </w:p>
    <w:p>
      <w:pPr>
        <w:pStyle w:val="Normal"/>
        <w:bidi w:val="0"/>
        <w:spacing w:lineRule="auto" w:line="360"/>
        <w:jc w:val="left"/>
        <w:rPr>
          <w:rFonts w:ascii="Arial" w:hAnsi="Arial"/>
          <w:sz w:val="22"/>
          <w:szCs w:val="22"/>
        </w:rPr>
      </w:pPr>
      <w:r>
        <w:rPr>
          <w:rFonts w:ascii="Arial" w:hAnsi="Arial"/>
          <w:sz w:val="22"/>
          <w:szCs w:val="22"/>
        </w:rPr>
        <w:t>Órgão: 7 - Secretaria Municipal de Educação</w:t>
      </w:r>
    </w:p>
    <w:p>
      <w:pPr>
        <w:pStyle w:val="Normal"/>
        <w:bidi w:val="0"/>
        <w:spacing w:lineRule="auto" w:line="360"/>
        <w:jc w:val="left"/>
        <w:rPr>
          <w:rFonts w:ascii="Arial" w:hAnsi="Arial"/>
          <w:sz w:val="22"/>
          <w:szCs w:val="22"/>
        </w:rPr>
      </w:pPr>
      <w:r>
        <w:rPr>
          <w:rFonts w:ascii="Arial" w:hAnsi="Arial"/>
          <w:sz w:val="22"/>
          <w:szCs w:val="22"/>
        </w:rPr>
        <w:t>Unidade: 3 - Manutenção e Desenvolvimento do Ensino</w:t>
      </w:r>
    </w:p>
    <w:p>
      <w:pPr>
        <w:pStyle w:val="Normal"/>
        <w:bidi w:val="0"/>
        <w:spacing w:lineRule="auto" w:line="360"/>
        <w:jc w:val="left"/>
        <w:rPr>
          <w:rFonts w:ascii="Arial" w:hAnsi="Arial"/>
          <w:sz w:val="22"/>
          <w:szCs w:val="22"/>
        </w:rPr>
      </w:pPr>
      <w:r>
        <w:rPr>
          <w:rFonts w:ascii="Arial" w:hAnsi="Arial"/>
          <w:sz w:val="22"/>
          <w:szCs w:val="22"/>
        </w:rPr>
        <w:t>Ação: 1044 - Aquisição de Equipamentos para Escolas de Educação Infantil</w:t>
      </w:r>
    </w:p>
    <w:p>
      <w:pPr>
        <w:pStyle w:val="Normal"/>
        <w:bidi w:val="0"/>
        <w:spacing w:lineRule="auto" w:line="360"/>
        <w:jc w:val="left"/>
        <w:rPr>
          <w:rFonts w:ascii="Arial" w:hAnsi="Arial"/>
          <w:sz w:val="22"/>
          <w:szCs w:val="22"/>
        </w:rPr>
      </w:pPr>
      <w:r>
        <w:rPr>
          <w:rFonts w:ascii="Arial" w:hAnsi="Arial"/>
          <w:sz w:val="22"/>
          <w:szCs w:val="22"/>
        </w:rPr>
        <w:t>Vínculo: 15001001 - Recursos não Vinculados de Impostos - MDE</w:t>
      </w:r>
    </w:p>
    <w:p>
      <w:pPr>
        <w:pStyle w:val="Normal"/>
        <w:bidi w:val="0"/>
        <w:spacing w:lineRule="auto" w:line="360"/>
        <w:jc w:val="left"/>
        <w:rPr>
          <w:rFonts w:ascii="Arial" w:hAnsi="Arial"/>
          <w:sz w:val="22"/>
          <w:szCs w:val="22"/>
        </w:rPr>
      </w:pPr>
      <w:r>
        <w:rPr>
          <w:rFonts w:ascii="Arial" w:hAnsi="Arial"/>
          <w:sz w:val="22"/>
          <w:szCs w:val="22"/>
        </w:rPr>
        <w:t>Subelemento: 34490521000000000000 - Aparelhos e equipamentos para esportes e diversoes</w:t>
      </w:r>
    </w:p>
    <w:p>
      <w:pPr>
        <w:pStyle w:val="Normal"/>
        <w:bidi w:val="0"/>
        <w:spacing w:lineRule="auto" w:line="360"/>
        <w:jc w:val="left"/>
        <w:rPr>
          <w:rFonts w:ascii="Arial" w:hAnsi="Arial"/>
          <w:sz w:val="22"/>
          <w:szCs w:val="22"/>
        </w:rPr>
      </w:pPr>
      <w:r>
        <w:rPr>
          <w:rFonts w:ascii="Arial" w:hAnsi="Arial"/>
          <w:sz w:val="22"/>
          <w:szCs w:val="22"/>
        </w:rPr>
        <w:t>Código Reduzido: 493</w:t>
      </w:r>
    </w:p>
    <w:p>
      <w:pPr>
        <w:pStyle w:val="Normal"/>
        <w:bidi w:val="0"/>
        <w:spacing w:lineRule="auto" w:line="360"/>
        <w:jc w:val="left"/>
        <w:rPr>
          <w:rFonts w:ascii="Arial" w:hAnsi="Arial"/>
          <w:sz w:val="22"/>
          <w:szCs w:val="22"/>
        </w:rPr>
      </w:pPr>
      <w:r>
        <w:rPr>
          <w:rFonts w:ascii="Arial" w:hAnsi="Arial"/>
          <w:sz w:val="22"/>
          <w:szCs w:val="22"/>
        </w:rPr>
        <w:t>Órgão: 7 - Secretaria Municipal de Educação</w:t>
      </w:r>
    </w:p>
    <w:p>
      <w:pPr>
        <w:pStyle w:val="Normal"/>
        <w:bidi w:val="0"/>
        <w:spacing w:lineRule="auto" w:line="360"/>
        <w:jc w:val="left"/>
        <w:rPr>
          <w:rFonts w:ascii="Arial" w:hAnsi="Arial"/>
          <w:sz w:val="22"/>
          <w:szCs w:val="22"/>
        </w:rPr>
      </w:pPr>
      <w:r>
        <w:rPr>
          <w:rFonts w:ascii="Arial" w:hAnsi="Arial"/>
          <w:sz w:val="22"/>
          <w:szCs w:val="22"/>
        </w:rPr>
        <w:t>Unidade: 3 - Manutenção e Desenvolvimento do Ensino</w:t>
      </w:r>
    </w:p>
    <w:p>
      <w:pPr>
        <w:pStyle w:val="Normal"/>
        <w:bidi w:val="0"/>
        <w:spacing w:lineRule="auto" w:line="360"/>
        <w:jc w:val="left"/>
        <w:rPr>
          <w:rFonts w:ascii="Arial" w:hAnsi="Arial"/>
          <w:sz w:val="22"/>
          <w:szCs w:val="22"/>
        </w:rPr>
      </w:pPr>
      <w:r>
        <w:rPr>
          <w:rFonts w:ascii="Arial" w:hAnsi="Arial"/>
          <w:sz w:val="22"/>
          <w:szCs w:val="22"/>
        </w:rPr>
        <w:t>Ação: 2051 - Manutenção das Escolas Municipais de Educação Infantil</w:t>
      </w:r>
    </w:p>
    <w:p>
      <w:pPr>
        <w:pStyle w:val="Normal"/>
        <w:bidi w:val="0"/>
        <w:spacing w:lineRule="auto" w:line="360"/>
        <w:jc w:val="left"/>
        <w:rPr>
          <w:rFonts w:ascii="Arial" w:hAnsi="Arial"/>
          <w:sz w:val="22"/>
          <w:szCs w:val="22"/>
        </w:rPr>
      </w:pPr>
      <w:r>
        <w:rPr>
          <w:rFonts w:ascii="Arial" w:hAnsi="Arial"/>
          <w:sz w:val="22"/>
          <w:szCs w:val="22"/>
        </w:rPr>
        <w:t>Vínculo: 15001001 - Recursos não Vinculados de Impostos - MDE</w:t>
      </w:r>
    </w:p>
    <w:p>
      <w:pPr>
        <w:pStyle w:val="Normal"/>
        <w:bidi w:val="0"/>
        <w:spacing w:lineRule="auto" w:line="360"/>
        <w:jc w:val="left"/>
        <w:rPr>
          <w:rFonts w:ascii="Arial" w:hAnsi="Arial"/>
          <w:sz w:val="22"/>
          <w:szCs w:val="22"/>
        </w:rPr>
      </w:pPr>
      <w:r>
        <w:rPr>
          <w:rFonts w:ascii="Arial" w:hAnsi="Arial"/>
          <w:sz w:val="22"/>
          <w:szCs w:val="22"/>
        </w:rPr>
        <w:t>Subelemento: 33390301400000000000 - Material educativo e esportivo</w:t>
      </w:r>
    </w:p>
    <w:p>
      <w:pPr>
        <w:pStyle w:val="Normal"/>
        <w:bidi w:val="0"/>
        <w:spacing w:lineRule="auto" w:line="360"/>
        <w:jc w:val="left"/>
        <w:rPr>
          <w:rFonts w:ascii="Arial" w:hAnsi="Arial"/>
          <w:sz w:val="22"/>
          <w:szCs w:val="22"/>
        </w:rPr>
      </w:pPr>
      <w:r>
        <w:rPr>
          <w:rFonts w:ascii="Arial" w:hAnsi="Arial"/>
          <w:sz w:val="22"/>
          <w:szCs w:val="22"/>
        </w:rPr>
        <w:t>Código Reduzido: 493</w:t>
      </w:r>
    </w:p>
    <w:p>
      <w:pPr>
        <w:pStyle w:val="Normal"/>
        <w:bidi w:val="0"/>
        <w:spacing w:lineRule="auto" w:line="360"/>
        <w:jc w:val="left"/>
        <w:rPr>
          <w:rFonts w:ascii="Arial" w:hAnsi="Arial"/>
          <w:sz w:val="22"/>
          <w:szCs w:val="22"/>
        </w:rPr>
      </w:pPr>
      <w:r>
        <w:rPr>
          <w:rFonts w:ascii="Arial" w:hAnsi="Arial"/>
          <w:sz w:val="22"/>
          <w:szCs w:val="22"/>
        </w:rPr>
        <w:t>Órgão: 7 - Secretaria Municipal de Educação</w:t>
      </w:r>
    </w:p>
    <w:p>
      <w:pPr>
        <w:pStyle w:val="Normal"/>
        <w:bidi w:val="0"/>
        <w:spacing w:lineRule="auto" w:line="360"/>
        <w:jc w:val="left"/>
        <w:rPr>
          <w:rFonts w:ascii="Arial" w:hAnsi="Arial"/>
          <w:sz w:val="22"/>
          <w:szCs w:val="22"/>
        </w:rPr>
      </w:pPr>
      <w:r>
        <w:rPr>
          <w:rFonts w:ascii="Arial" w:hAnsi="Arial"/>
          <w:sz w:val="22"/>
          <w:szCs w:val="22"/>
        </w:rPr>
        <w:t>Unidade: 3 - Manutenção e Desenvolvimento do Ensino</w:t>
      </w:r>
    </w:p>
    <w:p>
      <w:pPr>
        <w:pStyle w:val="Normal"/>
        <w:bidi w:val="0"/>
        <w:spacing w:lineRule="auto" w:line="360"/>
        <w:jc w:val="left"/>
        <w:rPr>
          <w:rFonts w:ascii="Arial" w:hAnsi="Arial"/>
          <w:sz w:val="22"/>
          <w:szCs w:val="22"/>
        </w:rPr>
      </w:pPr>
      <w:r>
        <w:rPr>
          <w:rFonts w:ascii="Arial" w:hAnsi="Arial"/>
          <w:sz w:val="22"/>
          <w:szCs w:val="22"/>
        </w:rPr>
        <w:t>Ação: 2051 - Manutenção das Escolas Municipais de Educação Infantil</w:t>
      </w:r>
    </w:p>
    <w:p>
      <w:pPr>
        <w:pStyle w:val="Normal"/>
        <w:bidi w:val="0"/>
        <w:spacing w:lineRule="auto" w:line="360"/>
        <w:jc w:val="left"/>
        <w:rPr>
          <w:rFonts w:ascii="Arial" w:hAnsi="Arial"/>
          <w:sz w:val="22"/>
          <w:szCs w:val="22"/>
        </w:rPr>
      </w:pPr>
      <w:r>
        <w:rPr>
          <w:rFonts w:ascii="Arial" w:hAnsi="Arial"/>
          <w:sz w:val="22"/>
          <w:szCs w:val="22"/>
        </w:rPr>
        <w:t>Vínculo: 15001001 - Recursos não Vinculados de Impostos - MDE</w:t>
      </w:r>
    </w:p>
    <w:p>
      <w:pPr>
        <w:pStyle w:val="Normal"/>
        <w:bidi w:val="0"/>
        <w:spacing w:lineRule="auto" w:line="360"/>
        <w:jc w:val="left"/>
        <w:rPr>
          <w:rFonts w:ascii="Arial" w:hAnsi="Arial"/>
          <w:sz w:val="22"/>
          <w:szCs w:val="22"/>
        </w:rPr>
      </w:pPr>
      <w:r>
        <w:rPr>
          <w:rFonts w:ascii="Arial" w:hAnsi="Arial"/>
          <w:sz w:val="22"/>
          <w:szCs w:val="22"/>
        </w:rPr>
        <w:t>Subelemento: 33390302300000000000 - Material de uniformes, tecidos e aviamentos</w:t>
      </w:r>
    </w:p>
    <w:p>
      <w:pPr>
        <w:pStyle w:val="Normal"/>
        <w:bidi w:val="0"/>
        <w:spacing w:lineRule="auto" w:line="360"/>
        <w:jc w:val="left"/>
        <w:rPr>
          <w:rFonts w:ascii="Arial" w:hAnsi="Arial"/>
          <w:sz w:val="22"/>
          <w:szCs w:val="22"/>
        </w:rPr>
      </w:pPr>
      <w:r>
        <w:rPr>
          <w:rFonts w:ascii="Arial" w:hAnsi="Arial"/>
          <w:sz w:val="22"/>
          <w:szCs w:val="22"/>
        </w:rPr>
        <w:t>Código Reduzido: 959</w:t>
      </w:r>
    </w:p>
    <w:p>
      <w:pPr>
        <w:pStyle w:val="Normal"/>
        <w:bidi w:val="0"/>
        <w:spacing w:lineRule="auto" w:line="360"/>
        <w:jc w:val="left"/>
        <w:rPr>
          <w:rFonts w:ascii="Arial" w:hAnsi="Arial"/>
          <w:sz w:val="22"/>
          <w:szCs w:val="22"/>
        </w:rPr>
      </w:pPr>
      <w:r>
        <w:rPr>
          <w:rFonts w:ascii="Arial" w:hAnsi="Arial"/>
          <w:sz w:val="22"/>
          <w:szCs w:val="22"/>
        </w:rPr>
        <w:t>Órgão: 12 - Secret. Municipal de Esporte e Lazer</w:t>
      </w:r>
    </w:p>
    <w:p>
      <w:pPr>
        <w:pStyle w:val="Normal"/>
        <w:bidi w:val="0"/>
        <w:spacing w:lineRule="auto" w:line="360"/>
        <w:jc w:val="left"/>
        <w:rPr>
          <w:rFonts w:ascii="Arial" w:hAnsi="Arial"/>
          <w:sz w:val="22"/>
          <w:szCs w:val="22"/>
        </w:rPr>
      </w:pPr>
      <w:r>
        <w:rPr>
          <w:rFonts w:ascii="Arial" w:hAnsi="Arial"/>
          <w:sz w:val="22"/>
          <w:szCs w:val="22"/>
        </w:rPr>
        <w:t>Unidade: 1 - Gabinete do Secret. e Orgaos Subordinado</w:t>
      </w:r>
    </w:p>
    <w:p>
      <w:pPr>
        <w:pStyle w:val="Normal"/>
        <w:bidi w:val="0"/>
        <w:spacing w:lineRule="auto" w:line="360"/>
        <w:jc w:val="left"/>
        <w:rPr>
          <w:rFonts w:ascii="Arial" w:hAnsi="Arial"/>
          <w:sz w:val="22"/>
          <w:szCs w:val="22"/>
        </w:rPr>
      </w:pPr>
      <w:r>
        <w:rPr>
          <w:rFonts w:ascii="Arial" w:hAnsi="Arial"/>
          <w:sz w:val="22"/>
          <w:szCs w:val="22"/>
        </w:rPr>
        <w:t>Ação: 1091 - Aquisição de Equipamentos para Secretaria de Desportos e Lazer</w:t>
      </w:r>
    </w:p>
    <w:p>
      <w:pPr>
        <w:pStyle w:val="Normal"/>
        <w:bidi w:val="0"/>
        <w:spacing w:lineRule="auto" w:line="360"/>
        <w:jc w:val="left"/>
        <w:rPr>
          <w:rFonts w:ascii="Arial" w:hAnsi="Arial"/>
          <w:sz w:val="22"/>
          <w:szCs w:val="22"/>
        </w:rPr>
      </w:pPr>
      <w:r>
        <w:rPr>
          <w:rFonts w:ascii="Arial" w:hAnsi="Arial"/>
          <w:sz w:val="22"/>
          <w:szCs w:val="22"/>
        </w:rPr>
        <w:t>Vínculo: 15001000 - Recursos não Vinculados de Impostos - LIVRES</w:t>
      </w:r>
    </w:p>
    <w:p>
      <w:pPr>
        <w:pStyle w:val="Normal"/>
        <w:bidi w:val="0"/>
        <w:spacing w:lineRule="auto" w:line="360"/>
        <w:jc w:val="left"/>
        <w:rPr>
          <w:rFonts w:ascii="Arial" w:hAnsi="Arial"/>
          <w:sz w:val="22"/>
          <w:szCs w:val="22"/>
        </w:rPr>
      </w:pPr>
      <w:r>
        <w:rPr>
          <w:rFonts w:ascii="Arial" w:hAnsi="Arial"/>
          <w:sz w:val="22"/>
          <w:szCs w:val="22"/>
        </w:rPr>
        <w:t>Subelemento: 34490521000000000000 - Aparelhos e equipamentos para esportes e diversoes</w:t>
      </w:r>
    </w:p>
    <w:p>
      <w:pPr>
        <w:pStyle w:val="Normal"/>
        <w:bidi w:val="0"/>
        <w:spacing w:lineRule="auto" w:line="360"/>
        <w:jc w:val="left"/>
        <w:rPr>
          <w:rFonts w:ascii="Arial" w:hAnsi="Arial"/>
          <w:sz w:val="22"/>
          <w:szCs w:val="22"/>
        </w:rPr>
      </w:pPr>
      <w:r>
        <w:rPr>
          <w:rFonts w:ascii="Arial" w:hAnsi="Arial"/>
          <w:sz w:val="22"/>
          <w:szCs w:val="22"/>
        </w:rPr>
        <w:t>Código Reduzido: 971</w:t>
      </w:r>
    </w:p>
    <w:p>
      <w:pPr>
        <w:pStyle w:val="Normal"/>
        <w:bidi w:val="0"/>
        <w:spacing w:lineRule="auto" w:line="360"/>
        <w:jc w:val="left"/>
        <w:rPr>
          <w:rFonts w:ascii="Arial" w:hAnsi="Arial"/>
          <w:sz w:val="22"/>
          <w:szCs w:val="22"/>
        </w:rPr>
      </w:pPr>
      <w:r>
        <w:rPr>
          <w:rFonts w:ascii="Arial" w:hAnsi="Arial"/>
          <w:sz w:val="22"/>
          <w:szCs w:val="22"/>
        </w:rPr>
        <w:t>Órgão: 12 - Secret. Municipal de Esporte e Lazer</w:t>
      </w:r>
    </w:p>
    <w:p>
      <w:pPr>
        <w:pStyle w:val="Normal"/>
        <w:bidi w:val="0"/>
        <w:spacing w:lineRule="auto" w:line="360"/>
        <w:jc w:val="left"/>
        <w:rPr>
          <w:rFonts w:ascii="Arial" w:hAnsi="Arial"/>
          <w:sz w:val="22"/>
          <w:szCs w:val="22"/>
        </w:rPr>
      </w:pPr>
      <w:r>
        <w:rPr>
          <w:rFonts w:ascii="Arial" w:hAnsi="Arial"/>
          <w:sz w:val="22"/>
          <w:szCs w:val="22"/>
        </w:rPr>
        <w:t>Unidade: 1 - Gabinete do Secret. e Orgaos Subordinado</w:t>
      </w:r>
    </w:p>
    <w:p>
      <w:pPr>
        <w:pStyle w:val="Normal"/>
        <w:bidi w:val="0"/>
        <w:spacing w:lineRule="auto" w:line="360"/>
        <w:jc w:val="left"/>
        <w:rPr>
          <w:rFonts w:ascii="Arial" w:hAnsi="Arial"/>
          <w:sz w:val="22"/>
          <w:szCs w:val="22"/>
        </w:rPr>
      </w:pPr>
      <w:r>
        <w:rPr>
          <w:rFonts w:ascii="Arial" w:hAnsi="Arial"/>
          <w:sz w:val="22"/>
          <w:szCs w:val="22"/>
        </w:rPr>
        <w:t>Ação: 1124 - Aquisição de Equipamentos para Ginásios de Esportes</w:t>
      </w:r>
    </w:p>
    <w:p>
      <w:pPr>
        <w:pStyle w:val="Normal"/>
        <w:bidi w:val="0"/>
        <w:spacing w:lineRule="auto" w:line="360"/>
        <w:jc w:val="left"/>
        <w:rPr>
          <w:rFonts w:ascii="Arial" w:hAnsi="Arial"/>
          <w:sz w:val="22"/>
          <w:szCs w:val="22"/>
        </w:rPr>
      </w:pPr>
      <w:r>
        <w:rPr>
          <w:rFonts w:ascii="Arial" w:hAnsi="Arial"/>
          <w:sz w:val="22"/>
          <w:szCs w:val="22"/>
        </w:rPr>
        <w:t>Vínculo: 15001000 - Recursos não Vinculados de Impostos - LIVRES</w:t>
      </w:r>
    </w:p>
    <w:p>
      <w:pPr>
        <w:pStyle w:val="Normal"/>
        <w:bidi w:val="0"/>
        <w:spacing w:lineRule="auto" w:line="360"/>
        <w:jc w:val="left"/>
        <w:rPr>
          <w:rFonts w:ascii="Arial" w:hAnsi="Arial"/>
          <w:sz w:val="22"/>
          <w:szCs w:val="22"/>
        </w:rPr>
      </w:pPr>
      <w:r>
        <w:rPr>
          <w:rFonts w:ascii="Arial" w:hAnsi="Arial"/>
          <w:sz w:val="22"/>
          <w:szCs w:val="22"/>
        </w:rPr>
        <w:t>Subelemento: 34490521000000000000 - Aparelhos e equipamentos para esportes e diversoes</w:t>
      </w:r>
    </w:p>
    <w:p>
      <w:pPr>
        <w:pStyle w:val="Normal"/>
        <w:bidi w:val="0"/>
        <w:spacing w:lineRule="auto" w:line="360"/>
        <w:jc w:val="left"/>
        <w:rPr>
          <w:rFonts w:ascii="Arial" w:hAnsi="Arial"/>
          <w:sz w:val="22"/>
          <w:szCs w:val="22"/>
        </w:rPr>
      </w:pPr>
      <w:r>
        <w:rPr>
          <w:rFonts w:ascii="Arial" w:hAnsi="Arial"/>
          <w:sz w:val="22"/>
          <w:szCs w:val="22"/>
        </w:rPr>
        <w:t>Código Reduzido: 972</w:t>
      </w:r>
    </w:p>
    <w:p>
      <w:pPr>
        <w:pStyle w:val="Normal"/>
        <w:bidi w:val="0"/>
        <w:spacing w:lineRule="auto" w:line="360"/>
        <w:jc w:val="left"/>
        <w:rPr>
          <w:rFonts w:ascii="Arial" w:hAnsi="Arial"/>
          <w:sz w:val="22"/>
          <w:szCs w:val="22"/>
        </w:rPr>
      </w:pPr>
      <w:r>
        <w:rPr>
          <w:rFonts w:ascii="Arial" w:hAnsi="Arial"/>
          <w:sz w:val="22"/>
          <w:szCs w:val="22"/>
        </w:rPr>
        <w:t>Órgão: 12 - Secret. Municipal de Esporte e Lazer</w:t>
      </w:r>
    </w:p>
    <w:p>
      <w:pPr>
        <w:pStyle w:val="Normal"/>
        <w:bidi w:val="0"/>
        <w:spacing w:lineRule="auto" w:line="360"/>
        <w:jc w:val="left"/>
        <w:rPr>
          <w:rFonts w:ascii="Arial" w:hAnsi="Arial"/>
          <w:sz w:val="22"/>
          <w:szCs w:val="22"/>
        </w:rPr>
      </w:pPr>
      <w:r>
        <w:rPr>
          <w:rFonts w:ascii="Arial" w:hAnsi="Arial"/>
          <w:sz w:val="22"/>
          <w:szCs w:val="22"/>
        </w:rPr>
        <w:t>Unidade: 1 - Gabinete do Secret. e Orgaos Subordinado</w:t>
      </w:r>
    </w:p>
    <w:p>
      <w:pPr>
        <w:pStyle w:val="Normal"/>
        <w:bidi w:val="0"/>
        <w:spacing w:lineRule="auto" w:line="360"/>
        <w:jc w:val="left"/>
        <w:rPr>
          <w:rFonts w:ascii="Arial" w:hAnsi="Arial"/>
          <w:sz w:val="22"/>
          <w:szCs w:val="22"/>
        </w:rPr>
      </w:pPr>
      <w:r>
        <w:rPr>
          <w:rFonts w:ascii="Arial" w:hAnsi="Arial"/>
          <w:sz w:val="22"/>
          <w:szCs w:val="22"/>
        </w:rPr>
        <w:t>Ação: 2128 - Manutenção e Organização de Atividades e Competições Esportivas</w:t>
      </w:r>
    </w:p>
    <w:p>
      <w:pPr>
        <w:pStyle w:val="Normal"/>
        <w:bidi w:val="0"/>
        <w:spacing w:lineRule="auto" w:line="360"/>
        <w:jc w:val="left"/>
        <w:rPr>
          <w:rFonts w:ascii="Arial" w:hAnsi="Arial"/>
          <w:sz w:val="22"/>
          <w:szCs w:val="22"/>
        </w:rPr>
      </w:pPr>
      <w:r>
        <w:rPr>
          <w:rFonts w:ascii="Arial" w:hAnsi="Arial"/>
          <w:sz w:val="22"/>
          <w:szCs w:val="22"/>
        </w:rPr>
        <w:t>Vínculo: 15001000 - Recursos não Vinculados de Impostos - LIVRES</w:t>
      </w:r>
    </w:p>
    <w:p>
      <w:pPr>
        <w:pStyle w:val="Normal"/>
        <w:bidi w:val="0"/>
        <w:spacing w:lineRule="auto" w:line="360"/>
        <w:jc w:val="left"/>
        <w:rPr>
          <w:rFonts w:ascii="Arial" w:hAnsi="Arial"/>
          <w:sz w:val="22"/>
          <w:szCs w:val="22"/>
        </w:rPr>
      </w:pPr>
      <w:r>
        <w:rPr>
          <w:rFonts w:ascii="Arial" w:hAnsi="Arial"/>
          <w:sz w:val="22"/>
          <w:szCs w:val="22"/>
        </w:rPr>
        <w:t>Subelemento: 33390301400000000000 - Material educativo e esportivo</w:t>
      </w:r>
    </w:p>
    <w:p>
      <w:pPr>
        <w:pStyle w:val="Normal"/>
        <w:bidi w:val="0"/>
        <w:spacing w:lineRule="auto" w:line="360"/>
        <w:jc w:val="left"/>
        <w:rPr>
          <w:rFonts w:ascii="Arial" w:hAnsi="Arial"/>
          <w:sz w:val="22"/>
          <w:szCs w:val="22"/>
        </w:rPr>
      </w:pPr>
      <w:r>
        <w:rPr>
          <w:rFonts w:ascii="Arial" w:hAnsi="Arial"/>
          <w:sz w:val="22"/>
          <w:szCs w:val="22"/>
        </w:rPr>
        <w:t>Código Reduzido: 972</w:t>
      </w:r>
    </w:p>
    <w:p>
      <w:pPr>
        <w:pStyle w:val="Normal"/>
        <w:bidi w:val="0"/>
        <w:spacing w:lineRule="auto" w:line="360"/>
        <w:jc w:val="left"/>
        <w:rPr>
          <w:rFonts w:ascii="Arial" w:hAnsi="Arial"/>
          <w:sz w:val="22"/>
          <w:szCs w:val="22"/>
        </w:rPr>
      </w:pPr>
      <w:r>
        <w:rPr>
          <w:rFonts w:ascii="Arial" w:hAnsi="Arial"/>
          <w:sz w:val="22"/>
          <w:szCs w:val="22"/>
        </w:rPr>
        <w:t>Órgão: 12 - Secret. Municipal de Esporte e Lazer</w:t>
      </w:r>
    </w:p>
    <w:p>
      <w:pPr>
        <w:pStyle w:val="Normal"/>
        <w:bidi w:val="0"/>
        <w:spacing w:lineRule="auto" w:line="360"/>
        <w:jc w:val="left"/>
        <w:rPr>
          <w:rFonts w:ascii="Arial" w:hAnsi="Arial"/>
          <w:sz w:val="22"/>
          <w:szCs w:val="22"/>
        </w:rPr>
      </w:pPr>
      <w:r>
        <w:rPr>
          <w:rFonts w:ascii="Arial" w:hAnsi="Arial"/>
          <w:sz w:val="22"/>
          <w:szCs w:val="22"/>
        </w:rPr>
        <w:t>Unidade: 1 - Gabinete do Secret. e Orgaos Subordinado</w:t>
      </w:r>
    </w:p>
    <w:p>
      <w:pPr>
        <w:pStyle w:val="Normal"/>
        <w:bidi w:val="0"/>
        <w:spacing w:lineRule="auto" w:line="360"/>
        <w:jc w:val="left"/>
        <w:rPr>
          <w:rFonts w:ascii="Arial" w:hAnsi="Arial"/>
          <w:sz w:val="22"/>
          <w:szCs w:val="22"/>
        </w:rPr>
      </w:pPr>
      <w:r>
        <w:rPr>
          <w:rFonts w:ascii="Arial" w:hAnsi="Arial"/>
          <w:sz w:val="22"/>
          <w:szCs w:val="22"/>
        </w:rPr>
        <w:t>Ação: 2128 - Manutenção e Organização de Atividades e Competições Esportivas</w:t>
      </w:r>
    </w:p>
    <w:p>
      <w:pPr>
        <w:pStyle w:val="Normal"/>
        <w:bidi w:val="0"/>
        <w:spacing w:lineRule="auto" w:line="360"/>
        <w:jc w:val="left"/>
        <w:rPr>
          <w:rFonts w:ascii="Arial" w:hAnsi="Arial"/>
          <w:sz w:val="22"/>
          <w:szCs w:val="22"/>
        </w:rPr>
      </w:pPr>
      <w:r>
        <w:rPr>
          <w:rFonts w:ascii="Arial" w:hAnsi="Arial"/>
          <w:sz w:val="22"/>
          <w:szCs w:val="22"/>
        </w:rPr>
        <w:t>Vínculo: 15001000 - Recursos não Vinculados de Impostos - LIVRES</w:t>
      </w:r>
    </w:p>
    <w:p>
      <w:pPr>
        <w:pStyle w:val="Normal"/>
        <w:bidi w:val="0"/>
        <w:spacing w:lineRule="auto" w:line="360"/>
        <w:jc w:val="left"/>
        <w:rPr>
          <w:rFonts w:ascii="Arial" w:hAnsi="Arial"/>
          <w:sz w:val="22"/>
          <w:szCs w:val="22"/>
        </w:rPr>
      </w:pPr>
      <w:r>
        <w:rPr>
          <w:rFonts w:ascii="Arial" w:hAnsi="Arial"/>
          <w:sz w:val="22"/>
          <w:szCs w:val="22"/>
        </w:rPr>
        <w:t>Subelemento: 33390302300000000000 - Material de uniformes, tecidos e aviamentos</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rPr>
        <w:t xml:space="preserve">23. DAS </w:t>
      </w:r>
      <w:r>
        <w:rPr>
          <w:rFonts w:cs="Arial" w:ascii="Arial" w:hAnsi="Arial"/>
          <w:b/>
          <w:bCs/>
          <w:color w:val="000000"/>
          <w:sz w:val="22"/>
          <w:szCs w:val="22"/>
          <w:shd w:fill="auto" w:val="clear"/>
        </w:rPr>
        <w:t>SANÇÕES ADMINISTRATIVAS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w:t>
      </w:r>
      <w:r>
        <w:rPr>
          <w:rFonts w:eastAsia="Arial" w:cs="Arial" w:ascii="Arial" w:hAnsi="Arial"/>
          <w:color w:val="000000"/>
          <w:sz w:val="22"/>
          <w:szCs w:val="22"/>
          <w:shd w:fill="auto" w:val="clear"/>
        </w:rPr>
        <w:t xml:space="preserve"> Comete infração administrativa, nos termos da lei, o licitante que, com dolo ou culpa: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deixar de entregar a documentação exigida para o certame ou não entregar qualquer documento que tenha sido solicitado pelo/a pregoeiro/a durante o certame;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Salvo em decorrência de fato superveniente devidamente justificado, não mantiver a proposta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b.1) </w:t>
      </w:r>
      <w:r>
        <w:rPr>
          <w:rFonts w:eastAsia="Arial" w:cs="Arial" w:ascii="Arial" w:hAnsi="Arial"/>
          <w:color w:val="000000"/>
          <w:sz w:val="22"/>
          <w:szCs w:val="22"/>
          <w:shd w:fill="auto" w:val="clear"/>
        </w:rPr>
        <w:t xml:space="preserve">não enviar a proposta adequada ao último lance ofertado ou após a negociação;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b.2)</w:t>
      </w:r>
      <w:r>
        <w:rPr>
          <w:rFonts w:eastAsia="Arial" w:cs="Arial" w:ascii="Arial" w:hAnsi="Arial"/>
          <w:color w:val="000000"/>
          <w:sz w:val="22"/>
          <w:szCs w:val="22"/>
          <w:shd w:fill="auto" w:val="clear"/>
        </w:rPr>
        <w:t xml:space="preserve"> recusar-se a enviar o detalhamento da proposta quando exigível;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b.3) </w:t>
      </w:r>
      <w:r>
        <w:rPr>
          <w:rFonts w:eastAsia="Arial" w:cs="Arial" w:ascii="Arial" w:hAnsi="Arial"/>
          <w:color w:val="000000"/>
          <w:sz w:val="22"/>
          <w:szCs w:val="22"/>
          <w:shd w:fill="auto" w:val="clear"/>
        </w:rPr>
        <w:t xml:space="preserve">pedir para ser desclassificado quando encerrada a etapa competitiva; ou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b.4) </w:t>
      </w:r>
      <w:r>
        <w:rPr>
          <w:rFonts w:eastAsia="Arial" w:cs="Arial" w:ascii="Arial" w:hAnsi="Arial"/>
          <w:color w:val="000000"/>
          <w:sz w:val="22"/>
          <w:szCs w:val="22"/>
          <w:shd w:fill="auto" w:val="clear"/>
        </w:rPr>
        <w:t>deixar de apresentar amostra;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b.5)</w:t>
      </w:r>
      <w:r>
        <w:rPr>
          <w:rFonts w:eastAsia="Arial" w:cs="Arial" w:ascii="Arial" w:hAnsi="Arial"/>
          <w:color w:val="000000"/>
          <w:sz w:val="22"/>
          <w:szCs w:val="22"/>
          <w:shd w:fill="auto" w:val="clear"/>
        </w:rPr>
        <w:t xml:space="preserve"> apresentar proposta ou amostra em desacordo com as especificações do edital; </w:t>
      </w:r>
    </w:p>
    <w:p>
      <w:pPr>
        <w:pStyle w:val="Normal"/>
        <w:spacing w:lineRule="auto" w:line="360"/>
        <w:jc w:val="both"/>
        <w:rPr>
          <w:rFonts w:ascii="Arial" w:hAnsi="Arial"/>
          <w:sz w:val="22"/>
          <w:szCs w:val="22"/>
        </w:rPr>
      </w:pPr>
      <w:bookmarkStart w:id="4" w:name="_19c6y18_Copia_1"/>
      <w:bookmarkEnd w:id="4"/>
      <w:r>
        <w:rPr>
          <w:rFonts w:eastAsia="Arial" w:cs="Arial" w:ascii="Arial" w:hAnsi="Arial"/>
          <w:b/>
          <w:bCs/>
          <w:color w:val="000000"/>
          <w:sz w:val="22"/>
          <w:szCs w:val="22"/>
          <w:shd w:fill="auto" w:val="clear"/>
        </w:rPr>
        <w:t xml:space="preserve">c) </w:t>
      </w:r>
      <w:r>
        <w:rPr>
          <w:rFonts w:eastAsia="Arial" w:cs="Arial" w:ascii="Arial" w:hAnsi="Arial"/>
          <w:color w:val="000000"/>
          <w:sz w:val="22"/>
          <w:szCs w:val="22"/>
          <w:shd w:fill="auto" w:val="clear"/>
        </w:rPr>
        <w:t>não celebrar o contrato/ata de registro de preço ou não entregar a documentação exigida para a contratação, quando convocado dentro do prazo de validade de sua proposta;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c.1)</w:t>
      </w:r>
      <w:r>
        <w:rPr>
          <w:rFonts w:eastAsia="Arial" w:cs="Arial" w:ascii="Arial" w:hAnsi="Arial"/>
          <w:color w:val="000000"/>
          <w:sz w:val="22"/>
          <w:szCs w:val="22"/>
          <w:shd w:fill="auto" w:val="clear"/>
        </w:rPr>
        <w:t xml:space="preserve"> recusar-se, sem justificativa, a assinar o contrato ou a ata de registro de preço, ou a aceitar ou retirar o instrumento equivalente no prazo estabelecido pela Administração;</w:t>
      </w:r>
    </w:p>
    <w:p>
      <w:pPr>
        <w:pStyle w:val="Normal"/>
        <w:spacing w:lineRule="auto" w:line="360"/>
        <w:jc w:val="both"/>
        <w:rPr>
          <w:rFonts w:ascii="Arial" w:hAnsi="Arial"/>
          <w:sz w:val="22"/>
          <w:szCs w:val="22"/>
        </w:rPr>
      </w:pPr>
      <w:bookmarkStart w:id="5" w:name="_3tbugp1_Copia_1"/>
      <w:bookmarkEnd w:id="5"/>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apresentar declaração ou documentação falsa exigida para o certame ou prestar declaração falsa durante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fraudar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comportar-se de modo inidôneo ou cometer fraude de qualquer natureza,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f.1)</w:t>
      </w:r>
      <w:r>
        <w:rPr>
          <w:rFonts w:eastAsia="Arial" w:cs="Arial" w:ascii="Arial" w:hAnsi="Arial"/>
          <w:color w:val="000000"/>
          <w:sz w:val="22"/>
          <w:szCs w:val="22"/>
          <w:shd w:fill="auto" w:val="clear"/>
        </w:rPr>
        <w:t xml:space="preserve"> agir em conluio ou em desconformidade com a lei;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f.2)</w:t>
      </w:r>
      <w:r>
        <w:rPr>
          <w:rFonts w:eastAsia="Arial" w:cs="Arial" w:ascii="Arial" w:hAnsi="Arial"/>
          <w:color w:val="000000"/>
          <w:sz w:val="22"/>
          <w:szCs w:val="22"/>
          <w:shd w:fill="auto" w:val="clear"/>
        </w:rPr>
        <w:t xml:space="preserve"> induzir deliberadamente a erro no julgamento;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f.3) </w:t>
      </w:r>
      <w:r>
        <w:rPr>
          <w:rFonts w:eastAsia="Arial" w:cs="Arial" w:ascii="Arial" w:hAnsi="Arial"/>
          <w:color w:val="000000"/>
          <w:sz w:val="22"/>
          <w:szCs w:val="22"/>
          <w:shd w:fill="auto" w:val="clear"/>
        </w:rPr>
        <w:t>aprese</w:t>
      </w:r>
      <w:r>
        <w:rPr>
          <w:rFonts w:eastAsia="Arial" w:cs="Arial" w:ascii="Arial" w:hAnsi="Arial"/>
          <w:color w:val="000000"/>
          <w:sz w:val="22"/>
          <w:szCs w:val="22"/>
          <w:u w:val="none"/>
          <w:shd w:fill="auto" w:val="clear"/>
        </w:rPr>
        <w:t xml:space="preserve">ntar amostra falsificada ou deteriorada; </w:t>
      </w:r>
    </w:p>
    <w:p>
      <w:pPr>
        <w:pStyle w:val="Normal"/>
        <w:spacing w:lineRule="auto" w:line="360"/>
        <w:jc w:val="both"/>
        <w:rPr>
          <w:rFonts w:ascii="Arial" w:hAnsi="Arial"/>
          <w:sz w:val="22"/>
          <w:szCs w:val="22"/>
        </w:rPr>
      </w:pPr>
      <w:r>
        <w:rPr>
          <w:rFonts w:eastAsia="Arial" w:cs="Arial" w:ascii="Arial" w:hAnsi="Arial"/>
          <w:b/>
          <w:bCs/>
          <w:color w:val="000000"/>
          <w:sz w:val="22"/>
          <w:szCs w:val="22"/>
          <w:u w:val="none"/>
          <w:shd w:fill="auto" w:val="clear"/>
        </w:rPr>
        <w:t>g)</w:t>
      </w:r>
      <w:r>
        <w:rPr>
          <w:rFonts w:eastAsia="Arial" w:cs="Arial" w:ascii="Arial" w:hAnsi="Arial"/>
          <w:color w:val="000000"/>
          <w:sz w:val="22"/>
          <w:szCs w:val="22"/>
          <w:u w:val="none"/>
          <w:shd w:fill="auto" w:val="clear"/>
        </w:rPr>
        <w:t xml:space="preserve"> praticar atos ilícitos com vistas a frustrar os objetivos da licitação</w:t>
      </w:r>
    </w:p>
    <w:p>
      <w:pPr>
        <w:pStyle w:val="Normal"/>
        <w:spacing w:lineRule="auto" w:line="360"/>
        <w:jc w:val="both"/>
        <w:rPr/>
      </w:pPr>
      <w:r>
        <w:rPr>
          <w:rFonts w:eastAsia="Arial" w:cs="Arial" w:ascii="Arial" w:hAnsi="Arial"/>
          <w:b/>
          <w:bCs/>
          <w:color w:val="000000"/>
          <w:sz w:val="22"/>
          <w:szCs w:val="22"/>
          <w:u w:val="none"/>
          <w:shd w:fill="auto" w:val="clear"/>
        </w:rPr>
        <w:t>h)</w:t>
      </w:r>
      <w:r>
        <w:rPr>
          <w:rFonts w:eastAsia="Arial" w:cs="Arial" w:ascii="Arial" w:hAnsi="Arial"/>
          <w:color w:val="000000"/>
          <w:sz w:val="22"/>
          <w:szCs w:val="22"/>
          <w:u w:val="none"/>
          <w:shd w:fill="auto" w:val="clear"/>
        </w:rPr>
        <w:t xml:space="preserve"> praticar ato lesivo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5º da Lei n.º 12.846, de 2013</w:t>
      </w:r>
      <w:r>
        <w:rPr>
          <w:rFonts w:eastAsia="Arial" w:cs="Arial" w:ascii="Arial" w:hAnsi="Arial"/>
          <w:color w:val="000000"/>
          <w:sz w:val="22"/>
          <w:szCs w:val="22"/>
          <w:u w:val="none"/>
          <w:shd w:fill="auto" w:val="clear"/>
        </w:rPr>
        <w:t>.</w:t>
      </w:r>
    </w:p>
    <w:p>
      <w:pPr>
        <w:pStyle w:val="Normal"/>
        <w:spacing w:lineRule="auto" w:line="360"/>
        <w:jc w:val="both"/>
        <w:rPr/>
      </w:pPr>
      <w:r>
        <w:rPr>
          <w:rFonts w:eastAsia="Arial" w:cs="Arial" w:ascii="Arial" w:hAnsi="Arial"/>
          <w:b/>
          <w:bCs/>
          <w:color w:val="000000"/>
          <w:sz w:val="22"/>
          <w:szCs w:val="22"/>
          <w:u w:val="none"/>
          <w:shd w:fill="auto" w:val="clear"/>
        </w:rPr>
        <w:t>23.2</w:t>
      </w:r>
      <w:r>
        <w:rPr>
          <w:rFonts w:eastAsia="Arial" w:cs="Arial" w:ascii="Arial" w:hAnsi="Arial"/>
          <w:color w:val="000000"/>
          <w:sz w:val="22"/>
          <w:szCs w:val="22"/>
          <w:u w:val="none"/>
          <w:shd w:fill="auto" w:val="clear"/>
        </w:rPr>
        <w:t xml:space="preserve"> Com fulcro na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Lei nº 14.133, de 2021</w:t>
      </w:r>
      <w:r>
        <w:rPr>
          <w:rFonts w:eastAsia="Arial" w:cs="Arial" w:ascii="Arial" w:hAnsi="Arial"/>
          <w:color w:val="000000"/>
          <w:sz w:val="22"/>
          <w:szCs w:val="22"/>
          <w:u w:val="none"/>
          <w:shd w:fill="auto" w:val="clear"/>
        </w:rPr>
        <w:t>, a Admin</w:t>
      </w:r>
      <w:r>
        <w:rPr>
          <w:rFonts w:eastAsia="Arial" w:cs="Arial" w:ascii="Arial" w:hAnsi="Arial"/>
          <w:color w:val="000000"/>
          <w:sz w:val="22"/>
          <w:szCs w:val="22"/>
          <w:shd w:fill="auto" w:val="clear"/>
        </w:rPr>
        <w:t xml:space="preserve">istração poderá, garantida a prévia defesa, aplicar aos licitantes e/ou adjudicatários as seguintes sanções, sem prejuízo das responsabilidades civil e criminal: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advertência;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multa;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impedimento de licitar e contratar 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23.3 </w:t>
      </w:r>
      <w:r>
        <w:rPr>
          <w:rFonts w:eastAsia="Arial" w:cs="Arial" w:ascii="Arial" w:hAnsi="Arial"/>
          <w:color w:val="000000"/>
          <w:sz w:val="22"/>
          <w:szCs w:val="22"/>
          <w:shd w:fill="auto" w:val="clear"/>
        </w:rPr>
        <w:t>Na aplicação das sanções serão considerados: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 natureza e a gravidade da infração cometida.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as peculiaridades do caso concreto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as circunstâncias agravantes ou atenuantes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os danos que dela provierem para a Administração Pública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a implantação ou o aperfeiçoamento de programa de integridade, conforme normas e orientações dos órgãos de controle.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23.4</w:t>
      </w:r>
      <w:r>
        <w:rPr>
          <w:rFonts w:eastAsia="Arial" w:cs="Arial" w:ascii="Arial" w:hAnsi="Arial"/>
          <w:color w:val="000000"/>
          <w:sz w:val="22"/>
          <w:szCs w:val="22"/>
          <w:shd w:fill="auto" w:val="clear"/>
        </w:rPr>
        <w:t xml:space="preserve"> A multa será recolhida em percentual de 0,5% a 30% incidente sobre o valor do contrato licitado, recolhida no prazo máximo de 30 (trinta) dias, a contar da comunicação oficial. </w:t>
      </w:r>
    </w:p>
    <w:p>
      <w:pPr>
        <w:pStyle w:val="Normal"/>
        <w:spacing w:lineRule="auto" w:line="360"/>
        <w:jc w:val="both"/>
        <w:rPr>
          <w:rFonts w:ascii="Arial" w:hAnsi="Arial"/>
          <w:sz w:val="22"/>
          <w:szCs w:val="22"/>
        </w:rPr>
      </w:pPr>
      <w:bookmarkStart w:id="6" w:name="_46r0co2_Copia_1"/>
      <w:bookmarkEnd w:id="6"/>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0,5% a 15%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15% a 30%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23.5 </w:t>
      </w:r>
      <w:r>
        <w:rPr>
          <w:rFonts w:eastAsia="Arial" w:cs="Arial" w:ascii="Arial" w:hAnsi="Arial"/>
          <w:color w:val="000000"/>
          <w:sz w:val="22"/>
          <w:szCs w:val="22"/>
          <w:shd w:fill="auto" w:val="clear"/>
        </w:rPr>
        <w:t>As sanções de advertência, impedimento de licitar e contratar e declaração de inidoneidade para licitar ou contratar poderão ser aplicadas, cumulativamente ou não, à penalidade de multa.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23.6</w:t>
      </w:r>
      <w:r>
        <w:rPr>
          <w:rFonts w:eastAsia="Arial" w:cs="Arial" w:ascii="Arial" w:hAnsi="Arial"/>
          <w:color w:val="000000"/>
          <w:sz w:val="22"/>
          <w:szCs w:val="22"/>
          <w:shd w:fill="auto" w:val="clear"/>
        </w:rPr>
        <w:t xml:space="preserve"> Na aplicação da sanção de multa será facultada a defesa do interessado no prazo de 15 (quinze) dias úteis, contado da data de sua intimação.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23.7</w:t>
      </w:r>
      <w:r>
        <w:rPr>
          <w:rFonts w:eastAsia="Arial" w:cs="Arial" w:ascii="Arial" w:hAnsi="Arial"/>
          <w:color w:val="000000"/>
          <w:sz w:val="22"/>
          <w:szCs w:val="22"/>
          <w:shd w:fill="auto" w:val="clear"/>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360"/>
        <w:jc w:val="both"/>
        <w:rPr/>
      </w:pPr>
      <w:r>
        <w:rPr>
          <w:rFonts w:eastAsia="Arial" w:cs="Arial" w:ascii="Arial" w:hAnsi="Arial"/>
          <w:b/>
          <w:bCs/>
          <w:color w:val="000000"/>
          <w:sz w:val="22"/>
          <w:szCs w:val="22"/>
          <w:shd w:fill="auto" w:val="clear"/>
        </w:rPr>
        <w:t>23.8</w:t>
      </w:r>
      <w:r>
        <w:rPr>
          <w:rFonts w:eastAsia="Arial" w:cs="Arial" w:ascii="Arial" w:hAnsi="Arial"/>
          <w:color w:val="000000"/>
          <w:sz w:val="22"/>
          <w:szCs w:val="22"/>
          <w:shd w:fill="auto" w:val="clear"/>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bem como pelas infrações administrativas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que justifiquem a imposição de penalidade mais grave que a sanção de impedimento de licitar e contratar, cuja duração observ</w:t>
      </w:r>
      <w:r>
        <w:rPr>
          <w:rFonts w:eastAsia="Arial" w:cs="Arial" w:ascii="Arial" w:hAnsi="Arial"/>
          <w:color w:val="000000"/>
          <w:sz w:val="22"/>
          <w:szCs w:val="22"/>
          <w:u w:val="none"/>
          <w:shd w:fill="auto" w:val="clear"/>
        </w:rPr>
        <w:t xml:space="preserve">ará o prazo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156, §5º, da Lei n.º 14.133/2021</w:t>
      </w:r>
      <w:r>
        <w:rPr>
          <w:rFonts w:eastAsia="Arial" w:cs="Arial" w:ascii="Arial" w:hAnsi="Arial"/>
          <w:color w:val="000000"/>
          <w:sz w:val="22"/>
          <w:szCs w:val="22"/>
          <w:u w:val="none"/>
          <w:shd w:fill="auto" w:val="clear"/>
        </w:rPr>
        <w:t>.</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23.9</w:t>
      </w:r>
      <w:r>
        <w:rPr>
          <w:rFonts w:eastAsia="Arial" w:cs="Arial" w:ascii="Arial" w:hAnsi="Arial"/>
          <w:color w:val="000000"/>
          <w:sz w:val="22"/>
          <w:szCs w:val="22"/>
          <w:shd w:fill="auto" w:val="clear"/>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23.10</w:t>
      </w:r>
      <w:r>
        <w:rPr>
          <w:rFonts w:eastAsia="Arial" w:cs="Arial" w:ascii="Arial" w:hAnsi="Arial"/>
          <w:color w:val="000000"/>
          <w:sz w:val="22"/>
          <w:szCs w:val="22"/>
          <w:shd w:fill="auto" w:val="clear"/>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23.11</w:t>
      </w:r>
      <w:r>
        <w:rPr>
          <w:rFonts w:eastAsia="Arial" w:cs="Arial" w:ascii="Arial" w:hAnsi="Arial"/>
          <w:color w:val="000000"/>
          <w:sz w:val="22"/>
          <w:szCs w:val="22"/>
          <w:shd w:fill="auto" w:val="clea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23.12</w:t>
      </w:r>
      <w:r>
        <w:rPr>
          <w:rFonts w:eastAsia="Arial" w:cs="Arial" w:ascii="Arial" w:hAnsi="Arial"/>
          <w:color w:val="000000"/>
          <w:sz w:val="22"/>
          <w:szCs w:val="22"/>
          <w:shd w:fill="auto" w:val="clea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23.13</w:t>
      </w:r>
      <w:r>
        <w:rPr>
          <w:rFonts w:eastAsia="Arial" w:cs="Arial" w:ascii="Arial" w:hAnsi="Arial"/>
          <w:color w:val="000000"/>
          <w:sz w:val="22"/>
          <w:szCs w:val="22"/>
          <w:shd w:fill="auto" w:val="clear"/>
        </w:rPr>
        <w:t xml:space="preserve"> O recurso e o pedido de reconsideração terão efeito suspensivo do ato ou da decisão recorrida até que sobrevenha decisão final da autoridade competente.</w:t>
      </w:r>
    </w:p>
    <w:p>
      <w:pPr>
        <w:pStyle w:val="Normal"/>
        <w:tabs>
          <w:tab w:val="clear" w:pos="408"/>
          <w:tab w:val="left" w:pos="1134" w:leader="none"/>
        </w:tabs>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23.14 </w:t>
      </w:r>
      <w:r>
        <w:rPr>
          <w:rFonts w:eastAsia="Arial" w:cs="Arial" w:ascii="Arial" w:hAnsi="Arial"/>
          <w:b w:val="false"/>
          <w:bCs w:val="false"/>
          <w:color w:val="000000"/>
          <w:sz w:val="22"/>
          <w:szCs w:val="22"/>
          <w:shd w:fill="auto" w:val="clear"/>
        </w:rPr>
        <w:t>A aplicação das sanções previstas neste edital não exclui, em hipótese alguma, a obrigação de reparação integral dos danos causados.</w:t>
      </w:r>
    </w:p>
    <w:p>
      <w:pPr>
        <w:pStyle w:val="Normal"/>
        <w:tabs>
          <w:tab w:val="clear" w:pos="408"/>
          <w:tab w:val="left" w:pos="1134" w:leader="none"/>
        </w:tabs>
        <w:spacing w:lineRule="auto" w:line="360"/>
        <w:jc w:val="both"/>
        <w:rPr>
          <w:rFonts w:ascii="Arial" w:hAnsi="Arial" w:eastAsia="Arial" w:cs="Arial"/>
          <w:b w:val="false"/>
          <w:bCs w:val="false"/>
          <w:sz w:val="22"/>
          <w:szCs w:val="22"/>
          <w:shd w:fill="auto" w:val="clear"/>
        </w:rPr>
      </w:pPr>
      <w:r>
        <w:rPr>
          <w:rFonts w:eastAsia="Arial" w:cs="Arial" w:ascii="Arial" w:hAnsi="Arial"/>
          <w:b w:val="false"/>
          <w:bCs w:val="false"/>
          <w:sz w:val="22"/>
          <w:szCs w:val="22"/>
          <w:shd w:fill="auto" w:val="clear"/>
        </w:rPr>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 DOS PEDIDOS DE ESCLARECIMENTOS E IMPUGNAÇÕES </w:t>
      </w:r>
    </w:p>
    <w:p>
      <w:pPr>
        <w:pStyle w:val="Normal"/>
        <w:spacing w:lineRule="auto" w:line="360"/>
        <w:jc w:val="both"/>
        <w:rPr/>
      </w:pPr>
      <w:r>
        <w:rPr>
          <w:rFonts w:cs="Arial" w:ascii="Arial" w:hAnsi="Arial"/>
          <w:b/>
          <w:color w:val="000000"/>
          <w:sz w:val="22"/>
          <w:szCs w:val="22"/>
          <w:shd w:fill="auto" w:val="clear"/>
        </w:rPr>
        <w:t xml:space="preserve">24.1 </w:t>
      </w:r>
      <w:r>
        <w:rPr>
          <w:rFonts w:cs="Arial" w:ascii="Arial" w:hAnsi="Arial"/>
          <w:color w:val="000000"/>
          <w:sz w:val="22"/>
          <w:szCs w:val="22"/>
          <w:shd w:fill="auto" w:val="clear"/>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Style w:val="LinkdaInternet"/>
            <w:rFonts w:cs="Arial" w:ascii="Arial" w:hAnsi="Arial"/>
            <w:color w:val="000000"/>
            <w:sz w:val="22"/>
            <w:szCs w:val="22"/>
            <w:shd w:fill="auto" w:val="clear"/>
          </w:rPr>
          <w:t>www.portaldecompraspublicas.com.br</w:t>
        </w:r>
      </w:hyperlink>
      <w:r>
        <w:rPr>
          <w:rFonts w:cs="Arial" w:ascii="Arial" w:hAnsi="Arial"/>
          <w:color w:val="000000"/>
          <w:sz w:val="22"/>
          <w:szCs w:val="22"/>
          <w:shd w:fill="auto" w:val="clear"/>
        </w:rPr>
        <w:t>.</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24.2 </w:t>
      </w:r>
      <w:r>
        <w:rPr>
          <w:rFonts w:cs="Arial" w:ascii="Arial" w:hAnsi="Arial"/>
          <w:color w:val="000000"/>
          <w:sz w:val="22"/>
          <w:szCs w:val="22"/>
          <w:shd w:fill="auto" w:val="clear"/>
        </w:rPr>
        <w:t>Os arquivos encaminhados deverão estar em PDF do tipo “pesquisável” e assinados pelo representante legal da empresa.</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24.3 </w:t>
      </w:r>
      <w:r>
        <w:rPr>
          <w:rFonts w:cs="Arial" w:ascii="Arial" w:hAnsi="Arial"/>
          <w:color w:val="000000"/>
          <w:sz w:val="22"/>
          <w:szCs w:val="22"/>
          <w:shd w:fill="auto" w:val="clear"/>
        </w:rPr>
        <w:t>As impugnações e pedidos de esclarecimentos não suspendem os prazos previstos no certame, salvo quando se amolda ao art. 55, parágrafo 1º, da Lei nº 14.133/2021.</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24.3.1 </w:t>
      </w:r>
      <w:r>
        <w:rPr>
          <w:rFonts w:cs="Arial" w:ascii="Arial" w:hAnsi="Arial"/>
          <w:color w:val="000000"/>
          <w:sz w:val="22"/>
          <w:szCs w:val="22"/>
          <w:shd w:fill="auto" w:val="clear"/>
        </w:rPr>
        <w:t>A concessão de efeito suspensivo à impugnação é medida excepcional e deverá ser motivada pelo Pregoeiro, nos autos do processo de licitação.</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24.4 </w:t>
      </w:r>
      <w:r>
        <w:rPr>
          <w:rFonts w:cs="Arial" w:ascii="Arial" w:hAnsi="Arial"/>
          <w:color w:val="000000"/>
          <w:sz w:val="22"/>
          <w:szCs w:val="22"/>
          <w:shd w:fill="auto" w:val="clear"/>
        </w:rPr>
        <w:t xml:space="preserve">As dúvidas a serem esclarecidas por telefone serão somente aquelas de caráter estritamente informal, no telefone (51) </w:t>
      </w:r>
      <w:r>
        <w:rPr>
          <w:rFonts w:eastAsia="Times New Roman" w:cs="Arial" w:ascii="Arial" w:hAnsi="Arial"/>
          <w:color w:val="000000"/>
          <w:sz w:val="22"/>
          <w:szCs w:val="22"/>
          <w:shd w:fill="auto" w:val="clear"/>
          <w:lang w:eastAsia="zh-CN"/>
        </w:rPr>
        <w:t>3718-2301.</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24.5 </w:t>
      </w:r>
      <w:r>
        <w:rPr>
          <w:rFonts w:cs="Arial" w:ascii="Arial" w:hAnsi="Arial"/>
          <w:color w:val="000000"/>
          <w:sz w:val="22"/>
          <w:szCs w:val="22"/>
          <w:shd w:fill="auto" w:val="clear"/>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24.6 </w:t>
      </w:r>
      <w:r>
        <w:rPr>
          <w:rFonts w:cs="Arial" w:ascii="Arial" w:hAnsi="Arial"/>
          <w:color w:val="000000"/>
          <w:sz w:val="22"/>
          <w:szCs w:val="22"/>
          <w:shd w:fill="auto" w:val="clear"/>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360"/>
        <w:jc w:val="both"/>
        <w:rPr>
          <w:rFonts w:ascii="Arial" w:hAnsi="Arial"/>
          <w:sz w:val="22"/>
          <w:szCs w:val="22"/>
        </w:rPr>
      </w:pPr>
      <w:r>
        <w:rPr>
          <w:rFonts w:cs="Arial" w:ascii="Arial" w:hAnsi="Arial"/>
          <w:b/>
          <w:color w:val="000000"/>
          <w:sz w:val="22"/>
          <w:szCs w:val="22"/>
          <w:shd w:fill="auto" w:val="clear"/>
        </w:rPr>
        <w:t>25. DAS DISPOSIÇÕES GERAIS</w:t>
      </w:r>
    </w:p>
    <w:p>
      <w:pPr>
        <w:pStyle w:val="Normal"/>
        <w:tabs>
          <w:tab w:val="clear" w:pos="408"/>
          <w:tab w:val="left" w:pos="1134" w:leader="none"/>
        </w:tabs>
        <w:spacing w:lineRule="auto" w:line="360"/>
        <w:jc w:val="both"/>
        <w:rPr>
          <w:rFonts w:ascii="Arial" w:hAnsi="Arial"/>
          <w:sz w:val="22"/>
          <w:szCs w:val="22"/>
        </w:rPr>
      </w:pPr>
      <w:r>
        <w:rPr>
          <w:rFonts w:cs="Arial" w:ascii="Arial" w:hAnsi="Arial"/>
          <w:b/>
          <w:color w:val="000000"/>
          <w:sz w:val="22"/>
          <w:szCs w:val="22"/>
          <w:shd w:fill="auto" w:val="clear"/>
        </w:rPr>
        <w:t xml:space="preserve">25.1. </w:t>
      </w:r>
      <w:r>
        <w:rPr>
          <w:rFonts w:cs="Arial" w:ascii="Arial" w:hAnsi="Arial"/>
          <w:color w:val="000000"/>
          <w:sz w:val="22"/>
          <w:szCs w:val="22"/>
          <w:shd w:fill="auto" w:val="clear"/>
        </w:rPr>
        <w:t>Após a apresentação da proposta, não caberá desistência, salvo por motivo justo decorrente de fato superveniente e aceito pelo pregoeiro.</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shd w:fill="auto" w:val="clear"/>
        </w:rPr>
        <w:t>25.2</w:t>
      </w:r>
      <w:r>
        <w:rPr>
          <w:rFonts w:cs="Arial" w:ascii="Arial" w:hAnsi="Arial"/>
          <w:color w:val="000000"/>
          <w:sz w:val="22"/>
          <w:szCs w:val="22"/>
          <w:shd w:fill="auto" w:val="clear"/>
        </w:rPr>
        <w:t xml:space="preserve"> A Administração tem a prerrogativa de fiscalizar o cumprimento satisfatório do objeto do presente edital, por meio de agente designado para tal função, conforme o disposto na Lei nº 14.133/2021.</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color w:val="000000"/>
          <w:sz w:val="22"/>
          <w:szCs w:val="22"/>
          <w:shd w:fill="auto" w:val="clear"/>
        </w:rPr>
        <w:t xml:space="preserve">25.3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facultada a realização de licitação específica para a aquisição pretendida, desde que devidamente motivada.</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25.4</w:t>
      </w:r>
      <w:r>
        <w:rPr>
          <w:rFonts w:cs="Arial" w:ascii="Arial" w:hAnsi="Arial"/>
          <w:color w:val="000000"/>
          <w:sz w:val="22"/>
          <w:szCs w:val="22"/>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360" w:before="0" w:after="0"/>
        <w:ind w:left="567" w:right="0" w:hanging="567"/>
        <w:jc w:val="both"/>
        <w:rPr>
          <w:rFonts w:ascii="Arial" w:hAnsi="Arial"/>
          <w:sz w:val="22"/>
          <w:szCs w:val="22"/>
        </w:rPr>
      </w:pPr>
      <w:r>
        <w:rPr>
          <w:rFonts w:cs="Arial" w:ascii="Arial" w:hAnsi="Arial"/>
          <w:b/>
          <w:bCs/>
          <w:color w:val="000000"/>
          <w:sz w:val="22"/>
          <w:szCs w:val="22"/>
          <w:shd w:fill="auto" w:val="clear"/>
        </w:rPr>
        <w:t>25.5</w:t>
      </w:r>
      <w:r>
        <w:rPr>
          <w:rFonts w:cs="Arial" w:ascii="Arial" w:hAnsi="Arial"/>
          <w:color w:val="000000"/>
          <w:sz w:val="22"/>
          <w:szCs w:val="22"/>
          <w:shd w:fill="auto" w:val="clear"/>
        </w:rPr>
        <w:t xml:space="preserve"> A homologação do resultado desta licitação não implicará direito à contratação.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25.6</w:t>
      </w:r>
      <w:r>
        <w:rPr>
          <w:rFonts w:cs="Arial" w:ascii="Arial" w:hAnsi="Arial"/>
          <w:color w:val="000000"/>
          <w:sz w:val="22"/>
          <w:szCs w:val="22"/>
          <w:shd w:fill="auto" w:val="clea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25.7</w:t>
      </w:r>
      <w:r>
        <w:rPr>
          <w:rFonts w:cs="Arial" w:ascii="Arial" w:hAnsi="Arial"/>
          <w:color w:val="000000"/>
          <w:sz w:val="22"/>
          <w:szCs w:val="22"/>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shd w:fill="auto" w:val="clear"/>
        </w:rPr>
        <w:t>25.8</w:t>
      </w:r>
      <w:r>
        <w:rPr>
          <w:rFonts w:cs="Arial" w:ascii="Arial" w:hAnsi="Arial"/>
          <w:color w:val="000000"/>
          <w:sz w:val="22"/>
          <w:szCs w:val="22"/>
          <w:shd w:fill="auto" w:val="clear"/>
        </w:rPr>
        <w:t xml:space="preserve"> Na contagem dos prazos estabelecidos neste Edital e seus Anexos, excluir-se-á o dia do início e incluir-se-á o do vencimento, e só se iniciam e vencem os prazos em dias de expediente na Administração.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25.9.</w:t>
      </w:r>
      <w:r>
        <w:rPr>
          <w:rFonts w:cs="Arial" w:ascii="Arial" w:hAnsi="Arial"/>
          <w:color w:val="000000"/>
          <w:sz w:val="22"/>
          <w:szCs w:val="22"/>
          <w:shd w:fill="auto" w:val="clear"/>
        </w:rPr>
        <w:t xml:space="preserve">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25.10.</w:t>
      </w:r>
      <w:r>
        <w:rPr>
          <w:rFonts w:cs="Arial" w:ascii="Arial" w:hAnsi="Arial"/>
          <w:color w:val="000000"/>
          <w:sz w:val="22"/>
          <w:szCs w:val="22"/>
          <w:shd w:fill="auto" w:val="clear"/>
        </w:rPr>
        <w:t xml:space="preserve"> Em caso de divergência entre disposições deste Edital e de seus anexos ou demais peças que compõem o processo, prevalecerá as deste Edital.</w:t>
      </w:r>
    </w:p>
    <w:p>
      <w:pPr>
        <w:pStyle w:val="Nivel2"/>
        <w:numPr>
          <w:ilvl w:val="0"/>
          <w:numId w:val="0"/>
        </w:numPr>
        <w:spacing w:lineRule="auto" w:line="360" w:before="0" w:after="0"/>
        <w:ind w:left="0" w:right="0" w:hanging="0"/>
        <w:jc w:val="both"/>
        <w:rPr>
          <w:rFonts w:ascii="Arial" w:hAnsi="Arial"/>
          <w:sz w:val="22"/>
          <w:szCs w:val="22"/>
        </w:rPr>
      </w:pPr>
      <w:r>
        <w:rPr>
          <w:rFonts w:eastAsia="Arial" w:cs="Arial" w:ascii="Arial" w:hAnsi="Arial"/>
          <w:b/>
          <w:bCs/>
          <w:sz w:val="22"/>
          <w:szCs w:val="22"/>
          <w:shd w:fill="auto" w:val="clear"/>
        </w:rPr>
        <w:t>25.11.</w:t>
      </w:r>
      <w:r>
        <w:rPr>
          <w:rFonts w:eastAsia="Arial" w:cs="Arial" w:ascii="Arial" w:hAnsi="Arial"/>
          <w:sz w:val="22"/>
          <w:szCs w:val="22"/>
          <w:shd w:fill="auto" w:val="clear"/>
        </w:rPr>
        <w:t xml:space="preserve"> </w:t>
      </w:r>
      <w:r>
        <w:rPr>
          <w:rFonts w:eastAsia="Arial" w:cs="Arial" w:ascii="Arial" w:hAnsi="Arial"/>
          <w:b w:val="false"/>
          <w:bCs w:val="false"/>
          <w:sz w:val="22"/>
          <w:szCs w:val="22"/>
          <w:shd w:fill="auto" w:val="clear"/>
        </w:rPr>
        <w:t>Fica eleito o Foro da Comarca de Vera Cruz – RS para dirimir quaisquer litígios oriundos da licitação e da ata de registro de preços e/ou contrato dela decorrente, com expressa renúncia a outro qualquer, por mais privilegiado que seja.</w:t>
      </w:r>
    </w:p>
    <w:p>
      <w:pPr>
        <w:pStyle w:val="Nivel2"/>
        <w:numPr>
          <w:ilvl w:val="0"/>
          <w:numId w:val="0"/>
        </w:numPr>
        <w:spacing w:lineRule="auto" w:line="360" w:before="0" w:after="0"/>
        <w:ind w:left="0" w:right="0" w:hanging="0"/>
        <w:jc w:val="both"/>
        <w:rPr>
          <w:rFonts w:ascii="Arial" w:hAnsi="Arial"/>
          <w:sz w:val="22"/>
          <w:szCs w:val="22"/>
        </w:rPr>
      </w:pPr>
      <w:r>
        <w:rPr>
          <w:rFonts w:ascii="Arial" w:hAnsi="Arial"/>
          <w:sz w:val="22"/>
          <w:szCs w:val="22"/>
        </w:rPr>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shd w:fill="auto" w:val="clear"/>
        </w:rPr>
        <w:t xml:space="preserve">Vera Cruz/RS, </w:t>
      </w:r>
      <w:r>
        <w:rPr>
          <w:rFonts w:cs="Arial" w:ascii="Arial" w:hAnsi="Arial"/>
          <w:color w:val="000000"/>
          <w:sz w:val="22"/>
          <w:szCs w:val="22"/>
          <w:shd w:fill="auto" w:val="clear"/>
        </w:rPr>
        <w:fldChar w:fldCharType="begin" w:fldLock="true"/>
      </w:r>
      <w:r>
        <w:rPr>
          <w:sz w:val="22"/>
          <w:shd w:fill="auto" w:val="clear"/>
          <w:szCs w:val="22"/>
          <w:rFonts w:cs="Arial" w:ascii="Arial" w:hAnsi="Arial"/>
          <w:color w:val="000000"/>
        </w:rPr>
        <w:instrText xml:space="preserve"> DATE \@"d' de 'MMMM' de 'yyyy"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15 de outubro de 2025</w:t>
      </w:r>
      <w:r>
        <w:rPr>
          <w:sz w:val="22"/>
          <w:shd w:fill="auto" w:val="clear"/>
          <w:szCs w:val="22"/>
          <w:rFonts w:cs="Arial" w:ascii="Arial" w:hAnsi="Arial"/>
          <w:color w:val="000000"/>
        </w:rPr>
        <w:fldChar w:fldCharType="end"/>
      </w:r>
      <w:r>
        <w:rPr>
          <w:rFonts w:cs="Arial" w:ascii="Arial" w:hAnsi="Arial"/>
          <w:color w:val="000000"/>
          <w:sz w:val="22"/>
          <w:szCs w:val="22"/>
          <w:shd w:fill="auto" w:val="clear"/>
        </w:rPr>
        <w:t>.</w:t>
      </w:r>
    </w:p>
    <w:p>
      <w:pPr>
        <w:pStyle w:val="Normal"/>
        <w:tabs>
          <w:tab w:val="clear" w:pos="408"/>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rPr>
        <w:t>GILSON ADRIANO BECKER</w:t>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rPr>
        <w:t>Prefeito Municipal</w:t>
      </w:r>
    </w:p>
    <w:p>
      <w:pPr>
        <w:pStyle w:val="Itemdoedital"/>
        <w:widowControl/>
        <w:numPr>
          <w:ilvl w:val="0"/>
          <w:numId w:val="0"/>
        </w:numPr>
        <w:suppressAutoHyphens w:val="true"/>
        <w:overflowPunct w:val="false"/>
        <w:spacing w:lineRule="auto" w:line="360"/>
        <w:ind w:left="0" w:right="0" w:hanging="0"/>
        <w:jc w:val="center"/>
        <w:rPr>
          <w:rFonts w:ascii="Arial" w:hAnsi="Arial"/>
          <w:sz w:val="22"/>
          <w:szCs w:val="22"/>
          <w:shd w:fill="auto" w:val="clear"/>
        </w:rPr>
      </w:pPr>
      <w:r>
        <w:rPr>
          <w:sz w:val="22"/>
          <w:szCs w:val="22"/>
          <w:shd w:fill="auto" w:val="clear"/>
        </w:rPr>
      </w:r>
      <w:r>
        <w:br w:type="page"/>
      </w:r>
    </w:p>
    <w:p>
      <w:pPr>
        <w:pStyle w:val="Itemdoedital"/>
        <w:numPr>
          <w:ilvl w:val="0"/>
          <w:numId w:val="12"/>
        </w:numPr>
        <w:spacing w:lineRule="auto" w:line="360" w:before="0" w:after="0"/>
        <w:ind w:left="0" w:right="0" w:hanging="0"/>
        <w:jc w:val="center"/>
        <w:rPr>
          <w:rFonts w:ascii="Arial" w:hAnsi="Arial"/>
          <w:sz w:val="22"/>
          <w:szCs w:val="22"/>
        </w:rPr>
      </w:pPr>
      <w:r>
        <w:rPr>
          <w:sz w:val="22"/>
          <w:szCs w:val="22"/>
          <w:shd w:fill="auto" w:val="clear"/>
        </w:rPr>
        <w:t>ANEXO I – TERMO DE REFERÊNCIA</w:t>
      </w:r>
    </w:p>
    <w:p>
      <w:pPr>
        <w:pStyle w:val="Normal"/>
        <w:numPr>
          <w:ilvl w:val="0"/>
          <w:numId w:val="12"/>
        </w:numPr>
        <w:spacing w:lineRule="auto" w:line="360"/>
        <w:jc w:val="center"/>
        <w:rPr>
          <w:rFonts w:ascii="Arial" w:hAnsi="Arial"/>
          <w:sz w:val="22"/>
          <w:szCs w:val="22"/>
        </w:rPr>
      </w:pPr>
      <w:r>
        <w:rPr>
          <w:rFonts w:cs="Arial" w:ascii="Arial" w:hAnsi="Arial"/>
          <w:b/>
          <w:bCs/>
          <w:color w:val="000000"/>
          <w:sz w:val="22"/>
          <w:szCs w:val="22"/>
          <w:shd w:fill="FFFFFE" w:val="clear"/>
        </w:rPr>
        <w:t xml:space="preserve">CNPJ </w:t>
      </w:r>
      <w:r>
        <w:rPr>
          <w:rFonts w:cs="Arial" w:ascii="Arial" w:hAnsi="Arial"/>
          <w:b/>
          <w:bCs/>
          <w:i w:val="false"/>
          <w:caps w:val="false"/>
          <w:smallCaps w:val="false"/>
          <w:color w:val="000000"/>
          <w:spacing w:val="0"/>
          <w:sz w:val="22"/>
          <w:szCs w:val="22"/>
        </w:rPr>
        <w:t>98.661.366/0001-06</w:t>
      </w:r>
      <w:r>
        <w:rPr>
          <w:rFonts w:cs="Arial" w:ascii="Arial" w:hAnsi="Arial"/>
          <w:b/>
          <w:bCs/>
          <w:color w:val="000000"/>
          <w:sz w:val="22"/>
          <w:szCs w:val="22"/>
        </w:rPr>
        <w:t xml:space="preserve"> </w:t>
      </w:r>
    </w:p>
    <w:p>
      <w:pPr>
        <w:pStyle w:val="Normal"/>
        <w:numPr>
          <w:ilvl w:val="0"/>
          <w:numId w:val="12"/>
        </w:numPr>
        <w:tabs>
          <w:tab w:val="clear" w:pos="408"/>
          <w:tab w:val="left" w:pos="1134" w:leader="none"/>
        </w:tabs>
        <w:spacing w:lineRule="auto" w:line="276"/>
        <w:jc w:val="center"/>
        <w:rPr>
          <w:rFonts w:ascii="Calibri" w:hAnsi="Calibri" w:cs="Calibri"/>
          <w:b/>
          <w:color w:val="000000"/>
          <w:sz w:val="22"/>
          <w:szCs w:val="22"/>
        </w:rPr>
      </w:pPr>
      <w:r>
        <w:rPr>
          <w:rFonts w:cs="Calibri" w:ascii="Calibri" w:hAnsi="Calibri"/>
          <w:b/>
          <w:color w:val="000000"/>
          <w:sz w:val="22"/>
          <w:szCs w:val="22"/>
        </w:rPr>
        <w:t>ANEXO I – TERMO DE REFERENCIA</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r>
    </w:p>
    <w:p>
      <w:pPr>
        <w:pStyle w:val="Default"/>
        <w:numPr>
          <w:ilvl w:val="0"/>
          <w:numId w:val="12"/>
        </w:numPr>
        <w:spacing w:lineRule="auto" w:line="276"/>
        <w:rPr>
          <w:rFonts w:ascii="Calibri" w:hAnsi="Calibri" w:cs="Calibri"/>
          <w:sz w:val="22"/>
          <w:szCs w:val="22"/>
        </w:rPr>
      </w:pPr>
      <w:r>
        <w:rPr>
          <w:rFonts w:cs="Calibri" w:ascii="Calibri" w:hAnsi="Calibri"/>
          <w:sz w:val="22"/>
          <w:szCs w:val="22"/>
        </w:rPr>
      </w:r>
    </w:p>
    <w:p>
      <w:pPr>
        <w:pStyle w:val="Default"/>
        <w:numPr>
          <w:ilvl w:val="0"/>
          <w:numId w:val="12"/>
        </w:numPr>
        <w:spacing w:lineRule="auto" w:line="276"/>
        <w:jc w:val="both"/>
        <w:rPr>
          <w:rFonts w:ascii="Calibri" w:hAnsi="Calibri" w:cs="Calibri"/>
          <w:b/>
          <w:sz w:val="22"/>
          <w:szCs w:val="22"/>
        </w:rPr>
      </w:pPr>
      <w:r>
        <w:rPr>
          <w:rFonts w:cs="Calibri" w:ascii="Calibri" w:hAnsi="Calibri"/>
          <w:b/>
          <w:sz w:val="22"/>
          <w:szCs w:val="22"/>
        </w:rPr>
        <w:tab/>
        <w:t xml:space="preserve">PROCESSO ADMINISTRATIVO Nº </w:t>
      </w:r>
    </w:p>
    <w:p>
      <w:pPr>
        <w:pStyle w:val="Default"/>
        <w:numPr>
          <w:ilvl w:val="0"/>
          <w:numId w:val="12"/>
        </w:numPr>
        <w:spacing w:lineRule="auto" w:line="276"/>
        <w:jc w:val="both"/>
        <w:rPr>
          <w:rFonts w:ascii="Calibri" w:hAnsi="Calibri" w:cs="Calibri"/>
          <w:sz w:val="22"/>
          <w:szCs w:val="22"/>
        </w:rPr>
      </w:pPr>
      <w:r>
        <w:rPr>
          <w:rFonts w:cs="Calibri" w:ascii="Calibri" w:hAnsi="Calibri"/>
          <w:sz w:val="22"/>
          <w:szCs w:val="22"/>
        </w:rPr>
        <w:tab/>
        <w:t>Município de Vera Cruz / RS</w:t>
      </w:r>
    </w:p>
    <w:p>
      <w:pPr>
        <w:pStyle w:val="Default"/>
        <w:numPr>
          <w:ilvl w:val="0"/>
          <w:numId w:val="12"/>
        </w:numPr>
        <w:spacing w:lineRule="auto" w:line="276"/>
        <w:jc w:val="both"/>
        <w:rPr>
          <w:rFonts w:ascii="Calibri" w:hAnsi="Calibri" w:cs="Calibri"/>
          <w:sz w:val="22"/>
          <w:szCs w:val="22"/>
        </w:rPr>
      </w:pPr>
      <w:r>
        <w:rPr>
          <w:rFonts w:cs="Calibri" w:ascii="Calibri" w:hAnsi="Calibri"/>
          <w:sz w:val="22"/>
          <w:szCs w:val="22"/>
        </w:rPr>
        <w:tab/>
        <w:t>Secretaria Municipal de Vera Cruz</w:t>
      </w:r>
    </w:p>
    <w:p>
      <w:pPr>
        <w:pStyle w:val="Default"/>
        <w:numPr>
          <w:ilvl w:val="0"/>
          <w:numId w:val="12"/>
        </w:numPr>
        <w:spacing w:lineRule="auto" w:line="276"/>
        <w:jc w:val="both"/>
        <w:rPr>
          <w:rFonts w:ascii="Calibri" w:hAnsi="Calibri" w:cs="Calibri"/>
          <w:sz w:val="22"/>
          <w:szCs w:val="22"/>
        </w:rPr>
      </w:pPr>
      <w:r>
        <w:rPr>
          <w:rFonts w:cs="Calibri" w:ascii="Calibri" w:hAnsi="Calibri"/>
          <w:sz w:val="22"/>
          <w:szCs w:val="22"/>
        </w:rPr>
      </w:r>
    </w:p>
    <w:p>
      <w:pPr>
        <w:pStyle w:val="Normal"/>
        <w:numPr>
          <w:ilvl w:val="0"/>
          <w:numId w:val="12"/>
        </w:numPr>
        <w:spacing w:lineRule="auto" w:line="276"/>
        <w:jc w:val="both"/>
        <w:rPr/>
      </w:pPr>
      <w:r>
        <w:rPr>
          <w:rFonts w:cs="Calibri" w:ascii="Calibri" w:hAnsi="Calibri"/>
          <w:sz w:val="22"/>
          <w:szCs w:val="22"/>
        </w:rPr>
        <w:tab/>
        <w:t xml:space="preserve">Necessidade da Administração: Este Termo de Referência tem como objetivo estabelecer as diretrizes e especificações necessárias para Registro de Preços para aquisição de forma parcelada de </w:t>
      </w:r>
      <w:r>
        <w:rPr>
          <w:rFonts w:cs="Calibri" w:ascii="Calibri" w:hAnsi="Calibri"/>
          <w:sz w:val="20"/>
          <w:szCs w:val="20"/>
        </w:rPr>
        <w:t>materiais educativos e esportivos</w:t>
      </w:r>
      <w:r>
        <w:rPr>
          <w:rFonts w:cs="Calibri" w:ascii="Calibri" w:hAnsi="Calibri"/>
          <w:sz w:val="22"/>
          <w:szCs w:val="22"/>
        </w:rPr>
        <w:t xml:space="preserve"> para suprir a necessidade, visando atender às demandas das EMEIS, EMEFS e Secretaria Municipal de Cultura Turismo Esporte e Lazer.</w:t>
      </w:r>
    </w:p>
    <w:p>
      <w:pPr>
        <w:pStyle w:val="Default"/>
        <w:numPr>
          <w:ilvl w:val="0"/>
          <w:numId w:val="12"/>
        </w:numPr>
        <w:spacing w:lineRule="auto" w:line="276"/>
        <w:jc w:val="both"/>
        <w:rPr>
          <w:rFonts w:ascii="Calibri" w:hAnsi="Calibri" w:cs="Calibri"/>
          <w:b/>
          <w:bCs/>
          <w:sz w:val="22"/>
          <w:szCs w:val="22"/>
        </w:rPr>
      </w:pPr>
      <w:r>
        <w:rPr>
          <w:rFonts w:cs="Calibri" w:ascii="Calibri" w:hAnsi="Calibri"/>
          <w:b/>
          <w:bCs/>
          <w:sz w:val="22"/>
          <w:szCs w:val="22"/>
        </w:rPr>
        <w:tab/>
      </w:r>
    </w:p>
    <w:p>
      <w:pPr>
        <w:pStyle w:val="Default"/>
        <w:numPr>
          <w:ilvl w:val="0"/>
          <w:numId w:val="12"/>
        </w:numPr>
        <w:spacing w:lineRule="auto" w:line="276"/>
        <w:jc w:val="both"/>
        <w:rPr>
          <w:rFonts w:ascii="Calibri" w:hAnsi="Calibri" w:cs="Calibri"/>
          <w:b/>
          <w:bCs/>
          <w:sz w:val="22"/>
          <w:szCs w:val="22"/>
        </w:rPr>
      </w:pPr>
      <w:r>
        <w:rPr>
          <w:rFonts w:cs="Calibri" w:ascii="Calibri" w:hAnsi="Calibri"/>
          <w:b/>
          <w:bCs/>
          <w:sz w:val="22"/>
          <w:szCs w:val="22"/>
        </w:rPr>
        <w:tab/>
        <w:t xml:space="preserve">1. DEFINIÇÃO DO OBJETO </w:t>
      </w:r>
    </w:p>
    <w:p>
      <w:pPr>
        <w:pStyle w:val="Normal"/>
        <w:numPr>
          <w:ilvl w:val="0"/>
          <w:numId w:val="12"/>
        </w:numPr>
        <w:tabs>
          <w:tab w:val="clear" w:pos="408"/>
          <w:tab w:val="left" w:pos="738" w:leader="none"/>
        </w:tabs>
        <w:spacing w:lineRule="auto" w:line="276"/>
        <w:jc w:val="both"/>
        <w:rPr>
          <w:rFonts w:ascii="Calibri" w:hAnsi="Calibri" w:cs="Calibri"/>
          <w:sz w:val="22"/>
          <w:szCs w:val="22"/>
        </w:rPr>
      </w:pPr>
      <w:r>
        <w:rPr>
          <w:rFonts w:cs="Calibri" w:ascii="Calibri" w:hAnsi="Calibri"/>
          <w:sz w:val="22"/>
          <w:szCs w:val="22"/>
        </w:rPr>
        <w:tab/>
        <w:t xml:space="preserve">O presente Termo de Referência tem por objetivo determinar as condições que disciplinarão a aquisição de materiais diversos, conforme condições, quantidades e exigências estabelecidas neste instrumento, descritos no item 1.1. </w:t>
      </w:r>
    </w:p>
    <w:p>
      <w:pPr>
        <w:pStyle w:val="Normal"/>
        <w:numPr>
          <w:ilvl w:val="0"/>
          <w:numId w:val="12"/>
        </w:numPr>
        <w:spacing w:lineRule="auto" w:line="276"/>
        <w:jc w:val="both"/>
        <w:rPr/>
      </w:pPr>
      <w:r>
        <w:rPr>
          <w:rFonts w:cs="Calibri" w:ascii="Calibri" w:hAnsi="Calibri"/>
          <w:color w:val="000000"/>
          <w:sz w:val="22"/>
          <w:szCs w:val="22"/>
        </w:rPr>
        <w:tab/>
      </w:r>
      <w:r>
        <w:rPr>
          <w:rFonts w:cs="Calibri" w:ascii="Calibri" w:hAnsi="Calibri"/>
          <w:sz w:val="22"/>
          <w:szCs w:val="22"/>
        </w:rPr>
        <w:t xml:space="preserve">Os bens do objeto da contratação pretendida possuem as seguintes especificações: </w:t>
      </w:r>
    </w:p>
    <w:p>
      <w:pPr>
        <w:pStyle w:val="Normal"/>
        <w:numPr>
          <w:ilvl w:val="0"/>
          <w:numId w:val="12"/>
        </w:numPr>
        <w:spacing w:lineRule="auto" w:line="276"/>
        <w:rPr>
          <w:rFonts w:ascii="Arial" w:hAnsi="Arial" w:cs="Arial"/>
          <w:sz w:val="22"/>
          <w:szCs w:val="22"/>
        </w:rPr>
      </w:pPr>
      <w:r>
        <w:rPr>
          <w:rFonts w:cs="Arial" w:ascii="Arial" w:hAnsi="Arial"/>
          <w:sz w:val="22"/>
          <w:szCs w:val="22"/>
        </w:rPr>
      </w:r>
    </w:p>
    <w:p>
      <w:pPr>
        <w:pStyle w:val="Normal"/>
        <w:numPr>
          <w:ilvl w:val="0"/>
          <w:numId w:val="12"/>
        </w:numPr>
        <w:spacing w:lineRule="auto" w:line="276"/>
        <w:rPr>
          <w:rFonts w:ascii="Arial" w:hAnsi="Arial" w:cs="Arial"/>
          <w:sz w:val="22"/>
          <w:szCs w:val="22"/>
        </w:rPr>
      </w:pPr>
      <w:r>
        <w:rPr>
          <w:rFonts w:cs="Arial" w:ascii="Arial" w:hAnsi="Arial"/>
          <w:sz w:val="22"/>
          <w:szCs w:val="22"/>
        </w:rPr>
      </w:r>
    </w:p>
    <w:p>
      <w:pPr>
        <w:pStyle w:val="Default"/>
        <w:numPr>
          <w:ilvl w:val="0"/>
          <w:numId w:val="12"/>
        </w:numPr>
        <w:spacing w:lineRule="auto" w:line="276"/>
        <w:jc w:val="both"/>
        <w:rPr>
          <w:rFonts w:ascii="Calibri" w:hAnsi="Calibri" w:cs="Calibri"/>
          <w:b/>
          <w:sz w:val="22"/>
          <w:szCs w:val="22"/>
        </w:rPr>
      </w:pPr>
      <w:r>
        <w:rPr>
          <w:rFonts w:cs="Calibri" w:ascii="Calibri" w:hAnsi="Calibri"/>
          <w:b/>
          <w:sz w:val="22"/>
          <w:szCs w:val="22"/>
        </w:rPr>
      </w:r>
    </w:p>
    <w:tbl>
      <w:tblPr>
        <w:tblW w:w="10638" w:type="dxa"/>
        <w:jc w:val="left"/>
        <w:tblInd w:w="-34" w:type="dxa"/>
        <w:tblLayout w:type="fixed"/>
        <w:tblCellMar>
          <w:top w:w="0" w:type="dxa"/>
          <w:left w:w="108" w:type="dxa"/>
          <w:bottom w:w="0" w:type="dxa"/>
          <w:right w:w="108" w:type="dxa"/>
        </w:tblCellMar>
      </w:tblPr>
      <w:tblGrid>
        <w:gridCol w:w="675"/>
        <w:gridCol w:w="1023"/>
        <w:gridCol w:w="1244"/>
        <w:gridCol w:w="3969"/>
        <w:gridCol w:w="1701"/>
        <w:gridCol w:w="2025"/>
      </w:tblGrid>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sz w:val="20"/>
                <w:szCs w:val="20"/>
              </w:rPr>
            </w:pPr>
            <w:r>
              <w:rPr>
                <w:rFonts w:eastAsia="Calibri" w:cs="Arial" w:ascii="Arial" w:hAnsi="Arial"/>
                <w:sz w:val="20"/>
                <w:szCs w:val="20"/>
              </w:rPr>
              <w:t>Item</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pPr>
            <w:r>
              <w:rPr>
                <w:rFonts w:eastAsia="Calibri" w:cs="Arial" w:ascii="Arial" w:hAnsi="Arial"/>
                <w:sz w:val="20"/>
                <w:szCs w:val="20"/>
              </w:rPr>
              <w:t xml:space="preserve">Código </w:t>
            </w:r>
            <w:r>
              <w:rPr>
                <w:rFonts w:eastAsia="Calibri" w:cs="Arial" w:ascii="Arial" w:hAnsi="Arial"/>
                <w:sz w:val="18"/>
                <w:szCs w:val="18"/>
              </w:rPr>
              <w:t>CATMAT</w:t>
            </w:r>
          </w:p>
        </w:tc>
        <w:tc>
          <w:tcPr>
            <w:tcW w:w="1244"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sz w:val="20"/>
                <w:szCs w:val="20"/>
              </w:rPr>
            </w:pPr>
            <w:r>
              <w:rPr>
                <w:rFonts w:eastAsia="Calibri" w:cs="Arial" w:ascii="Arial" w:hAnsi="Arial"/>
                <w:sz w:val="20"/>
                <w:szCs w:val="20"/>
              </w:rPr>
              <w:t>Quant</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sz w:val="20"/>
                <w:szCs w:val="20"/>
              </w:rPr>
            </w:pPr>
            <w:r>
              <w:rPr>
                <w:rFonts w:eastAsia="Calibri" w:cs="Arial" w:ascii="Arial" w:hAnsi="Arial"/>
                <w:sz w:val="20"/>
                <w:szCs w:val="20"/>
              </w:rPr>
              <w:t>Objeto</w:t>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sz w:val="20"/>
                <w:szCs w:val="20"/>
              </w:rPr>
            </w:pPr>
            <w:r>
              <w:rPr>
                <w:rFonts w:eastAsia="Calibri" w:cs="Arial" w:ascii="Arial" w:hAnsi="Arial"/>
                <w:sz w:val="20"/>
                <w:szCs w:val="20"/>
              </w:rPr>
              <w:t>Valor unit. R$</w:t>
            </w:r>
          </w:p>
        </w:tc>
        <w:tc>
          <w:tcPr>
            <w:tcW w:w="202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sz w:val="20"/>
                <w:szCs w:val="20"/>
              </w:rPr>
            </w:pPr>
            <w:r>
              <w:rPr>
                <w:rFonts w:eastAsia="Calibri" w:cs="Arial" w:ascii="Arial" w:hAnsi="Arial"/>
                <w:sz w:val="20"/>
                <w:szCs w:val="20"/>
              </w:rPr>
              <w:t>Valor total R$</w:t>
            </w:r>
          </w:p>
        </w:tc>
      </w:tr>
      <w:tr>
        <w:trPr/>
        <w:tc>
          <w:tcPr>
            <w:tcW w:w="10637"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center"/>
              <w:rPr>
                <w:rFonts w:ascii="Arial" w:hAnsi="Arial" w:eastAsia="Calibri" w:cs="Arial"/>
              </w:rPr>
            </w:pPr>
            <w:r>
              <w:rPr>
                <w:rFonts w:eastAsia="Calibri" w:cs="Arial" w:ascii="Arial" w:hAnsi="Arial"/>
              </w:rPr>
            </w:r>
          </w:p>
          <w:p>
            <w:pPr>
              <w:pStyle w:val="Normal"/>
              <w:widowControl w:val="false"/>
              <w:numPr>
                <w:ilvl w:val="0"/>
                <w:numId w:val="12"/>
              </w:numPr>
              <w:spacing w:lineRule="auto" w:line="360"/>
              <w:jc w:val="center"/>
              <w:rPr>
                <w:rFonts w:ascii="Arial" w:hAnsi="Arial" w:eastAsia="Calibri" w:cs="Arial"/>
              </w:rPr>
            </w:pPr>
            <w:r>
              <w:rPr>
                <w:rFonts w:eastAsia="Calibri" w:cs="Arial" w:ascii="Arial" w:hAnsi="Arial"/>
              </w:rPr>
              <w:t>GRUPO I – MATERIAL EDUCATIVO E ESPORTIVO</w:t>
            </w:r>
          </w:p>
          <w:p>
            <w:pPr>
              <w:pStyle w:val="Normal"/>
              <w:widowControl w:val="false"/>
              <w:numPr>
                <w:ilvl w:val="0"/>
                <w:numId w:val="12"/>
              </w:numPr>
              <w:spacing w:lineRule="auto" w:line="360"/>
              <w:jc w:val="center"/>
              <w:rPr/>
            </w:pPr>
            <w:r>
              <w:rPr/>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450234</w:t>
            </w:r>
          </w:p>
          <w:p>
            <w:pPr>
              <w:pStyle w:val="Normal"/>
              <w:widowControl w:val="false"/>
              <w:numPr>
                <w:ilvl w:val="0"/>
                <w:numId w:val="12"/>
              </w:numPr>
              <w:snapToGrid w:val="false"/>
              <w:spacing w:lineRule="auto" w:line="360"/>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cs="Arial"/>
                <w:b/>
                <w:bCs/>
                <w:sz w:val="20"/>
                <w:szCs w:val="20"/>
              </w:rPr>
            </w:pPr>
            <w:r>
              <w:rPr>
                <w:rFonts w:cs="Arial" w:ascii="Arial" w:hAnsi="Arial"/>
                <w:b/>
                <w:bCs/>
                <w:sz w:val="20"/>
                <w:szCs w:val="20"/>
              </w:rPr>
              <w:t>BOLA HANDEBOL, (MACIA) MATERIAL: POLIURETANO, PESO CHEIA:290 A 330 G, CARACTERÍSTICAS ADICIONAIS: COSTURADA EM PVC, CÂMARA BUTIL, MIOLO REMOVÍVEL, CIRCUNFERÊNCIA:50 A 52 CM, MODELO: MIRIM (TAMANHO 1).</w:t>
            </w:r>
          </w:p>
          <w:p>
            <w:pPr>
              <w:pStyle w:val="Normal"/>
              <w:widowControl w:val="false"/>
              <w:numPr>
                <w:ilvl w:val="0"/>
                <w:numId w:val="12"/>
              </w:numPr>
              <w:rPr>
                <w:rFonts w:ascii="Arial" w:hAnsi="Arial" w:cs="Arial"/>
                <w:b/>
                <w:bCs/>
                <w:sz w:val="20"/>
                <w:szCs w:val="20"/>
              </w:rPr>
            </w:pPr>
            <w:r>
              <w:rPr>
                <w:rFonts w:cs="Arial" w:ascii="Arial" w:hAnsi="Arial"/>
                <w:b/>
                <w:bCs/>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R$ 99,00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R$ 9.900,00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pPr>
            <w:r>
              <w:rPr>
                <w:rFonts w:eastAsia="Arial" w:cs="Arial" w:ascii="Arial" w:hAnsi="Arial"/>
                <w:b/>
                <w:bCs/>
                <w:color w:val="000000"/>
                <w:sz w:val="20"/>
                <w:szCs w:val="20"/>
                <w:shd w:fill="FFFFFE" w:val="clear"/>
              </w:rPr>
              <w:t xml:space="preserve"> </w:t>
            </w:r>
            <w:r>
              <w:rPr>
                <w:rFonts w:eastAsia="Calibri" w:cs="Arial" w:ascii="Arial" w:hAnsi="Arial"/>
                <w:b/>
                <w:bCs/>
                <w:color w:val="000000"/>
                <w:sz w:val="20"/>
                <w:szCs w:val="20"/>
                <w:shd w:fill="FFFFFE" w:val="clear"/>
              </w:rPr>
              <w:t>450233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HANDEBOL, (MACIA) MATERIAL: POLIURETANO, PESO CHEIA:325 A 375 G, CARACTERÍSTICAS ADICIONAIS: COSTURADA EM PVC, CÂMARA BUTIL, MIOLO REMOVÍVEL, CIRCUNFERÊNCIA:54 A 56 CM, MODELO: FEMININO (TAMANHO 2).</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R$ 135,14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R$ 13.514,00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w:t>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Arial" w:cs="Arial"/>
                <w:b/>
                <w:bCs/>
                <w:color w:val="000000"/>
                <w:sz w:val="20"/>
                <w:szCs w:val="20"/>
                <w:shd w:fill="FFFFFE" w:val="clear"/>
              </w:rPr>
            </w:pPr>
            <w:r>
              <w:rPr>
                <w:rFonts w:eastAsia="Arial"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403733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FUTSAL, MATERIAL: PU, PESO CHEIA:410 A 440 G, CIRCUNFERÊNCIA:61 A 64 CM, VULCANIZADA OU TERMOCOLADA, MIOLO SUBSTITUÍVEL, CÂMARA AIRVILITY OU AIRBILITY. TIPO PENALTY, TOPPER, KAGIVA, UMBRO OU SUPERIOR. EM CASO DE DIVERGÊNCIA COM O CÓDIGO CATMAT, SERÁ LEVADO EM CONTA A DESCRIÇÃO DO PRODUTO NO EDITAL.</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R$ 100,00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R$ 30.000,00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pPr>
            <w:r>
              <w:rPr>
                <w:rFonts w:eastAsia="Arial" w:cs="Arial" w:ascii="Arial" w:hAnsi="Arial"/>
                <w:b/>
                <w:bCs/>
                <w:color w:val="000000"/>
                <w:sz w:val="20"/>
                <w:szCs w:val="20"/>
                <w:shd w:fill="FFFFFE" w:val="clear"/>
              </w:rPr>
              <w:t xml:space="preserve"> </w:t>
            </w:r>
            <w:r>
              <w:rPr>
                <w:rFonts w:eastAsia="Calibri" w:cs="Arial" w:ascii="Arial" w:hAnsi="Arial"/>
                <w:b/>
                <w:bCs/>
                <w:color w:val="000000"/>
                <w:sz w:val="20"/>
                <w:szCs w:val="20"/>
                <w:shd w:fill="FFFFFE" w:val="clear"/>
              </w:rPr>
              <w:t>442687</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pacing w:before="0" w:after="240"/>
              <w:rPr>
                <w:rFonts w:ascii="Arial" w:hAnsi="Arial" w:eastAsia="Calibri" w:cs="Arial"/>
                <w:b/>
                <w:bCs/>
                <w:color w:val="000000"/>
                <w:sz w:val="19"/>
                <w:szCs w:val="20"/>
              </w:rPr>
            </w:pPr>
            <w:r>
              <w:rPr>
                <w:rFonts w:eastAsia="Calibri" w:cs="Arial" w:ascii="Arial" w:hAnsi="Arial"/>
                <w:b/>
                <w:bCs/>
                <w:color w:val="000000"/>
                <w:sz w:val="19"/>
                <w:szCs w:val="20"/>
              </w:rPr>
              <w:t>BOLA FUTSAL ADULTO OFICIAL (PARA COMPETIÇÃO), DIÂMETRO 61 – 64 CM, PESO 410 – 440GR, CÂMARA AIRBILITY, TERMOTEC, PU ULTRA 100%, MIOLO SLIP SYSTEM REMOVÍVEL E LUBRIFICADO, COSTURADA, COM REGISTRO E APROVAÇÃO DA CBFS, FIFA QUALITY.</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R$ 246,99</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R$ 24.699,00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5</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480256</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200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FUTSAL INFANTIL PARA COMPETIÇÃO, DIÂMETRO 55 – 59 CM, PESO 350 – 380GR, CÂMARA AIRBILITY OU TERMOTEC, PU ULTRA 100%, MIOLO SLIP SYSTEM REMOVÍVEL E LUBRIFICADO. TIPO PENALTY RX 200 OU SUPERIOR</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R$ 109,40</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R$ 21.880,00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403837</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VOLEIBOL ADULTO OFICIAL DE COMPETIÇÃO, DIÂMETRO 65 – 67 CM, PESO 260 – 280GR, CÂMARA AIRBILITY, MATRIZADA, MICROFIBRA, MIOLO SLIP SYSTEM REMOVÍVEL E LUBRIFICADO, APROVADO E CHANCELADA PELA FIVB. TIPO MIKASA V200W, PENALTY 8.0 PRÓ OU SUPERIOR</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R$ 296,32</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R$ 29.632,00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7</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335432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VOLEIBOL, CIRCUNFERÊNCIA:65 A 67 CM, CARACTERÍSTICAS ADICIONAIS: CONFECCIONADA EM PU, CÂMARA BUTIL, AIRBILITY, AIRVILITY OU EVACEL, MIOLO REMOVÍVEL, VULCANIZADA OU COLADA. TIPO KAGIVA PRO, PENALTY 6.0, RAINHA, PENALTY VP 5000 OU SUPERIOR.</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R$ 107,54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R$ 32.262,00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8</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258982</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20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rPr/>
            </w:pPr>
            <w:r>
              <w:rPr>
                <w:rFonts w:eastAsia="Calibri" w:cs="Arial" w:ascii="Arial" w:hAnsi="Arial"/>
                <w:b/>
                <w:bCs/>
                <w:color w:val="000000"/>
                <w:sz w:val="19"/>
                <w:szCs w:val="20"/>
              </w:rPr>
              <w:t xml:space="preserve">BOLA VOLEIBOL DE </w:t>
            </w:r>
            <w:r>
              <w:rPr>
                <w:rFonts w:eastAsia="Calibri" w:cs="Arial" w:ascii="Arial" w:hAnsi="Arial"/>
                <w:b/>
                <w:bCs/>
                <w:i/>
                <w:iCs/>
                <w:color w:val="000000"/>
                <w:sz w:val="19"/>
                <w:szCs w:val="20"/>
                <w:u w:val="single"/>
              </w:rPr>
              <w:t>PRAIA</w:t>
            </w:r>
            <w:r>
              <w:rPr>
                <w:rFonts w:eastAsia="Calibri" w:cs="Arial" w:ascii="Arial" w:hAnsi="Arial"/>
                <w:b/>
                <w:bCs/>
                <w:color w:val="000000"/>
                <w:sz w:val="19"/>
                <w:szCs w:val="20"/>
              </w:rPr>
              <w:t xml:space="preserve"> OFICIAL ADULTO PARA COMPETIÇÃO: MATERIAL: MICROFIBRA, PESO CHEIA:260 A 280 G, CIRCUNFERÊNCIA:65 A 67 CM, TIPO USO: ADULTO (CHANCELADA E APROVADA PELA FIVB), PRESSÃO:03 – 04 LB, APLICAÇÃO: VOLEI DE PRAIA, MODELO: PRO, CARACTERíSTICAS ADICIONAIS: COLORIDA. TIPO PENALTY OU MIKASA</w:t>
            </w:r>
          </w:p>
          <w:p>
            <w:pPr>
              <w:pStyle w:val="Normal"/>
              <w:widowControl w:val="false"/>
              <w:numPr>
                <w:ilvl w:val="0"/>
                <w:numId w:val="12"/>
              </w:numPr>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R$ 455,21</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R$ 9.104,20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9</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14832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500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DE VÔLEI EM EVA VULCANIZADO. MATERIAL EXTERNO – EVA – PESO MÍNIMO 70GR, CIRCUNFERÊNCIA – 65 – 67CM, PESO MÍNIMO DA BOLA PRONTA 160GR</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R$ 29,14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14.570,00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10</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14836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150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BASQUETE ADULTO MASCULINO OFICIAL, DIÂMETRO 75 – 78 CM, PESO 600 – 650GR, MICROLINE, MATRIZADA, BORRACHA, MIOLO REMOVÍVEL. TIPO VOLLO POKER OU SUPERIOR</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73,25</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R$ 10.987,50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11</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305575</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40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DE BASQUETEBOL PARA COMPETIÇÃO – BOLA BASQUETE ADULTO MASCULINO OFICIAL, DIÂMETRO 75 – 78 CM, PESO 600 – 650GR, CÂMARA AIRBILITY, MATRIZADA, MICROFIBRA, MIOLO SLIP SYSTEM REMOVÍVEL E LUBRIFICADO, COM APROVAÇÃO E CHANCELA NBB E FIBA, TIPO PENALTY/ 7.8 CROSSOVER OU SUPERIOR</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R$ 342,40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R$ 13.696,00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12</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472016</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150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left"/>
              <w:rPr>
                <w:rFonts w:ascii="Arial" w:hAnsi="Arial" w:eastAsia="Calibri" w:cs="Arial"/>
                <w:b/>
                <w:bCs/>
                <w:i w:val="false"/>
                <w:i w:val="false"/>
                <w:strike w:val="false"/>
                <w:dstrike w:val="false"/>
                <w:outline w:val="false"/>
                <w:shadow w:val="false"/>
                <w:color w:val="000000"/>
                <w:sz w:val="19"/>
                <w:szCs w:val="20"/>
                <w:u w:val="none"/>
                <w:em w:val="none"/>
              </w:rPr>
            </w:pPr>
            <w:r>
              <w:rPr>
                <w:rFonts w:eastAsia="Calibri" w:cs="Arial" w:ascii="Arial" w:hAnsi="Arial"/>
                <w:b/>
                <w:bCs/>
                <w:i w:val="false"/>
                <w:strike w:val="false"/>
                <w:dstrike w:val="false"/>
                <w:outline w:val="false"/>
                <w:shadow w:val="false"/>
                <w:color w:val="000000"/>
                <w:sz w:val="19"/>
                <w:szCs w:val="20"/>
                <w:u w:val="none"/>
                <w:em w:val="none"/>
              </w:rPr>
              <w:t>BOLA FUTEBOL, MATERIAL:100% TERMOPLÁSTICO POLIURETANO, PESO CHEIA: 420 A 435 G, CIRCUNFERÊNCIA: 66,5 A 67,5 CM, MODELO: FUTEBOL SOCIETY. BOLA ADULTO OFICIAL PARA COMPETIÇÃO CHANCELADA PELA FIFA E CBF. TIPO PENALTY 8X, SE7E PRÓ OU SUPERIOR.</w:t>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bidi w:val="0"/>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R$ 176,45</w:t>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bidi w:val="0"/>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R$ 26.467,50</w:t>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13</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480257</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150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left"/>
              <w:rPr>
                <w:rFonts w:ascii="Arial" w:hAnsi="Arial" w:eastAsia="Calibri" w:cs="Arial"/>
                <w:b/>
                <w:bCs/>
                <w:i w:val="false"/>
                <w:i w:val="false"/>
                <w:strike w:val="false"/>
                <w:dstrike w:val="false"/>
                <w:outline w:val="false"/>
                <w:shadow w:val="false"/>
                <w:color w:val="000000"/>
                <w:sz w:val="19"/>
                <w:szCs w:val="20"/>
                <w:u w:val="none"/>
                <w:em w:val="none"/>
              </w:rPr>
            </w:pPr>
            <w:r>
              <w:rPr>
                <w:rFonts w:eastAsia="Calibri" w:cs="Arial" w:ascii="Arial" w:hAnsi="Arial"/>
                <w:b/>
                <w:bCs/>
                <w:i w:val="false"/>
                <w:strike w:val="false"/>
                <w:dstrike w:val="false"/>
                <w:outline w:val="false"/>
                <w:shadow w:val="false"/>
                <w:color w:val="000000"/>
                <w:sz w:val="19"/>
                <w:szCs w:val="20"/>
                <w:u w:val="none"/>
                <w:em w:val="none"/>
              </w:rPr>
              <w:t>BOLA FUTEBOL DE CAMPO ADULTA, MATERIAL: POLIURETANO, PESO CHEIA: 410 A 450 G, CARACTERÍSTICAS ADICIONAIS: MIOLO REMOVÍVEL E LUBRIFICADO, CIRCUNFERÊNCIA:68 A 70 CM, MODELO: FUTEBOL DE CAMPO OFICIAL, PARA COMPETIÇÃO CHANCELADA PELA FIFA. TIPO PENALTY 8 FIFA, PENALTY S11 ECOKNIT XXV FIFA OU SUPERIOR.</w:t>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R$ 209,9</w:t>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R$ 31.485,00</w:t>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14</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274322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08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Calibri" w:hAnsi="Calibri" w:eastAsia="Calibri" w:cs="Calibri"/>
                <w:b/>
                <w:bCs/>
                <w:color w:val="000000"/>
                <w:sz w:val="20"/>
                <w:szCs w:val="20"/>
              </w:rPr>
            </w:pPr>
            <w:r>
              <w:rPr>
                <w:rFonts w:eastAsia="Calibri" w:cs="Calibri" w:ascii="Calibri" w:hAnsi="Calibri"/>
                <w:b/>
                <w:bCs/>
                <w:color w:val="000000"/>
                <w:sz w:val="20"/>
                <w:szCs w:val="20"/>
              </w:rPr>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REDE PARA CESTA DE BASQUETEBOL (PAR): REDE PARA BASQUETEBOL 12 ALÇAS, NO MÍNIMO FIO 5 MM (SEDA – SEM ALMA), TRANÇADO ENTRE NÓS 7X7 CM, 45 CM DE DIÂMETRO X 50 CM DE COMPRIMENTO.</w:t>
            </w:r>
          </w:p>
          <w:p>
            <w:pPr>
              <w:pStyle w:val="Normal"/>
              <w:widowControl w:val="false"/>
              <w:numPr>
                <w:ilvl w:val="0"/>
                <w:numId w:val="12"/>
              </w:numPr>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R$ 46,00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R$ 368,00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15</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251693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12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REDE DE VOLEIBOL OFICIAL: CONFECCIONADA EM FIO 2,0 MM, SEM ALMA, EM SEDA (PRETO) COM TRATAMENTO UV – MALHA 10 CM ENTRE NÓS, E TAMANHO MÍNIMO DE 9,75 METROS DE COMPRIMENTO E NO 1 METRO DE LARGURA, COM AS 4 FAIXAS EM ALGODÃO (BRANCAS), COM AS SEGUINTES MEDIDAS: SUPERIOR 7 CM – INFERIOR E LATERAIS 5 CM, TODAS CONFECCIONADAS EM 100% ALGODÃO, COM ILHOSES NAS PONTAS E CORDA GUIA.</w:t>
            </w:r>
          </w:p>
          <w:p>
            <w:pPr>
              <w:pStyle w:val="Normal"/>
              <w:widowControl w:val="false"/>
              <w:numPr>
                <w:ilvl w:val="0"/>
                <w:numId w:val="12"/>
              </w:numPr>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R$ 353,36</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R$ 4.240,32</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16</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211571</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REDE DE FUTSAL (PAR): REDE PARA GOLEIRA DE FUTSAL, POPULARMENTE CONHECIDA COMO “VÉU DE NOIVA”. CONFECCIONADA EM FIO DE SEDA DE NO MÍNIMO 5 MM (SEM ALMA) E MALHA MÁXIMA DE 12 CM X 12 CM ENTRE NÓS, CONFECCIONADA A MÃO (COM NÓ), COM ALTURA DE MÍNIMA DE 2,10 METROS, COMPRIMENTO MÍNIMO DE 3,00 METROS, FUNDO SUPERIOR MÍNIMO DE 0,50 METRO E FUNDO INFERIOR MÍNIMO DE 1,00 METRO, COM PROTEÇÃO/TRATAMENTO ULTRAVIOLETA. EM CASO DE DIVERGÊNCIA COM O CÓDIGO CATMAT, SERÁ LEVADO EM CONTA A DESCRIÇÃO DO PRODUTO NO EDITAL.</w:t>
            </w:r>
          </w:p>
          <w:p>
            <w:pPr>
              <w:pStyle w:val="Normal"/>
              <w:widowControl w:val="false"/>
              <w:numPr>
                <w:ilvl w:val="0"/>
                <w:numId w:val="12"/>
              </w:numPr>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R$ 395,00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R$ 11.850,00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17</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REDE MULTIUSO PARA BEACH TÊNIS, VOLEIBOL DE AREIA E FUTVÔLEI. CONFECCIONADA EM POLIETILENO DE ALTA DENSIDADE, 100% VIRGEM COM TRATAMENTO ANTI-UV (PARA USO EXTERNO), E COM UM ILHÓS EM METAL GALVANIZADO EM CADA EXTREMIDADE. MEDIDA DA REDE: 1,00M DE ALTURA X 9,50M DE COMPRIMENTO, COM 4 FAIXAS DE BORDA EM NYLON NA COR LARANJA (PARA FACILITAR A VISUALIZAÇÃO AO SOL). MALHA: 5CM X 5CM NA COR DA PRETA CONFECCIONADA COM FIO 2MM TORCIDO.</w:t>
            </w:r>
          </w:p>
          <w:p>
            <w:pPr>
              <w:pStyle w:val="Normal"/>
              <w:widowControl w:val="false"/>
              <w:numPr>
                <w:ilvl w:val="0"/>
                <w:numId w:val="12"/>
              </w:numPr>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R$ 389,00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R$ 3.890,00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18</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602799</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40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Calibri" w:hAnsi="Calibri" w:eastAsia="Calibri" w:cs="Calibri"/>
                <w:b/>
                <w:bCs/>
                <w:color w:val="000000"/>
                <w:sz w:val="20"/>
                <w:szCs w:val="20"/>
              </w:rPr>
            </w:pPr>
            <w:r>
              <w:rPr>
                <w:rFonts w:eastAsia="Calibri" w:cs="Calibri" w:ascii="Calibri" w:hAnsi="Calibri"/>
                <w:b/>
                <w:bCs/>
                <w:color w:val="000000"/>
                <w:sz w:val="20"/>
                <w:szCs w:val="20"/>
              </w:rPr>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REDE ESPORTE, MATERIAL: NÁILON, APLICAÇÃO: TÊNIS DE MESA, CARACTERÍSTICAS ADICIONAIS: TAMANHO OFICIAL, COM SUPORTE (QUE PRENDA NA MESA COM SISTEMA DE ATARRAXAR – PARAFUSO OU BORBOLETA)</w:t>
            </w:r>
          </w:p>
          <w:p>
            <w:pPr>
              <w:pStyle w:val="Normal"/>
              <w:widowControl w:val="false"/>
              <w:numPr>
                <w:ilvl w:val="0"/>
                <w:numId w:val="12"/>
              </w:numPr>
              <w:jc w:val="both"/>
              <w:rPr>
                <w:rFonts w:ascii="Calibri" w:hAnsi="Calibri" w:eastAsia="Calibri" w:cs="Calibri"/>
                <w:b/>
                <w:bCs/>
                <w:color w:val="000000"/>
                <w:sz w:val="20"/>
                <w:szCs w:val="20"/>
              </w:rPr>
            </w:pPr>
            <w:r>
              <w:rPr>
                <w:rFonts w:eastAsia="Calibri" w:cs="Calibri" w:ascii="Calibri" w:hAnsi="Calibri"/>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R$ 86,32</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R$ 3.452,80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19</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466312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snapToGrid w:val="false"/>
              <w:rPr>
                <w:rFonts w:ascii="Arial" w:hAnsi="Arial" w:eastAsia="Calibri" w:cs="Arial"/>
                <w:b/>
                <w:bCs/>
                <w:color w:val="000000"/>
                <w:sz w:val="19"/>
                <w:szCs w:val="20"/>
              </w:rPr>
            </w:pPr>
            <w:r>
              <w:rPr>
                <w:rFonts w:eastAsia="Calibri" w:cs="Arial" w:ascii="Arial" w:hAnsi="Arial"/>
                <w:b/>
                <w:bCs/>
                <w:color w:val="000000"/>
                <w:sz w:val="19"/>
                <w:szCs w:val="20"/>
              </w:rPr>
              <w:t>EQUIPAMENTO PARA CONDICIONAMENTO FÍSICO, TIPO: PELOTA, MATERIAL: COURO, APLICAÇÃO: CONDICIONAMENTO FÍSICO, CARACTERÍSTICAS ADICIONAIS: PESO: 250G, DIMENSÕES:6,5CM A 7,5CM CM</w:t>
            </w:r>
          </w:p>
          <w:p>
            <w:pPr>
              <w:pStyle w:val="Normal"/>
              <w:widowControl w:val="false"/>
              <w:numPr>
                <w:ilvl w:val="0"/>
                <w:numId w:val="12"/>
              </w:numPr>
              <w:snapToGrid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R$ 30,00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R$ 900,00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20</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447896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15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bCs/>
                <w:color w:val="000000"/>
                <w:sz w:val="19"/>
                <w:szCs w:val="20"/>
              </w:rPr>
            </w:pPr>
            <w:r>
              <w:rPr>
                <w:rFonts w:eastAsia="Calibri" w:cs="Arial" w:ascii="Arial" w:hAnsi="Arial"/>
                <w:b/>
                <w:bCs/>
                <w:color w:val="000000"/>
                <w:sz w:val="19"/>
                <w:szCs w:val="20"/>
              </w:rPr>
              <w:t>DARDO PEÇAS E ACESSÓRIOS, TIPO: DARDO, MATERIAL: ALUMÍNIO, CARACTERÍSTICAS ADICIONAIS: PESO: 800 G, CABEÇA DE AÇO, EMPUNHADURA DE CORDA, APLICAÇÃO: ATLETISMO PARA LANÇAMENTO</w:t>
            </w:r>
          </w:p>
          <w:p>
            <w:pPr>
              <w:pStyle w:val="Normal"/>
              <w:widowControl w:val="false"/>
              <w:numPr>
                <w:ilvl w:val="0"/>
                <w:numId w:val="12"/>
              </w:numPr>
              <w:snapToGrid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R$ 398,00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R$ 5.970,00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21</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288039</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15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bCs/>
                <w:color w:val="000000"/>
                <w:sz w:val="19"/>
                <w:szCs w:val="20"/>
              </w:rPr>
            </w:pPr>
            <w:r>
              <w:rPr>
                <w:rFonts w:eastAsia="Calibri" w:cs="Arial" w:ascii="Arial" w:hAnsi="Arial"/>
                <w:b/>
                <w:bCs/>
                <w:color w:val="000000"/>
                <w:sz w:val="19"/>
                <w:szCs w:val="20"/>
              </w:rPr>
              <w:t>DARDO PEÇAS E ACESSÓRIOS, TIPO: DARDO, MATERIAL: FIBRA DE AÇO CARBONO, CARACTERÍSTICAS ADICIONAIS: PESO: 600G, CABEÇA DE AÇO ULTRAFINA, APLICAÇÃO: ATLETISMO PARA LANÇAMENTO</w:t>
            </w:r>
          </w:p>
          <w:p>
            <w:pPr>
              <w:pStyle w:val="Normal"/>
              <w:widowControl w:val="false"/>
              <w:numPr>
                <w:ilvl w:val="0"/>
                <w:numId w:val="12"/>
              </w:numPr>
              <w:snapToGrid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R$ 329,25</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R$ 4.938,75</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22</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237593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snapToGrid w:val="false"/>
              <w:rPr>
                <w:rFonts w:ascii="Arial" w:hAnsi="Arial" w:eastAsia="Calibri" w:cs="Arial"/>
                <w:b/>
                <w:bCs/>
                <w:color w:val="000000"/>
                <w:sz w:val="19"/>
                <w:szCs w:val="20"/>
              </w:rPr>
            </w:pPr>
            <w:r>
              <w:rPr>
                <w:rFonts w:eastAsia="Calibri" w:cs="Arial" w:ascii="Arial" w:hAnsi="Arial"/>
                <w:b/>
                <w:bCs/>
                <w:color w:val="000000"/>
                <w:sz w:val="19"/>
                <w:szCs w:val="20"/>
              </w:rPr>
              <w:t>BASTÃO PARA REVEZAMENTO (ATLETISMO), MATERIAL: ALUMÍNIO, TAMANHO: OFICIAL (IAAF)</w:t>
            </w:r>
          </w:p>
          <w:p>
            <w:pPr>
              <w:pStyle w:val="Normal"/>
              <w:widowControl w:val="false"/>
              <w:numPr>
                <w:ilvl w:val="0"/>
                <w:numId w:val="12"/>
              </w:numPr>
              <w:snapToGrid w:val="false"/>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R$ 22,64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R$ 679,20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23</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604846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left"/>
              <w:rPr>
                <w:rFonts w:ascii="Arial" w:hAnsi="Arial" w:eastAsia="Calibri" w:cs="Arial"/>
                <w:b/>
                <w:bCs/>
                <w:i w:val="false"/>
                <w:i w:val="false"/>
                <w:strike w:val="false"/>
                <w:dstrike w:val="false"/>
                <w:outline w:val="false"/>
                <w:shadow w:val="false"/>
                <w:color w:val="000000"/>
                <w:sz w:val="19"/>
                <w:szCs w:val="20"/>
                <w:u w:val="none"/>
                <w:em w:val="none"/>
              </w:rPr>
            </w:pPr>
            <w:r>
              <w:rPr>
                <w:rFonts w:eastAsia="Calibri" w:cs="Arial" w:ascii="Arial" w:hAnsi="Arial"/>
                <w:b/>
                <w:bCs/>
                <w:i w:val="false"/>
                <w:strike w:val="false"/>
                <w:dstrike w:val="false"/>
                <w:outline w:val="false"/>
                <w:shadow w:val="false"/>
                <w:color w:val="000000"/>
                <w:sz w:val="19"/>
                <w:szCs w:val="20"/>
                <w:u w:val="none"/>
                <w:em w:val="none"/>
              </w:rPr>
              <w:t>PESO DE ATLETISMO PARA ARREMESSO DE 5,00KG, COM NO MÁXIMO 115 MM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bidi w:val="0"/>
              <w:snapToGrid w:val="false"/>
              <w:jc w:val="center"/>
              <w:rPr>
                <w:rFonts w:ascii="Arial" w:hAnsi="Arial" w:eastAsia="Calibri" w:cs="Arial"/>
                <w:b/>
                <w:bCs/>
                <w:color w:val="000000"/>
                <w:sz w:val="19"/>
                <w:szCs w:val="20"/>
              </w:rPr>
            </w:pPr>
            <w:r>
              <w:rPr>
                <w:rFonts w:eastAsia="Calibri" w:cs="Arial" w:ascii="Arial" w:hAnsi="Arial"/>
                <w:b/>
                <w:bCs/>
                <w:color w:val="000000"/>
                <w:sz w:val="19"/>
                <w:szCs w:val="20"/>
              </w:rPr>
            </w:r>
          </w:p>
          <w:p>
            <w:pPr>
              <w:pStyle w:val="Normal"/>
              <w:widowControl w:val="false"/>
              <w:numPr>
                <w:ilvl w:val="0"/>
                <w:numId w:val="12"/>
              </w:numPr>
              <w:bidi w:val="0"/>
              <w:jc w:val="center"/>
              <w:rPr>
                <w:rFonts w:ascii="Arial" w:hAnsi="Arial" w:eastAsia="Calibri" w:cs="Arial"/>
                <w:b/>
                <w:bCs/>
                <w:color w:val="000000"/>
                <w:sz w:val="19"/>
                <w:szCs w:val="20"/>
              </w:rPr>
            </w:pPr>
            <w:r>
              <w:rPr>
                <w:rFonts w:eastAsia="Calibri" w:cs="Arial" w:ascii="Arial" w:hAnsi="Arial"/>
                <w:b/>
                <w:bCs/>
                <w:color w:val="000000"/>
                <w:sz w:val="19"/>
                <w:szCs w:val="20"/>
              </w:rPr>
            </w:r>
          </w:p>
          <w:p>
            <w:pPr>
              <w:pStyle w:val="Normal"/>
              <w:widowControl w:val="false"/>
              <w:numPr>
                <w:ilvl w:val="0"/>
                <w:numId w:val="12"/>
              </w:numPr>
              <w:bidi w:val="0"/>
              <w:jc w:val="center"/>
              <w:rPr>
                <w:rFonts w:ascii="Arial" w:hAnsi="Arial" w:eastAsia="Calibri" w:cs="Arial"/>
                <w:b/>
                <w:bCs/>
                <w:i w:val="false"/>
                <w:i w:val="false"/>
                <w:strike w:val="false"/>
                <w:dstrike w:val="false"/>
                <w:outline w:val="false"/>
                <w:shadow w:val="false"/>
                <w:color w:val="000000"/>
                <w:sz w:val="20"/>
                <w:szCs w:val="20"/>
                <w:u w:val="none"/>
                <w:em w:val="none"/>
              </w:rPr>
            </w:pPr>
            <w:r>
              <w:rPr>
                <w:rFonts w:eastAsia="Calibri" w:cs="Arial" w:ascii="Arial" w:hAnsi="Arial"/>
                <w:b/>
                <w:bCs/>
                <w:i w:val="false"/>
                <w:strike w:val="false"/>
                <w:dstrike w:val="false"/>
                <w:outline w:val="false"/>
                <w:shadow w:val="false"/>
                <w:color w:val="000000"/>
                <w:sz w:val="20"/>
                <w:szCs w:val="20"/>
                <w:u w:val="none"/>
                <w:em w:val="none"/>
              </w:rPr>
              <w:t>R$ 173,87</w:t>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bidi w:val="0"/>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bidi w:val="0"/>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bidi w:val="0"/>
              <w:jc w:val="center"/>
              <w:rPr/>
            </w:pPr>
            <w:r>
              <w:rPr>
                <w:rFonts w:eastAsia="Calibri" w:cs="Arial" w:ascii="Arial" w:hAnsi="Arial"/>
                <w:b/>
                <w:bCs/>
                <w:i w:val="false"/>
                <w:strike w:val="false"/>
                <w:dstrike w:val="false"/>
                <w:outline w:val="false"/>
                <w:shadow w:val="false"/>
                <w:color w:val="000000"/>
                <w:sz w:val="20"/>
                <w:szCs w:val="20"/>
                <w:u w:val="none"/>
                <w:em w:val="none"/>
              </w:rPr>
              <w:t xml:space="preserve">R$ </w:t>
            </w:r>
            <w:r>
              <w:rPr>
                <w:rFonts w:cs="Arial" w:ascii="Arial" w:hAnsi="Arial"/>
                <w:b/>
                <w:bCs/>
                <w:i w:val="false"/>
                <w:strike w:val="false"/>
                <w:dstrike w:val="false"/>
                <w:outline w:val="false"/>
                <w:shadow w:val="false"/>
                <w:sz w:val="20"/>
                <w:szCs w:val="20"/>
                <w:u w:val="none"/>
                <w:em w:val="none"/>
              </w:rPr>
              <w:t>1.738,70</w:t>
            </w:r>
          </w:p>
          <w:p>
            <w:pPr>
              <w:pStyle w:val="Normal"/>
              <w:widowControl w:val="false"/>
              <w:numPr>
                <w:ilvl w:val="0"/>
                <w:numId w:val="12"/>
              </w:numPr>
              <w:bidi w:val="0"/>
              <w:jc w:val="center"/>
              <w:rPr>
                <w:rFonts w:ascii="Arial" w:hAnsi="Arial" w:eastAsia="Calibri" w:cs="Arial"/>
                <w:b/>
                <w:bCs/>
                <w:color w:val="000000"/>
                <w:sz w:val="20"/>
                <w:szCs w:val="20"/>
              </w:rPr>
            </w:pPr>
            <w:r>
              <w:rPr>
                <w:rFonts w:eastAsia="Calibri" w:cs="Arial" w:ascii="Arial" w:hAnsi="Arial"/>
                <w:b/>
                <w:bCs/>
                <w:color w:val="000000"/>
                <w:sz w:val="20"/>
                <w:szCs w:val="20"/>
              </w:rPr>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24</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604847</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PESO DE ATLETISMO PARA ARREMESSO DE 4,00KG, COM NO MÁXIMO 103MM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171,90</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R$ 1.719,00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25</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604847</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PESO DE ATLETISMO PARA ARREMESSO DE 3,00KG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R$ 247,45</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2.474,50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26</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604823</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DISCO PARA LANÇAMENTO DE DISCO DE ATLETISMO. OFICIAL DE AÇO/ABS 2,00 KG. INDICADO PARA COMPETIÇÕES OU TREINAMENTO. 70~75% DE PESO NAS BORDAS. CENTRO E BORDAS DE AÇO GALVANIZADO, PRATOS DE PLÁSTICO ABS DE ALTA RESISTÊNCIA REFORÇADOS COM FIBRA DE VIDRO. CERTIFICADO PELA IAAF. TIPO VINEX OU SUPERIOR. EM CASO DE DIVERGÊNCIA COM O CÓDIGO CATMAT, SERÁ LEVADO EM CONTA A DESCRIÇÃO DO PRODUTO NO EDITAL.</w:t>
            </w:r>
          </w:p>
          <w:p>
            <w:pPr>
              <w:pStyle w:val="Normal"/>
              <w:widowControl w:val="false"/>
              <w:numPr>
                <w:ilvl w:val="0"/>
                <w:numId w:val="12"/>
              </w:numPr>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229,80</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R$ 2.298,00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27</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604824</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DISCO PARA LANÇAMENTO DE DISCO DE ATLETISMO. OFICIAL DE AÇO/ABS 1,00 KG. INDICADO PARA COMPETIÇÕES OU TREINAMENTO. 70~75% DE PESO NAS BORDAS. CENTRO E BORDAS DE AÇO GALVANIZADO, PRATOS DE PLÁSTICO ABS DE ALTA RESISTÊNCIA REFORÇADOS COM FIBRA DE VIDRO. CERTIFICADO PELA IAAF. TIPO VINEX OU SUPERIOR. EM CASO DE DIVERGÊNCIA COM O CÓDIGO CATMAT, SERÁ LEVADO EM CONTA A DESCRIÇÃO DO PRODUTO NO EDITAL.</w:t>
            </w:r>
          </w:p>
          <w:p>
            <w:pPr>
              <w:pStyle w:val="Normal"/>
              <w:widowControl w:val="false"/>
              <w:numPr>
                <w:ilvl w:val="0"/>
                <w:numId w:val="12"/>
              </w:numPr>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t>R$  173,49</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t>R$  1.734,90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28</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471988</w:t>
            </w:r>
          </w:p>
        </w:tc>
        <w:tc>
          <w:tcPr>
            <w:tcW w:w="1244"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40 UN</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MESA TÊNIS DE MESA: MATERIAL TAMPO: MDF, MATERIAL ESTRUTURA: TUBO DE AÇO, TIPO: DOBRÁVEL, ACABAMENTO TAMPO: PINTADO, ACABAMENTO ESTRUTURA: PINTURA, ESPESSURA TAMPO:25 MM, COR: AZUL, CARACTERÍSTICAS: COM MEDIDAS OFICIAIS PADRÃO ITTF (INTERNATIONAL).</w:t>
            </w:r>
          </w:p>
          <w:p>
            <w:pPr>
              <w:pStyle w:val="Normal"/>
              <w:widowControl w:val="false"/>
              <w:numPr>
                <w:ilvl w:val="0"/>
                <w:numId w:val="12"/>
              </w:numPr>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R$ 1.393,00</w:t>
            </w:r>
          </w:p>
        </w:tc>
        <w:tc>
          <w:tcPr>
            <w:tcW w:w="202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R$ 55.720,00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29</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450272</w:t>
            </w:r>
          </w:p>
        </w:tc>
        <w:tc>
          <w:tcPr>
            <w:tcW w:w="1244"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pPr>
            <w:r>
              <w:rPr>
                <w:rFonts w:eastAsia="Calibri" w:cs="Arial" w:ascii="Arial" w:hAnsi="Arial"/>
                <w:b/>
                <w:bCs/>
                <w:color w:val="000000"/>
                <w:sz w:val="20"/>
                <w:szCs w:val="20"/>
                <w:shd w:fill="FFFFFE" w:val="clear"/>
              </w:rPr>
              <w:t xml:space="preserve">50 </w:t>
            </w:r>
            <w:r>
              <w:rPr>
                <w:rFonts w:eastAsia="Calibri" w:cs="Arial" w:ascii="Arial" w:hAnsi="Arial"/>
                <w:b/>
                <w:bCs/>
                <w:color w:val="000000"/>
                <w:sz w:val="18"/>
                <w:szCs w:val="18"/>
                <w:shd w:fill="FFFFFE" w:val="clear"/>
              </w:rPr>
              <w:t>EMBAL.</w:t>
            </w:r>
          </w:p>
        </w:tc>
        <w:tc>
          <w:tcPr>
            <w:tcW w:w="3969"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BOLA DE TÊNIS DE MESA COM NO MÍNIMO TRÊS ESTRELAS, MATERIAL ABS; DIÂMETRO 40 MM. COR LARANJA. EMBALAGEM (DE FÁBRICA) COM 6 UNIDADES. TIPO VOLLO, PISTA E CAMPO OU SUPERIOR. EM CASO DE DIVERGÊNCIA COM O CÓDIGO CATMAT, SERÁ LEVADO EM CONTA A DESCRIÇÃO DO PRODUTO NO EDITAL.</w:t>
            </w:r>
          </w:p>
          <w:p>
            <w:pPr>
              <w:pStyle w:val="Normal"/>
              <w:widowControl w:val="false"/>
              <w:numPr>
                <w:ilvl w:val="0"/>
                <w:numId w:val="12"/>
              </w:numPr>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R$ 26,02</w:t>
            </w:r>
          </w:p>
        </w:tc>
        <w:tc>
          <w:tcPr>
            <w:tcW w:w="202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R$ 1.301,00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30</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288785</w:t>
            </w:r>
          </w:p>
        </w:tc>
        <w:tc>
          <w:tcPr>
            <w:tcW w:w="1244"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140 UN</w:t>
            </w:r>
          </w:p>
        </w:tc>
        <w:tc>
          <w:tcPr>
            <w:tcW w:w="3969"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RAQUETE ESPORTIVA, MATERIAL CORPO: MADEIRA, REVESTIMENTO CORPO: BORRACHA, TAMANHO:ÚNICO, COR: PRETA, APLICAÇÃO: TÊNIS DE MESA, CARACTERÍSTICAS ADICIONAIS:2 LADOS REVESTIDOS DE BORRACHA, SENDO UMA VERMELHA E A OUTRA PRETA, SEGUINDO AS REGRAS DA FEDERAÇÃO INTERNACIONAL DE TÊNIS DE MESA (ITTF), SEU CABO CLÁSSICO POSSIBILITA QUE O JOGADOR SEGURE A RAQUETE PELO CABO COM O INDICADOR SOBRE AS BORRACHAS</w:t>
            </w:r>
          </w:p>
          <w:p>
            <w:pPr>
              <w:pStyle w:val="Normal"/>
              <w:widowControl w:val="false"/>
              <w:numPr>
                <w:ilvl w:val="0"/>
                <w:numId w:val="12"/>
              </w:numPr>
              <w:spacing w:lineRule="auto" w:line="360"/>
              <w:jc w:val="both"/>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R$ 34,75</w:t>
            </w:r>
          </w:p>
        </w:tc>
        <w:tc>
          <w:tcPr>
            <w:tcW w:w="202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R$ 4.865,00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31</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350636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 JOGOS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bCs/>
                <w:color w:val="000000"/>
                <w:sz w:val="19"/>
                <w:szCs w:val="20"/>
              </w:rPr>
            </w:pPr>
            <w:r>
              <w:rPr>
                <w:rFonts w:eastAsia="Calibri" w:cs="Arial" w:ascii="Arial" w:hAnsi="Arial"/>
                <w:b/>
                <w:bCs/>
                <w:color w:val="000000"/>
                <w:sz w:val="19"/>
                <w:szCs w:val="20"/>
              </w:rPr>
              <w:t>JOGO DE FITA MARCAÇÃO ESPORTIVA, MATERIAL: NÁILON, LARGURA: 8 CM, APLICAÇÃO: VÔLEI DE PRAIA COM ILHÓS E ACOMPANHA FIXADORES EM AÇO ZINCADO. NAS EXTREMIDADES PONTAS DE CADA FITA POSSUI ILHÓS EM ALUMÍNIO PRA PASSAR O FIXADORES. CADA JOGO DEVE CONTER 06 FAIXAS DE 8M DE METROS, 06 PRESILHAS DE FIXAÇÃO (FIXADORES).</w:t>
            </w:r>
          </w:p>
          <w:p>
            <w:pPr>
              <w:pStyle w:val="Normal"/>
              <w:widowControl w:val="false"/>
              <w:numPr>
                <w:ilvl w:val="0"/>
                <w:numId w:val="12"/>
              </w:numPr>
              <w:rPr>
                <w:rFonts w:ascii="Arial" w:hAnsi="Arial" w:eastAsia="Calibri" w:cs="Arial"/>
                <w:b/>
                <w:bCs/>
                <w:color w:val="000000"/>
                <w:sz w:val="20"/>
                <w:szCs w:val="20"/>
              </w:rPr>
            </w:pPr>
            <w:r>
              <w:rPr>
                <w:rFonts w:eastAsia="Calibri" w:cs="Arial" w:ascii="Arial" w:hAnsi="Arial"/>
                <w:b/>
                <w:bCs/>
                <w:color w:val="000000"/>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R$ 129,24</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R$ 1.292,40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32</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433198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03 JOGOS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pPr>
            <w:r>
              <w:rPr>
                <w:rFonts w:eastAsia="Calibri" w:cs="Arial" w:ascii="Arial" w:hAnsi="Arial"/>
                <w:b/>
                <w:bCs/>
                <w:color w:val="000000"/>
                <w:sz w:val="19"/>
                <w:szCs w:val="20"/>
              </w:rPr>
              <w:t>JOGO DE FITA MARCA</w:t>
            </w:r>
            <w:r>
              <w:rPr>
                <w:rFonts w:cs="Arial" w:ascii="Arial" w:hAnsi="Arial"/>
                <w:b/>
                <w:bCs/>
                <w:sz w:val="19"/>
              </w:rPr>
              <w:t>ÇÃO ESPORTIVA, MATERIAL: PVC, COMPRIMENTO:160 M (DIVIDIDO EM QUATRO PARTES, DE ACORDO COM MEDIDAS PARA QUADRA OFICIAL DE FUTEBOL DE AREIA), LARGURA:6 CM, APLICAÇÃO: FUTEBOL DE AREIA, COM ILHÓS E ACOMPANHA FIXADORES EM AÇO ZINCADO, CARACTERÍSTICAS ADICIONAIS:4 SUPORTES METÁLICOS PARA FIXAÇÃO. EM CASO DE DIVERGÊNCIA COM O CÓDIGO CATMAT, SERÁ LEVADO EM CONTA A DESCRIÇÃO DO PRODUTO NO EDITAL.</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cs="Arial"/>
                <w:b/>
                <w:bCs/>
              </w:rPr>
            </w:pPr>
            <w:r>
              <w:rPr>
                <w:rFonts w:cs="Arial" w:ascii="Arial" w:hAnsi="Arial"/>
                <w:b/>
                <w:bCs/>
              </w:rPr>
            </w:r>
          </w:p>
          <w:p>
            <w:pPr>
              <w:pStyle w:val="Normal"/>
              <w:widowControl w:val="false"/>
              <w:numPr>
                <w:ilvl w:val="0"/>
                <w:numId w:val="12"/>
              </w:numPr>
              <w:jc w:val="center"/>
              <w:rPr>
                <w:rFonts w:ascii="Arial" w:hAnsi="Arial" w:cs="Arial"/>
                <w:b/>
                <w:bCs/>
              </w:rPr>
            </w:pPr>
            <w:r>
              <w:rPr>
                <w:rFonts w:cs="Arial" w:ascii="Arial" w:hAnsi="Arial"/>
                <w:b/>
                <w:bCs/>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R$ 181,52</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pPr>
            <w:r>
              <w:rPr/>
            </w:r>
          </w:p>
          <w:p>
            <w:pPr>
              <w:pStyle w:val="Normal"/>
              <w:widowControl w:val="false"/>
              <w:numPr>
                <w:ilvl w:val="0"/>
                <w:numId w:val="12"/>
              </w:numPr>
              <w:jc w:val="center"/>
              <w:rPr/>
            </w:pPr>
            <w:r>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R$ 544,56</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33</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444228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rFonts w:ascii="Arial" w:hAnsi="Arial" w:cs="Arial"/>
                <w:b/>
                <w:bCs/>
                <w:sz w:val="19"/>
              </w:rPr>
            </w:pPr>
            <w:r>
              <w:rPr>
                <w:rFonts w:cs="Arial" w:ascii="Arial" w:hAnsi="Arial"/>
                <w:b/>
                <w:bCs/>
                <w:sz w:val="19"/>
              </w:rPr>
              <w:t>CONE, MATERIAL: PVC FLEXÍVEL, ALTURA:4 CM, APLICAÇÃO: ATIVIDADE FÍSICA, CARACTERÍSTICAS ADICIONAIS: MINI CONE, CHAPÉU CHINÊS, DEMARCATÓRIO, VERMELHA</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R$ 7,30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R$ 2.190,00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34</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444230</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rFonts w:ascii="Arial" w:hAnsi="Arial" w:cs="Arial"/>
                <w:b/>
                <w:bCs/>
                <w:sz w:val="19"/>
              </w:rPr>
            </w:pPr>
            <w:r>
              <w:rPr>
                <w:rFonts w:cs="Arial" w:ascii="Arial" w:hAnsi="Arial"/>
                <w:b/>
                <w:bCs/>
                <w:sz w:val="19"/>
              </w:rPr>
              <w:t>CONE, MATERIAL: PVC FLEXÍVEL, ALTURA:4 CM, APLICAÇÃO: ATIVIDADE FÍSICA, CARACTERÍSTICAS ADICIONAIS: MINI CONE, CHAPÉU CHINÊS, DEMARCATÓRIO, AZUL.</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R$ 7,30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R$ 2.190,00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35</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444229</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rFonts w:ascii="Arial" w:hAnsi="Arial" w:cs="Arial"/>
                <w:b/>
                <w:bCs/>
                <w:sz w:val="19"/>
              </w:rPr>
            </w:pPr>
            <w:r>
              <w:rPr>
                <w:rFonts w:cs="Arial" w:ascii="Arial" w:hAnsi="Arial"/>
                <w:b/>
                <w:bCs/>
                <w:sz w:val="19"/>
              </w:rPr>
              <w:t>CONE, MATERIAL: PVC FLEXÍVEL, ALTURA:4 CM, APLICAÇÃO: ATIVIDADE FÍSICA, CARACTERÍSTICAS ADICIONAIS: MINI CONE, CHAPÉU CHINÊS, DEMARCATÓRIO, AMARELA.</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cs="Arial"/>
                <w:b/>
                <w:bCs/>
              </w:rPr>
            </w:pPr>
            <w:r>
              <w:rPr>
                <w:rFonts w:cs="Arial" w:ascii="Arial" w:hAnsi="Arial"/>
                <w:b/>
                <w:bCs/>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R$ 7,30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pPr>
            <w:r>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R$ 2.190,00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36</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471372</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300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rFonts w:ascii="Arial" w:hAnsi="Arial" w:cs="Arial"/>
                <w:b/>
                <w:bCs/>
                <w:sz w:val="19"/>
              </w:rPr>
            </w:pPr>
            <w:r>
              <w:rPr>
                <w:rFonts w:cs="Arial" w:ascii="Arial" w:hAnsi="Arial"/>
                <w:b/>
                <w:bCs/>
                <w:sz w:val="19"/>
              </w:rPr>
              <w:t>CONE, MATERIAL: PLÁSTICO FLEXÍVEL, ALTURA:23 CM, APLICAÇÃO: ATIVIDADE FÍSICA, CARACTERÍSTICAS ADICIONAIS: BASE 13 X 13 (CORES A ESCOLHER)</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R$ 9,57</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R$ 2.871,00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37</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04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pPr>
            <w:r>
              <w:rPr>
                <w:rFonts w:eastAsia="Calibri" w:cs="Arial" w:ascii="Arial" w:hAnsi="Arial"/>
                <w:b/>
                <w:bCs/>
                <w:color w:val="000000"/>
                <w:sz w:val="19"/>
                <w:szCs w:val="20"/>
              </w:rPr>
              <w:t>TABELA DE BASQUETE M</w:t>
            </w:r>
            <w:r>
              <w:rPr>
                <w:rFonts w:cs="Arial" w:ascii="Arial" w:hAnsi="Arial"/>
                <w:b/>
                <w:bCs/>
                <w:sz w:val="19"/>
              </w:rPr>
              <w:t>ÓVEL: MECANISMO DE AJUSTE (similar ao modelo padrão, mas com ajuste de altura  por alavanca e molas) DA ALTURA DO POSTE DE AJUSTE ENTRE 1,90 METROS A 3,05 METROS, BASE COM ESPAÇO PAR INCLUSÃO DE AREIA OU ÁGUA PARA MAIOR ESTABILIDADE, ARO OFICIAL STANDART, DIÂMETRO DO POSTE EM AÇO-CARBONO E NO MÍNIMO 7,62CM RODA NA BASE. CERTIFICADA PELO INMETRO. TIPO PISTA E CAMPO OU SUPERIOR.</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3.499,90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cs="Arial"/>
                <w:b/>
                <w:bCs/>
                <w:sz w:val="20"/>
                <w:szCs w:val="20"/>
              </w:rPr>
            </w:pPr>
            <w:r>
              <w:rPr>
                <w:rFonts w:cs="Arial" w:ascii="Arial" w:hAnsi="Arial"/>
                <w:b/>
                <w:bCs/>
                <w:sz w:val="20"/>
                <w:szCs w:val="20"/>
              </w:rPr>
            </w:r>
          </w:p>
          <w:p>
            <w:pPr>
              <w:pStyle w:val="Normal"/>
              <w:widowControl w:val="false"/>
              <w:numPr>
                <w:ilvl w:val="0"/>
                <w:numId w:val="12"/>
              </w:numPr>
              <w:jc w:val="center"/>
              <w:rPr/>
            </w:pPr>
            <w:r>
              <w:rPr>
                <w:rFonts w:eastAsia="Calibri" w:cs="Arial" w:ascii="Arial" w:hAnsi="Arial"/>
                <w:b/>
                <w:bCs/>
                <w:color w:val="000000"/>
                <w:sz w:val="20"/>
                <w:szCs w:val="20"/>
              </w:rPr>
              <w:t xml:space="preserve">R$   </w:t>
            </w:r>
            <w:r>
              <w:rPr>
                <w:rFonts w:cs="Arial" w:ascii="Arial" w:hAnsi="Arial"/>
                <w:b/>
                <w:bCs/>
                <w:sz w:val="20"/>
                <w:szCs w:val="20"/>
              </w:rPr>
              <w:t>13.999,60</w:t>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38</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251593</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04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pPr>
            <w:r>
              <w:rPr>
                <w:rFonts w:eastAsia="Calibri" w:cs="Arial" w:ascii="Arial" w:hAnsi="Arial"/>
                <w:b/>
                <w:bCs/>
                <w:color w:val="000000"/>
                <w:sz w:val="19"/>
                <w:szCs w:val="20"/>
              </w:rPr>
              <w:t xml:space="preserve">POSTE PARA VOLEIBOL: POSTE PARA REDE DE VOLEIBOL, MATERIAL: </w:t>
            </w:r>
            <w:r>
              <w:rPr>
                <w:rFonts w:cs="Arial" w:ascii="Arial" w:hAnsi="Arial"/>
                <w:b/>
                <w:bCs/>
                <w:sz w:val="19"/>
              </w:rPr>
              <w:t>FERRO GALVANIZADO, TAMANHO: OFICIAL, CARACTERÍSTICAS ADICIONAIS: COM GUINCHO, ROLDANA E REGULAGEM DE ALTURA (ALÉM DOS GANCHOS PARA PRENDER CORDA/CABOS).</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R$ 1.112,40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R$ 4.449,60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39</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304848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pPr>
            <w:r>
              <w:rPr>
                <w:rFonts w:eastAsia="Calibri" w:cs="Arial" w:ascii="Arial" w:hAnsi="Arial"/>
                <w:b/>
                <w:bCs/>
                <w:color w:val="000000"/>
                <w:sz w:val="19"/>
                <w:szCs w:val="20"/>
              </w:rPr>
              <w:t xml:space="preserve">ANTENA REDE VOLEIBOL, MATERIAL: FIBRA DE VIDRO, TAMANHO: OFICIAL, </w:t>
            </w:r>
            <w:r>
              <w:rPr>
                <w:rFonts w:cs="Arial" w:ascii="Arial" w:hAnsi="Arial"/>
                <w:b/>
                <w:bCs/>
                <w:sz w:val="19"/>
              </w:rPr>
              <w:t>COR: VERMELHA E BRANCA</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R$ 114,00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R$ 1.140,00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40</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450366</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10 PARES</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rFonts w:ascii="Arial" w:hAnsi="Arial" w:cs="Arial"/>
                <w:b/>
                <w:bCs/>
                <w:sz w:val="19"/>
              </w:rPr>
            </w:pPr>
            <w:r>
              <w:rPr>
                <w:rFonts w:cs="Arial" w:ascii="Arial" w:hAnsi="Arial"/>
                <w:b/>
                <w:bCs/>
                <w:sz w:val="19"/>
              </w:rPr>
              <w:t>EQUIPAMENTO / ACESSÓRIOS DESPORTO, MATERIAL: ALGODÃO, TIPO: SUPORTE PARA ANTENA DE VÔLEI, USO: FIXAÇÃO DAS ANTENAS DA REDE, CARACTERÍSTICAS ADICIONAIS:1 METRO DE ALTURA POR 5 CENTÍMETROS DE COMPRIMENTO</w:t>
            </w:r>
          </w:p>
          <w:p>
            <w:pPr>
              <w:pStyle w:val="Normal"/>
              <w:widowControl w:val="false"/>
              <w:numPr>
                <w:ilvl w:val="0"/>
                <w:numId w:val="12"/>
              </w:numPr>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R$ 27,00</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R$ 270,00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41</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480265</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60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pPr>
            <w:r>
              <w:rPr>
                <w:rFonts w:eastAsia="Calibri" w:cs="Arial" w:ascii="Arial" w:hAnsi="Arial"/>
                <w:b/>
                <w:bCs/>
                <w:color w:val="000000"/>
                <w:sz w:val="19"/>
                <w:szCs w:val="20"/>
              </w:rPr>
              <w:t>BOMBA DE AR COM DUPLA A</w:t>
            </w:r>
            <w:r>
              <w:rPr>
                <w:rFonts w:cs="Arial" w:ascii="Arial" w:hAnsi="Arial"/>
                <w:b/>
                <w:bCs/>
                <w:sz w:val="19"/>
              </w:rPr>
              <w:t>ÇÃO (funciona tanto empurrando o ar como puxando) DE INFLAR BOLA. CORPO EM PLÁSTICO RÍGIDO (ACRÍLICO), COM MANGUEIRA (PROLONGADOR), DUAS AGULHAS. TIPO PENALTY, VOLLO OU SUPERIOR.</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R$ 39,90</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R$ 2.394,00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42</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450328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20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pacing w:before="0" w:after="240"/>
              <w:rPr>
                <w:rFonts w:ascii="Arial" w:hAnsi="Arial" w:eastAsia="Calibri" w:cs="Arial"/>
                <w:b/>
                <w:bCs/>
                <w:color w:val="000000"/>
                <w:sz w:val="19"/>
                <w:szCs w:val="20"/>
              </w:rPr>
            </w:pPr>
            <w:r>
              <w:rPr>
                <w:rFonts w:eastAsia="Calibri" w:cs="Arial" w:ascii="Arial" w:hAnsi="Arial"/>
                <w:b/>
                <w:bCs/>
                <w:color w:val="000000"/>
                <w:sz w:val="19"/>
                <w:szCs w:val="20"/>
              </w:rPr>
              <w:t>EQUIPAMENTO / ACESSÓRIOS DESPORTO, TIPO: CALIBRADOR DE BOLAS, USO: REGULAGEM DE PRESSÃO DE AR, CARACTERÍSTICAS ADICIONAIS: SISTEMA DIGITAL COM DUAS AGULHAS</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R$ 106,87</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R$ 2.137,40</w:t>
            </w:r>
          </w:p>
        </w:tc>
      </w:tr>
      <w:tr>
        <w:trPr/>
        <w:tc>
          <w:tcPr>
            <w:tcW w:w="67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43</w:t>
            </w:r>
          </w:p>
        </w:tc>
        <w:tc>
          <w:tcPr>
            <w:tcW w:w="102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480258</w:t>
            </w:r>
          </w:p>
        </w:tc>
        <w:tc>
          <w:tcPr>
            <w:tcW w:w="12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16 UN</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cs="Arial"/>
                <w:b/>
                <w:bCs/>
                <w:sz w:val="19"/>
              </w:rPr>
            </w:pPr>
            <w:r>
              <w:rPr>
                <w:rFonts w:cs="Arial" w:ascii="Arial" w:hAnsi="Arial"/>
                <w:b/>
                <w:bCs/>
                <w:sz w:val="19"/>
              </w:rPr>
              <w:t>PLACAR POLIESPORTIVO PORTÁTIL DE MESA. MATERIAL: PVC RÍGIDO, TIPO: MANUAL, CARACTERÍSTICAS ADICIONAIS: PLAQUETAS EM PVC RÍGIDO DE MESA COM MEDIDAS APROXIMADAS (ABERTO) DE: ALTURA: 21 CM LARGURA: 20 CM COMPRIMENTO: 38 CM, COM MARCAÇÃO DE ATÉ 31 PONTOS/GOLS E 7 SETS/FALTAS. OS NÚMEROS DEVEM SER GRANDES E FÁCEIS DE LER. BASTA VIRAR OS NÚMEROS PARA CIMA PARA ATUALIZAR A PONTUAÇÃO/GOLS INSTANTANEAMENTE. A PLACA PARA PONTOS/GOLS DEVE CONTER DOIS NÚMEROS NA MESMA PLACA. TIPO: VOLLO, LORBEN, DALEBOL OU SUPERIOR.</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R$ 122,12</w:t>
            </w:r>
          </w:p>
        </w:tc>
        <w:tc>
          <w:tcPr>
            <w:tcW w:w="20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R$ 1.953,92</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44</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303808</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600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rFonts w:ascii="Arial" w:hAnsi="Arial" w:cs="Arial"/>
                <w:b/>
                <w:bCs/>
                <w:sz w:val="19"/>
              </w:rPr>
            </w:pPr>
            <w:r>
              <w:rPr>
                <w:rFonts w:cs="Arial" w:ascii="Arial" w:hAnsi="Arial"/>
                <w:b/>
                <w:bCs/>
                <w:sz w:val="19"/>
              </w:rPr>
              <w:t>COLETE TIPO JALECO REGATA, CONFECCIONADO EM POLIÉSTER LISO, COM VIÉS, EM TAMANHOS “M” E “G”, OPÇÃO MÍNIMA EM 3 CORES. (COR E TAMANHO A ESCOLHER).</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R$ 23,62</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R$ 14.172,00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450364</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200 UN</w:t>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bCs/>
              </w:rPr>
            </w:pPr>
            <w:r>
              <w:rPr>
                <w:rFonts w:cs="Arial" w:ascii="Arial" w:hAnsi="Arial"/>
                <w:b/>
                <w:bCs/>
              </w:rPr>
            </w:r>
          </w:p>
          <w:p>
            <w:pPr>
              <w:pStyle w:val="Normal"/>
              <w:widowControl w:val="false"/>
              <w:numPr>
                <w:ilvl w:val="0"/>
                <w:numId w:val="12"/>
              </w:numPr>
              <w:rPr>
                <w:rFonts w:ascii="Arial" w:hAnsi="Arial" w:cs="Arial"/>
                <w:b/>
                <w:bCs/>
                <w:sz w:val="19"/>
              </w:rPr>
            </w:pPr>
            <w:r>
              <w:rPr>
                <w:rFonts w:cs="Arial" w:ascii="Arial" w:hAnsi="Arial"/>
                <w:b/>
                <w:bCs/>
                <w:sz w:val="19"/>
              </w:rPr>
              <w:t>JOGO XADREZ, MATERIAL: PLÁSTICO, FORMATO: QUADRADO, APLICAÇÃO: LAZER E ENTRETENIMENTO, CARACTERÍSTICAS ADICIONAIS: TABULEIRO EM COURO SINTÉTICO COM DIMENSÕES MÍNIMAS DE 50 X 50 CM, COM PEÇAS GRANDES. BRANCAS E PRETAS, EMBALAGEM PARA ACONDICIONAR O JOGO. EM CASO DE DIVERGÊNCIA COM O CÓDIGO CATMAT, SERÁ LEVADO EM CONTA A DESCRIÇÃO DO PRODUTO NO EDITAL.</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R$ 52,18</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R$ 10.436,00</w:t>
            </w:r>
          </w:p>
        </w:tc>
      </w:tr>
      <w:tr>
        <w:trPr/>
        <w:tc>
          <w:tcPr>
            <w:tcW w:w="675"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46</w:t>
            </w:r>
          </w:p>
        </w:tc>
        <w:tc>
          <w:tcPr>
            <w:tcW w:w="1023"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bCs/>
                <w:color w:val="000000"/>
                <w:sz w:val="20"/>
                <w:szCs w:val="20"/>
                <w:shd w:fill="FFFFFE" w:val="clear"/>
              </w:rPr>
            </w:pPr>
            <w:r>
              <w:rPr>
                <w:rFonts w:eastAsia="Calibri" w:cs="Arial" w:ascii="Arial" w:hAnsi="Arial"/>
                <w:b/>
                <w:bCs/>
                <w:color w:val="000000"/>
                <w:sz w:val="20"/>
                <w:szCs w:val="20"/>
                <w:shd w:fill="FFFFFE" w:val="clear"/>
              </w:rPr>
              <w:t>604821</w:t>
            </w:r>
          </w:p>
        </w:tc>
        <w:tc>
          <w:tcPr>
            <w:tcW w:w="1244"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19"/>
                <w:szCs w:val="20"/>
              </w:rPr>
            </w:pPr>
            <w:r>
              <w:rPr>
                <w:rFonts w:eastAsia="Calibri" w:cs="Arial" w:ascii="Arial" w:hAnsi="Arial"/>
                <w:b/>
                <w:bCs/>
                <w:color w:val="000000"/>
                <w:sz w:val="19"/>
                <w:szCs w:val="20"/>
              </w:rPr>
              <w:t>10 JOGOS (CONJUNTOS) DE 12 BOLAS + BALIN</w:t>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tc>
        <w:tc>
          <w:tcPr>
            <w:tcW w:w="3969"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rPr>
                <w:rFonts w:ascii="Arial" w:hAnsi="Arial" w:cs="Arial"/>
                <w:b/>
                <w:bCs/>
                <w:sz w:val="19"/>
              </w:rPr>
            </w:pPr>
            <w:r>
              <w:rPr>
                <w:rFonts w:cs="Arial" w:ascii="Arial" w:hAnsi="Arial"/>
                <w:b/>
                <w:bCs/>
                <w:sz w:val="19"/>
              </w:rPr>
              <w:t>JOGO DE 12 BOCHAS, DIVERSAS CORES (A SER ESCOLHIDO NO EMPENHO) COM BALIM, EM MATERIAL SINTÉTICO DE ALTA RESISTÊNCIA, DIÂMETRO 116MM, PESO APROXIMADO: 1,180GR E BALIM 40MM. TIPO: FAISCA, CARLITO OU SUPERIOR.</w:t>
            </w:r>
          </w:p>
          <w:p>
            <w:pPr>
              <w:pStyle w:val="Normal"/>
              <w:widowControl w:val="false"/>
              <w:numPr>
                <w:ilvl w:val="0"/>
                <w:numId w:val="12"/>
              </w:numPr>
              <w:jc w:val="both"/>
              <w:rPr>
                <w:rFonts w:ascii="Arial" w:hAnsi="Arial" w:cs="Arial"/>
                <w:b/>
                <w:bCs/>
              </w:rPr>
            </w:pPr>
            <w:r>
              <w:rPr>
                <w:rFonts w:cs="Arial" w:ascii="Arial" w:hAnsi="Arial"/>
                <w:b/>
                <w:bCs/>
              </w:rPr>
            </w:r>
          </w:p>
        </w:tc>
        <w:tc>
          <w:tcPr>
            <w:tcW w:w="170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R$ 1.173,00</w:t>
            </w:r>
          </w:p>
        </w:tc>
        <w:tc>
          <w:tcPr>
            <w:tcW w:w="2025"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r>
          </w:p>
          <w:p>
            <w:pPr>
              <w:pStyle w:val="Normal"/>
              <w:widowControl w:val="false"/>
              <w:numPr>
                <w:ilvl w:val="0"/>
                <w:numId w:val="12"/>
              </w:numPr>
              <w:jc w:val="center"/>
              <w:rPr>
                <w:rFonts w:ascii="Arial" w:hAnsi="Arial" w:eastAsia="Calibri" w:cs="Arial"/>
                <w:b/>
                <w:bCs/>
                <w:color w:val="000000"/>
                <w:sz w:val="20"/>
                <w:szCs w:val="20"/>
              </w:rPr>
            </w:pPr>
            <w:r>
              <w:rPr>
                <w:rFonts w:eastAsia="Calibri" w:cs="Arial" w:ascii="Arial" w:hAnsi="Arial"/>
                <w:b/>
                <w:bCs/>
                <w:color w:val="000000"/>
                <w:sz w:val="20"/>
                <w:szCs w:val="20"/>
              </w:rPr>
              <w:t>R$ 11.730,00</w:t>
            </w:r>
          </w:p>
        </w:tc>
      </w:tr>
    </w:tbl>
    <w:p>
      <w:pPr>
        <w:pStyle w:val="Normal"/>
        <w:numPr>
          <w:ilvl w:val="0"/>
          <w:numId w:val="12"/>
        </w:numPr>
        <w:spacing w:lineRule="auto" w:line="276"/>
        <w:jc w:val="both"/>
        <w:rPr>
          <w:rFonts w:ascii="Calibri" w:hAnsi="Calibri" w:cs="Calibri"/>
          <w:b/>
          <w:sz w:val="22"/>
          <w:szCs w:val="22"/>
        </w:rPr>
      </w:pPr>
      <w:r>
        <w:rPr>
          <w:rFonts w:cs="Calibri" w:ascii="Calibri" w:hAnsi="Calibri"/>
          <w:b/>
          <w:sz w:val="22"/>
          <w:szCs w:val="22"/>
        </w:rPr>
      </w:r>
    </w:p>
    <w:p>
      <w:pPr>
        <w:pStyle w:val="Default"/>
        <w:numPr>
          <w:ilvl w:val="0"/>
          <w:numId w:val="12"/>
        </w:numPr>
        <w:spacing w:lineRule="auto" w:line="276"/>
        <w:jc w:val="both"/>
        <w:rPr/>
      </w:pPr>
      <w:r>
        <w:rPr>
          <w:rFonts w:cs="Calibri" w:ascii="Calibri" w:hAnsi="Calibri"/>
          <w:b/>
          <w:sz w:val="22"/>
          <w:szCs w:val="22"/>
        </w:rPr>
        <w:tab/>
      </w:r>
      <w:r>
        <w:rPr>
          <w:rFonts w:cs="Calibri" w:ascii="Calibri" w:hAnsi="Calibri"/>
          <w:b/>
          <w:color w:val="000000"/>
          <w:sz w:val="22"/>
          <w:szCs w:val="22"/>
        </w:rPr>
        <w:t>2. FUNDAMENTAÇÃO DA CONTRATAÇÃO</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A fundamentação da contratação justifica-se essa pela demanda contínua além de garantir a reposição, atualização dos recursos utilizados no ambiente escolar, promovendo condições adequadas para o desenvolvimento pedagógico, a segurança dos estudantes e a eficiência das atividades de ensino, através da aquisição de materiais para competições esportivas educacionais (JERGS) e amadoras (Campeonatos Municipais de Futebol, Futsal, Bocha, Voleibol, dentre outros). A presente aquisição está prevista no Plano de Contratações Anual. A aquisição desse está pormenorizado no Estudo Técnico Preliminar (ETP).</w:t>
      </w:r>
    </w:p>
    <w:p>
      <w:pPr>
        <w:pStyle w:val="Default"/>
        <w:numPr>
          <w:ilvl w:val="0"/>
          <w:numId w:val="12"/>
        </w:numPr>
        <w:spacing w:lineRule="auto" w:line="276"/>
        <w:jc w:val="both"/>
        <w:rPr>
          <w:rFonts w:ascii="Calibri" w:hAnsi="Calibri" w:cs="Calibri"/>
          <w:color w:val="C9211E"/>
          <w:sz w:val="22"/>
          <w:szCs w:val="22"/>
        </w:rPr>
      </w:pPr>
      <w:r>
        <w:rPr>
          <w:rFonts w:cs="Calibri" w:ascii="Calibri" w:hAnsi="Calibri"/>
          <w:color w:val="C9211E"/>
          <w:sz w:val="22"/>
          <w:szCs w:val="22"/>
        </w:rPr>
      </w:r>
    </w:p>
    <w:p>
      <w:pPr>
        <w:pStyle w:val="Default"/>
        <w:numPr>
          <w:ilvl w:val="0"/>
          <w:numId w:val="12"/>
        </w:numPr>
        <w:spacing w:lineRule="auto" w:line="276"/>
        <w:jc w:val="both"/>
        <w:rPr/>
      </w:pPr>
      <w:r>
        <w:rPr>
          <w:rFonts w:cs="Calibri" w:ascii="Calibri" w:hAnsi="Calibri"/>
          <w:b/>
          <w:color w:val="C9211E"/>
          <w:sz w:val="22"/>
          <w:szCs w:val="22"/>
        </w:rPr>
        <w:tab/>
      </w:r>
      <w:r>
        <w:rPr>
          <w:rFonts w:cs="Calibri" w:ascii="Calibri" w:hAnsi="Calibri"/>
          <w:b/>
          <w:color w:val="000000"/>
          <w:sz w:val="22"/>
          <w:szCs w:val="22"/>
        </w:rPr>
        <w:t>3. DESCRIÇÃO DA SOLUÇÃO COMO UM TODO</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Pretende-se com a contratação uma maior efetividade nas atividades diárias das EMEIS, EMEFS e Secretaria Municipal de Cultura Turismo Esporte e Lazer, em especial fazer a troca dos materiais e equipamentos uma vez que possuem tempo de vida útil e em alguns casos já há ausência de alguns materiais o que dificulta a atuação dos servidores e suas atividades diárias.</w:t>
      </w:r>
    </w:p>
    <w:p>
      <w:pPr>
        <w:pStyle w:val="Default"/>
        <w:numPr>
          <w:ilvl w:val="0"/>
          <w:numId w:val="12"/>
        </w:numPr>
        <w:spacing w:lineRule="auto" w:line="276"/>
        <w:jc w:val="both"/>
        <w:rPr>
          <w:rFonts w:ascii="Calibri" w:hAnsi="Calibri" w:cs="Calibri"/>
          <w:b/>
          <w:color w:val="C9211E"/>
          <w:sz w:val="22"/>
          <w:szCs w:val="22"/>
        </w:rPr>
      </w:pPr>
      <w:r>
        <w:rPr>
          <w:rFonts w:cs="Calibri" w:ascii="Calibri" w:hAnsi="Calibri"/>
          <w:b/>
          <w:color w:val="C9211E"/>
          <w:sz w:val="22"/>
          <w:szCs w:val="22"/>
        </w:rPr>
      </w:r>
    </w:p>
    <w:p>
      <w:pPr>
        <w:pStyle w:val="Default"/>
        <w:numPr>
          <w:ilvl w:val="0"/>
          <w:numId w:val="12"/>
        </w:numPr>
        <w:spacing w:lineRule="auto" w:line="276"/>
        <w:jc w:val="both"/>
        <w:rPr/>
      </w:pPr>
      <w:r>
        <w:rPr>
          <w:rFonts w:cs="Calibri" w:ascii="Calibri" w:hAnsi="Calibri"/>
          <w:b/>
          <w:color w:val="C9211E"/>
          <w:sz w:val="22"/>
          <w:szCs w:val="22"/>
        </w:rPr>
        <w:tab/>
      </w:r>
      <w:r>
        <w:rPr>
          <w:rFonts w:cs="Calibri" w:ascii="Calibri" w:hAnsi="Calibri"/>
          <w:b/>
          <w:color w:val="000000"/>
          <w:sz w:val="22"/>
          <w:szCs w:val="22"/>
        </w:rPr>
        <w:t>4. REQUISITOS DA CONTRATAÇÃO</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As aquisições de Materiais: educativos e esportivos, têm natureza de bens comuns, tendo em vista que seus padrões de desempenho e qualidade podem ser objetivamente definidos pelo edital, por meio de especificações usuais de mercado, nos termos do art. 6º, inciso XIII, da Lei Federal nº 14.133/2021.</w:t>
      </w:r>
    </w:p>
    <w:p>
      <w:pPr>
        <w:pStyle w:val="Default"/>
        <w:numPr>
          <w:ilvl w:val="0"/>
          <w:numId w:val="12"/>
        </w:numPr>
        <w:spacing w:lineRule="auto" w:line="276"/>
        <w:jc w:val="both"/>
        <w:rPr/>
      </w:pPr>
      <w:r>
        <w:rPr>
          <w:rFonts w:cs="Calibri" w:ascii="Calibri" w:hAnsi="Calibri"/>
          <w:color w:val="000000"/>
          <w:sz w:val="22"/>
          <w:szCs w:val="22"/>
        </w:rPr>
        <w:tab/>
        <w:t>A contratação será realizada por meio de licitação, na modalidade Pregão, na sua forma eletrônica, com critério de julgamento por menor preço unitário, nos termos dos artigos 6º, inciso XLI, 17, § 2º, e 34, todos da Lei Federal nº 14.133/2021. É vedada a subcontratação ou transferência total ou parcial dos objetos a serem licitados.</w:t>
        <w:tab/>
        <w:t xml:space="preserve">O Instrumento utilizado para contratação será Ata de Registro de Preços, podendo ser Renovada por igual período caso haja interesse da Contratante. Será adotada a exclusividade para ME e EPP, conforme LC 123/2006. </w:t>
      </w:r>
      <w:r>
        <w:rPr>
          <w:rFonts w:eastAsia="Calibri" w:cs="Calibri" w:ascii="Calibri" w:hAnsi="Calibri"/>
          <w:b w:val="false"/>
          <w:bCs w:val="false"/>
          <w:color w:val="auto"/>
          <w:sz w:val="22"/>
          <w:szCs w:val="22"/>
          <w:lang w:eastAsia="en-US"/>
        </w:rPr>
        <w:t>Os itens 1, 2, 3, 4, 5, 6, 7, 8, 9, 10, 11, 12, 13, 14, 15, 16, 17, 18, 19, 22, 29, 30, 31, 32, 33, 34, 35, 36, 40, 41, 42, 43, 44 e 45 necessitam de amostra prévia para aprovação de marca/material. As marcas e modelos citados nos itens 3, 5, 6, 7, 8, 10, 11, 12, 13, 29 e 43 serão consideradas pré aprovadas.</w:t>
      </w:r>
    </w:p>
    <w:p>
      <w:pPr>
        <w:pStyle w:val="Normal"/>
        <w:numPr>
          <w:ilvl w:val="0"/>
          <w:numId w:val="12"/>
        </w:numPr>
        <w:spacing w:lineRule="auto" w:line="276"/>
        <w:jc w:val="both"/>
        <w:rPr/>
      </w:pPr>
      <w:r>
        <w:rPr>
          <w:rFonts w:cs="Calibri" w:ascii="Calibri" w:hAnsi="Calibri"/>
          <w:sz w:val="22"/>
          <w:szCs w:val="22"/>
        </w:rPr>
        <w:tab/>
        <w:t>Para fornecimento dos produtos pretendidos os eventuais interessados deverão comprovar que atuam em ramo de atividade compatível com o objeto da licitação, bem como apresentar os seguintes documentos a título habilitação, nos termos do art. 62 e 66, da Lei nº 14.133/2021:</w:t>
      </w:r>
      <w:r>
        <w:rPr>
          <w:rFonts w:cs="Calibri" w:ascii="Calibri" w:hAnsi="Calibri"/>
          <w:b/>
          <w:bCs/>
          <w:sz w:val="22"/>
          <w:szCs w:val="22"/>
        </w:rPr>
        <w:t xml:space="preserve"> </w:t>
      </w:r>
    </w:p>
    <w:p>
      <w:pPr>
        <w:pStyle w:val="Normal"/>
        <w:numPr>
          <w:ilvl w:val="0"/>
          <w:numId w:val="12"/>
        </w:numPr>
        <w:spacing w:lineRule="auto" w:line="276"/>
        <w:jc w:val="both"/>
        <w:rPr>
          <w:rFonts w:ascii="Calibri" w:hAnsi="Calibri" w:cs="Calibri"/>
          <w:b/>
          <w:bCs/>
          <w:color w:val="C9211E"/>
          <w:sz w:val="22"/>
          <w:szCs w:val="22"/>
        </w:rPr>
      </w:pPr>
      <w:r>
        <w:rPr>
          <w:rFonts w:cs="Calibri" w:ascii="Calibri" w:hAnsi="Calibri"/>
          <w:b/>
          <w:bCs/>
          <w:color w:val="C9211E"/>
          <w:sz w:val="22"/>
          <w:szCs w:val="22"/>
        </w:rPr>
      </w:r>
    </w:p>
    <w:p>
      <w:pPr>
        <w:pStyle w:val="Normal"/>
        <w:numPr>
          <w:ilvl w:val="0"/>
          <w:numId w:val="12"/>
        </w:numPr>
        <w:spacing w:lineRule="auto" w:line="276"/>
        <w:jc w:val="both"/>
        <w:rPr/>
      </w:pPr>
      <w:r>
        <w:rPr>
          <w:rFonts w:cs="Calibri" w:ascii="Calibri" w:hAnsi="Calibri"/>
          <w:b/>
          <w:bCs/>
          <w:color w:val="C9211E"/>
          <w:sz w:val="22"/>
          <w:szCs w:val="22"/>
        </w:rPr>
        <w:tab/>
      </w:r>
      <w:r>
        <w:rPr>
          <w:rFonts w:cs="Calibri" w:ascii="Calibri" w:hAnsi="Calibri"/>
          <w:b/>
          <w:bCs/>
          <w:sz w:val="22"/>
          <w:szCs w:val="22"/>
        </w:rPr>
        <w:t>HABILITAÇÃO JURÍDICA:</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a) Ato constitutivo, estatuto ou contra social em vigor, devidamente registrado, em caso de sociedades comerciais e, no caso de sociedade por ações, acompanhado de documentos de eleição de seus administradores;</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b) Indicação do ato constitutivo, no caso de Sociedades Civis, acompanhada de prova, indicando a diretoria em exercício;</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c) Registro Comercial no caso de empresa individual.</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d) Declaração de idoneidade;</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e) Declaração que atende ao disposto no artigo 7º, inciso XXXIII, da Constituição Federal, conforme o modelo do Decreto Federal nº 4.358/02;</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OBSERVAÇÃO: Os documentos apresentados deverão estar acompanhados da última alteração ou da consolidação respectiva;</w:t>
      </w:r>
    </w:p>
    <w:p>
      <w:pPr>
        <w:pStyle w:val="Normal"/>
        <w:numPr>
          <w:ilvl w:val="0"/>
          <w:numId w:val="12"/>
        </w:numPr>
        <w:spacing w:lineRule="auto" w:line="276"/>
        <w:jc w:val="both"/>
        <w:rPr>
          <w:rFonts w:ascii="Calibri" w:hAnsi="Calibri" w:cs="Calibri"/>
          <w:b/>
          <w:bCs/>
          <w:sz w:val="22"/>
          <w:szCs w:val="22"/>
        </w:rPr>
      </w:pPr>
      <w:r>
        <w:rPr>
          <w:rFonts w:cs="Calibri" w:ascii="Calibri" w:hAnsi="Calibri"/>
          <w:b/>
          <w:bCs/>
          <w:sz w:val="22"/>
          <w:szCs w:val="22"/>
        </w:rPr>
      </w:r>
    </w:p>
    <w:p>
      <w:pPr>
        <w:pStyle w:val="Normal"/>
        <w:numPr>
          <w:ilvl w:val="0"/>
          <w:numId w:val="12"/>
        </w:numPr>
        <w:spacing w:lineRule="auto" w:line="276"/>
        <w:jc w:val="both"/>
        <w:rPr>
          <w:rFonts w:ascii="Calibri" w:hAnsi="Calibri" w:cs="Calibri"/>
          <w:b/>
          <w:bCs/>
          <w:sz w:val="22"/>
          <w:szCs w:val="22"/>
        </w:rPr>
      </w:pPr>
      <w:r>
        <w:rPr>
          <w:rFonts w:cs="Calibri" w:ascii="Calibri" w:hAnsi="Calibri"/>
          <w:b/>
          <w:bCs/>
          <w:sz w:val="22"/>
          <w:szCs w:val="22"/>
        </w:rPr>
        <w:tab/>
        <w:t>HABILITAÇÃO FISCAL, SOCIAL E TRABALHISTA</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a) Prova de inscrição no Cadastro Nacional de Pessoas Jurídicas ou no Cadastro de Pessoas Físicas, conforme o caso;</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b) Prova de regularidade expedida pela Procuradoria Nacional da Fazenda (Certidão Conjunta de Débitos relativos a Tributos Federais e à Dívida Ativa da União);</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c) Prova de regularidade com a Fazenda Estadual;</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d) Prova de regularidade com a Fazenda Municipal, sendo da sede do Licitante;</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e) Prova de regularidade junto ao Fundo de Garantia por tempo de serviço (FGTS);</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f) Certidão Negativa de Débitos Trabalhistas (obtida eletronicamente nos sites do TRT-4 e/ou Regional correspondente do licitante ou TST).</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OBSERVAÇÃO: O fornecedor enquadrado como microempreendedor individual que pretende auferir os benefícios do tratamento diferenciados, previsto na Lei Complementar nº 123, de 2006, estará dispensado da prova de inscrição nos cadastros de contribuintes estadual e municipal.</w:t>
      </w:r>
    </w:p>
    <w:p>
      <w:pPr>
        <w:pStyle w:val="Normal"/>
        <w:numPr>
          <w:ilvl w:val="0"/>
          <w:numId w:val="12"/>
        </w:numPr>
        <w:spacing w:lineRule="auto" w:line="276"/>
        <w:jc w:val="both"/>
        <w:rPr>
          <w:rFonts w:ascii="Calibri" w:hAnsi="Calibri" w:cs="Calibri"/>
          <w:color w:val="C9211E"/>
          <w:sz w:val="22"/>
          <w:szCs w:val="22"/>
        </w:rPr>
      </w:pPr>
      <w:r>
        <w:rPr>
          <w:rFonts w:cs="Calibri" w:ascii="Calibri" w:hAnsi="Calibri"/>
          <w:color w:val="C9211E"/>
          <w:sz w:val="22"/>
          <w:szCs w:val="22"/>
        </w:rPr>
      </w:r>
    </w:p>
    <w:p>
      <w:pPr>
        <w:pStyle w:val="Normal"/>
        <w:numPr>
          <w:ilvl w:val="0"/>
          <w:numId w:val="12"/>
        </w:numPr>
        <w:spacing w:lineRule="auto" w:line="276"/>
        <w:jc w:val="both"/>
        <w:rPr/>
      </w:pPr>
      <w:r>
        <w:rPr>
          <w:rFonts w:cs="Calibri" w:ascii="Calibri" w:hAnsi="Calibri"/>
          <w:b/>
          <w:bCs/>
          <w:color w:val="C9211E"/>
          <w:sz w:val="22"/>
          <w:szCs w:val="22"/>
        </w:rPr>
        <w:tab/>
      </w:r>
      <w:r>
        <w:rPr>
          <w:rFonts w:cs="Calibri" w:ascii="Calibri" w:hAnsi="Calibri"/>
          <w:b/>
          <w:bCs/>
          <w:sz w:val="22"/>
          <w:szCs w:val="22"/>
        </w:rPr>
        <w:t>HABILITAÇÃO ECONÔMICO-FINANCEIRA</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a) Certidão negativa de falência ou concordata expedida pelo distribuidor da sede da pessoa jurídica, em prazo não superior a trinta (30) dias da data da apresentação do documento;</w:t>
      </w:r>
    </w:p>
    <w:p>
      <w:pPr>
        <w:pStyle w:val="Normal"/>
        <w:numPr>
          <w:ilvl w:val="0"/>
          <w:numId w:val="12"/>
        </w:numPr>
        <w:spacing w:lineRule="auto" w:line="276"/>
        <w:jc w:val="both"/>
        <w:rPr>
          <w:rFonts w:ascii="Calibri" w:hAnsi="Calibri" w:cs="Calibri"/>
          <w:color w:val="C9211E"/>
          <w:sz w:val="22"/>
          <w:szCs w:val="22"/>
        </w:rPr>
      </w:pPr>
      <w:r>
        <w:rPr>
          <w:rFonts w:cs="Calibri" w:ascii="Calibri" w:hAnsi="Calibri"/>
          <w:color w:val="C9211E"/>
          <w:sz w:val="22"/>
          <w:szCs w:val="22"/>
        </w:rPr>
        <w:tab/>
      </w:r>
    </w:p>
    <w:p>
      <w:pPr>
        <w:pStyle w:val="Default"/>
        <w:numPr>
          <w:ilvl w:val="0"/>
          <w:numId w:val="12"/>
        </w:numPr>
        <w:spacing w:lineRule="auto" w:line="276"/>
        <w:jc w:val="both"/>
        <w:rPr/>
      </w:pPr>
      <w:r>
        <w:rPr>
          <w:rFonts w:cs="Calibri" w:ascii="Calibri" w:hAnsi="Calibri"/>
          <w:b/>
          <w:color w:val="C9211E"/>
          <w:sz w:val="22"/>
          <w:szCs w:val="22"/>
        </w:rPr>
        <w:tab/>
      </w:r>
      <w:r>
        <w:rPr>
          <w:rFonts w:cs="Calibri" w:ascii="Calibri" w:hAnsi="Calibri"/>
          <w:b/>
          <w:color w:val="000000"/>
          <w:sz w:val="22"/>
          <w:szCs w:val="22"/>
        </w:rPr>
        <w:t>5. MODELO DE EXECUÇÃO DO OBJETO</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 xml:space="preserve">A contratação decorrente do presente processo exigirá da contratada o cumprimento das boas práticas de sustentabilidade, contribuindo para a racionalização e otimização do uso dos recursos, bem como para a redução dos impactos ambientais. </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Pretende-se, com o presente processo licitatório, assegurar a seleção das propostas apta a gerar a contratação mais vantajosa para o Município.</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Almeja-se, igualmente, assegurar tratamento isonômico entre os licitantes, bem como a justa competição, bem como evitar contratação com sobrepreço ou com preço manifestamente inexequível e superfaturamento na execução do contrato.</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Os quantitativos acima estabelecidos foram estimados para aquisição anual, todavia ficam as licitantes cientes de que os mesmos poderão variar, no curso do contrato, para mais ou para menos, não ensejando nesta última hipótese o argumento pela licitante contratada de que houve descumprimento contratual.</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r>
    </w:p>
    <w:p>
      <w:pPr>
        <w:pStyle w:val="Default"/>
        <w:numPr>
          <w:ilvl w:val="0"/>
          <w:numId w:val="12"/>
        </w:numPr>
        <w:spacing w:lineRule="auto" w:line="276"/>
        <w:jc w:val="both"/>
        <w:rPr>
          <w:rFonts w:ascii="Calibri" w:hAnsi="Calibri" w:cs="Calibri"/>
          <w:color w:val="C9211E"/>
          <w:sz w:val="22"/>
          <w:szCs w:val="22"/>
        </w:rPr>
      </w:pPr>
      <w:r>
        <w:rPr>
          <w:rFonts w:cs="Calibri" w:ascii="Calibri" w:hAnsi="Calibri"/>
          <w:color w:val="C9211E"/>
          <w:sz w:val="22"/>
          <w:szCs w:val="22"/>
        </w:rPr>
      </w:r>
    </w:p>
    <w:p>
      <w:pPr>
        <w:pStyle w:val="Default"/>
        <w:numPr>
          <w:ilvl w:val="0"/>
          <w:numId w:val="12"/>
        </w:numPr>
        <w:spacing w:lineRule="auto" w:line="276"/>
        <w:jc w:val="both"/>
        <w:rPr>
          <w:rFonts w:ascii="Calibri" w:hAnsi="Calibri" w:cs="Calibri"/>
          <w:b/>
          <w:color w:val="000000"/>
          <w:sz w:val="22"/>
          <w:szCs w:val="22"/>
        </w:rPr>
      </w:pPr>
      <w:r>
        <w:rPr>
          <w:rFonts w:cs="Calibri" w:ascii="Calibri" w:hAnsi="Calibri"/>
          <w:b/>
          <w:color w:val="000000"/>
          <w:sz w:val="22"/>
          <w:szCs w:val="22"/>
        </w:rPr>
        <w:t>6. MODELO DE GESTÃO DO CONTRATO</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A execução / entrega do bem deverá ser executado fielmente pelas partes, de acordo com as cláusulas avençadas e as normas da Lei nº 14.133, de 2021, e cada parte responderá pelas consequências de sua inexecução total ou parcial.</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As comunicações entre o órgão ou entidade e a contratada devem ser realizadas por escrito sempre que o ato exigir tal formalidade, admitindo-se o uso de mensagem eletrônica para esse fim.</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O órgão ou entidade poderá convocar representante da empresa para adoção de providências que devam ser cumpridas de imediato.</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A execução / entrega do bem deverá ser acompanhada e fiscalizada pelo(s) fiscal(is) ou pelos respectivos substitutos.</w:t>
      </w:r>
    </w:p>
    <w:p>
      <w:pPr>
        <w:pStyle w:val="Default"/>
        <w:numPr>
          <w:ilvl w:val="0"/>
          <w:numId w:val="12"/>
        </w:numPr>
        <w:spacing w:lineRule="auto" w:line="276"/>
        <w:jc w:val="both"/>
        <w:rPr/>
      </w:pPr>
      <w:r>
        <w:rPr>
          <w:rFonts w:cs="Calibri" w:ascii="Calibri" w:hAnsi="Calibri"/>
          <w:b/>
          <w:bCs/>
          <w:color w:val="C9211E"/>
          <w:sz w:val="22"/>
          <w:szCs w:val="22"/>
        </w:rPr>
        <w:tab/>
      </w:r>
      <w:r>
        <w:rPr>
          <w:rFonts w:cs="Calibri" w:ascii="Calibri" w:hAnsi="Calibri"/>
          <w:b/>
          <w:bCs/>
          <w:color w:val="000000"/>
          <w:sz w:val="22"/>
          <w:szCs w:val="22"/>
        </w:rPr>
        <w:t>Fiscal – Cfe Decreto nº 11.246, de 2022, art. 22 e Lei nº 14.133, de 2021, art. 117:</w:t>
      </w:r>
    </w:p>
    <w:p>
      <w:pPr>
        <w:pStyle w:val="Default"/>
        <w:numPr>
          <w:ilvl w:val="0"/>
          <w:numId w:val="12"/>
        </w:numPr>
        <w:spacing w:lineRule="auto" w:line="276"/>
        <w:ind w:left="19" w:right="0" w:hanging="0"/>
        <w:jc w:val="both"/>
        <w:rPr>
          <w:rFonts w:ascii="Calibri" w:hAnsi="Calibri" w:cs="Calibri"/>
          <w:color w:val="000000"/>
          <w:sz w:val="22"/>
          <w:szCs w:val="22"/>
        </w:rPr>
      </w:pPr>
      <w:r>
        <w:rPr>
          <w:rFonts w:cs="Calibri" w:ascii="Calibri" w:hAnsi="Calibri"/>
          <w:color w:val="000000"/>
          <w:sz w:val="22"/>
          <w:szCs w:val="22"/>
        </w:rPr>
        <w:tab/>
        <w:t>a) O fiscal acompanhará a execução / entrega do bem, para que sejam cumpridas todas as condições estabelecidas no edital e termo de referência, de modo a assegurar os melhores resultados para a Administração. (Decreto nº 11.246, de 2022, art. 22, VI);</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 xml:space="preserve">b) O fiscal do contrato anotará no histórico de gerenciamento do contrato todas as ocorrências relacionadas à execução do contrato, com a descrição do que for necessário para a regularização das faltas ou dos defeitos observados. </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c) Identificada qualquer inexatidão ou irregularidade, o fiscal do contrato emitirá notificações para a correção da execução do contrato, determinando prazo para a correção.</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d) O fiscal informará ao gestor do contato, em tempo hábil, a situação que demandar decisão ou adoção de medidas que ultrapassem sua competência, para que adote as medidas necessárias e saneadoras, se for o caso.</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 xml:space="preserve">e) No caso de ocorrências que possam inviabilizar a execução / entrega do bem nas datas aprazadas, o fiscal comunicará o fato imediatamente ao gestor do contrato. </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f) O fiscal comunicará ao gestor do contrato, em tempo hábil, o término do contrato sob sua responsabilidade, com vistas à renovação tempestiva ou à prorrogação contratual.</w:t>
      </w:r>
    </w:p>
    <w:p>
      <w:pPr>
        <w:pStyle w:val="Default"/>
        <w:numPr>
          <w:ilvl w:val="0"/>
          <w:numId w:val="12"/>
        </w:numPr>
        <w:spacing w:lineRule="auto" w:line="276"/>
        <w:ind w:left="1" w:right="0" w:hanging="20"/>
        <w:jc w:val="both"/>
        <w:rPr/>
      </w:pPr>
      <w:r>
        <w:rPr>
          <w:rFonts w:cs="Calibri" w:ascii="Calibri" w:hAnsi="Calibri"/>
          <w:color w:val="C9211E"/>
          <w:sz w:val="22"/>
          <w:szCs w:val="22"/>
        </w:rPr>
        <w:tab/>
        <w:tab/>
      </w:r>
      <w:r>
        <w:rPr>
          <w:rFonts w:cs="Calibri" w:ascii="Calibri" w:hAnsi="Calibri"/>
          <w:color w:val="auto"/>
          <w:sz w:val="22"/>
          <w:szCs w:val="22"/>
        </w:rPr>
        <w:t xml:space="preserve">Fiscais do presente Contrato: Ivan Antonio Wilges (matrícula 21636) e </w:t>
      </w:r>
      <w:r>
        <w:rPr>
          <w:rFonts w:eastAsia="Times New Roman" w:cs="Calibri" w:ascii="Calibri" w:hAnsi="Calibri"/>
          <w:b w:val="false"/>
          <w:bCs w:val="false"/>
          <w:color w:val="auto"/>
          <w:spacing w:val="-1"/>
          <w:sz w:val="22"/>
          <w:szCs w:val="22"/>
        </w:rPr>
        <w:t>Marcelo Henrique de Carvalho (</w:t>
      </w:r>
      <w:r>
        <w:rPr>
          <w:rFonts w:eastAsia="Arial" w:cs="Calibri" w:ascii="Calibri" w:hAnsi="Calibri"/>
          <w:b w:val="false"/>
          <w:bCs w:val="false"/>
          <w:color w:val="auto"/>
          <w:spacing w:val="-2"/>
          <w:sz w:val="22"/>
          <w:szCs w:val="22"/>
        </w:rPr>
        <w:t xml:space="preserve">SECRETÁRIO MUNICIPAL DE </w:t>
      </w:r>
      <w:r>
        <w:rPr>
          <w:rFonts w:eastAsia="Times New Roman" w:cs="Calibri" w:ascii="Calibri" w:hAnsi="Calibri"/>
          <w:b w:val="false"/>
          <w:bCs w:val="false"/>
          <w:color w:val="auto"/>
          <w:spacing w:val="-2"/>
          <w:sz w:val="22"/>
          <w:szCs w:val="22"/>
        </w:rPr>
        <w:t>CULTURA TURISMO ESPORTE E LAZER)</w:t>
      </w:r>
    </w:p>
    <w:p>
      <w:pPr>
        <w:pStyle w:val="Default"/>
        <w:numPr>
          <w:ilvl w:val="0"/>
          <w:numId w:val="12"/>
        </w:numPr>
        <w:spacing w:lineRule="auto" w:line="276"/>
        <w:jc w:val="both"/>
        <w:rPr/>
      </w:pPr>
      <w:r>
        <w:rPr>
          <w:rFonts w:cs="Calibri" w:ascii="Calibri" w:hAnsi="Calibri"/>
          <w:b/>
          <w:bCs/>
          <w:color w:val="C9211E"/>
          <w:sz w:val="22"/>
          <w:szCs w:val="22"/>
        </w:rPr>
        <w:tab/>
      </w:r>
      <w:r>
        <w:rPr>
          <w:rFonts w:cs="Calibri" w:ascii="Calibri" w:hAnsi="Calibri"/>
          <w:b/>
          <w:bCs/>
          <w:color w:val="000000"/>
          <w:sz w:val="22"/>
          <w:szCs w:val="22"/>
        </w:rPr>
        <w:t>Gestor de Contrato – Cfe Decreto nº 11.246, de 2022, art. 21:</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a)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b) 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c) 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d)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Default"/>
        <w:numPr>
          <w:ilvl w:val="0"/>
          <w:numId w:val="12"/>
        </w:numPr>
        <w:spacing w:lineRule="auto" w:line="276"/>
        <w:ind w:left="20" w:right="0" w:hanging="0"/>
        <w:jc w:val="both"/>
        <w:rPr>
          <w:rFonts w:ascii="Calibri" w:hAnsi="Calibri" w:cs="Calibri"/>
          <w:color w:val="000000"/>
          <w:sz w:val="22"/>
          <w:szCs w:val="22"/>
        </w:rPr>
      </w:pPr>
      <w:r>
        <w:rPr>
          <w:rFonts w:cs="Calibri" w:ascii="Calibri" w:hAnsi="Calibri"/>
          <w:color w:val="000000"/>
          <w:sz w:val="22"/>
          <w:szCs w:val="22"/>
        </w:rPr>
        <w:tab/>
        <w:t>e) O gestor do contrato deverá enviar a documentação pertinente ao setor de contratos para a formalização dos procedimentos de liquidação e pagamento, no valor dimensionado pela fiscalização e gestão nos termos do contrato.</w:t>
      </w:r>
    </w:p>
    <w:p>
      <w:pPr>
        <w:pStyle w:val="Default"/>
        <w:numPr>
          <w:ilvl w:val="0"/>
          <w:numId w:val="12"/>
        </w:numPr>
        <w:spacing w:lineRule="auto" w:line="276"/>
        <w:jc w:val="both"/>
        <w:rPr/>
      </w:pPr>
      <w:r>
        <w:rPr>
          <w:rFonts w:cs="Calibri" w:ascii="Calibri" w:hAnsi="Calibri"/>
          <w:color w:val="C9211E"/>
          <w:sz w:val="22"/>
          <w:szCs w:val="22"/>
        </w:rPr>
        <w:tab/>
      </w:r>
      <w:r>
        <w:rPr>
          <w:rFonts w:cs="Calibri" w:ascii="Calibri" w:hAnsi="Calibri"/>
          <w:color w:val="auto"/>
          <w:sz w:val="22"/>
          <w:szCs w:val="22"/>
        </w:rPr>
        <w:t xml:space="preserve">Gestor do presente contrato: Micheli Katiani Rech (Secretária Municipal de Educação) e </w:t>
      </w:r>
      <w:r>
        <w:rPr>
          <w:rFonts w:eastAsia="Times New Roman" w:cs="Calibri" w:ascii="Calibri" w:hAnsi="Calibri"/>
          <w:b w:val="false"/>
          <w:bCs w:val="false"/>
          <w:color w:val="auto"/>
          <w:spacing w:val="-1"/>
          <w:sz w:val="22"/>
          <w:szCs w:val="22"/>
        </w:rPr>
        <w:t>Marcelo Henrique de Carvalho (</w:t>
      </w:r>
      <w:r>
        <w:rPr>
          <w:rFonts w:eastAsia="Arial" w:cs="Calibri" w:ascii="Calibri" w:hAnsi="Calibri"/>
          <w:b w:val="false"/>
          <w:bCs w:val="false"/>
          <w:color w:val="auto"/>
          <w:spacing w:val="-2"/>
          <w:sz w:val="22"/>
          <w:szCs w:val="22"/>
        </w:rPr>
        <w:t xml:space="preserve">SECRETÁRIO MUNICIPAL DE </w:t>
      </w:r>
      <w:r>
        <w:rPr>
          <w:rFonts w:eastAsia="Times New Roman" w:cs="Calibri" w:ascii="Calibri" w:hAnsi="Calibri"/>
          <w:b w:val="false"/>
          <w:bCs w:val="false"/>
          <w:color w:val="auto"/>
          <w:spacing w:val="-2"/>
          <w:sz w:val="22"/>
          <w:szCs w:val="22"/>
        </w:rPr>
        <w:t>CULTURA TURISMO ESPORTE E LAZER).</w:t>
      </w:r>
    </w:p>
    <w:p>
      <w:pPr>
        <w:pStyle w:val="Default"/>
        <w:numPr>
          <w:ilvl w:val="0"/>
          <w:numId w:val="12"/>
        </w:numPr>
        <w:spacing w:lineRule="auto" w:line="276"/>
        <w:jc w:val="both"/>
        <w:rPr>
          <w:rFonts w:ascii="Calibri" w:hAnsi="Calibri" w:cs="Calibri"/>
          <w:color w:val="C9211E"/>
          <w:sz w:val="22"/>
          <w:szCs w:val="22"/>
        </w:rPr>
      </w:pPr>
      <w:r>
        <w:rPr>
          <w:rFonts w:cs="Calibri" w:ascii="Calibri" w:hAnsi="Calibri"/>
          <w:color w:val="C9211E"/>
          <w:sz w:val="22"/>
          <w:szCs w:val="22"/>
        </w:rPr>
      </w:r>
    </w:p>
    <w:p>
      <w:pPr>
        <w:pStyle w:val="Default"/>
        <w:numPr>
          <w:ilvl w:val="0"/>
          <w:numId w:val="12"/>
        </w:numPr>
        <w:spacing w:lineRule="auto" w:line="276"/>
        <w:jc w:val="both"/>
        <w:rPr/>
      </w:pPr>
      <w:r>
        <w:rPr>
          <w:rFonts w:cs="Calibri" w:ascii="Calibri" w:hAnsi="Calibri"/>
          <w:b/>
          <w:color w:val="C9211E"/>
          <w:sz w:val="22"/>
          <w:szCs w:val="22"/>
        </w:rPr>
        <w:tab/>
      </w:r>
      <w:r>
        <w:rPr>
          <w:rFonts w:cs="Calibri" w:ascii="Calibri" w:hAnsi="Calibri"/>
          <w:b/>
          <w:color w:val="000000"/>
          <w:sz w:val="22"/>
          <w:szCs w:val="22"/>
        </w:rPr>
        <w:t>7. CRITÉRIOS DE MEDIÇÃO E DE PAGAMENTO</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Os pagamentos serão realizados em até 10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12"/>
        </w:numPr>
        <w:spacing w:lineRule="auto" w:line="276"/>
        <w:jc w:val="both"/>
        <w:rPr/>
      </w:pPr>
      <w:r>
        <w:rPr>
          <w:rFonts w:eastAsia="Calibri" w:cs="Calibri" w:ascii="Calibri" w:hAnsi="Calibri"/>
          <w:color w:val="000000"/>
          <w:sz w:val="22"/>
          <w:szCs w:val="22"/>
        </w:rPr>
        <w:tab/>
      </w:r>
      <w:r>
        <w:rPr>
          <w:rFonts w:cs="Calibri" w:ascii="Calibri" w:hAnsi="Calibri"/>
          <w:color w:val="000000"/>
          <w:sz w:val="22"/>
          <w:szCs w:val="22"/>
        </w:rPr>
        <w:t xml:space="preserve">A licitante vencedora deverá emitir a nota fiscal tão logo ocorra o fornecimento </w:t>
      </w:r>
      <w:r>
        <w:rPr>
          <w:rFonts w:cs="Calibri" w:ascii="Calibri" w:hAnsi="Calibri"/>
          <w:b w:val="false"/>
          <w:bCs w:val="false"/>
          <w:color w:val="auto"/>
        </w:rPr>
        <w:t>dos materiais solicitados</w:t>
      </w:r>
      <w:r>
        <w:rPr>
          <w:rFonts w:cs="Calibri" w:ascii="Calibri" w:hAnsi="Calibri"/>
          <w:b w:val="false"/>
          <w:bCs w:val="false"/>
          <w:color w:val="auto"/>
          <w:sz w:val="22"/>
          <w:szCs w:val="22"/>
        </w:rPr>
        <w:t>.</w:t>
      </w:r>
      <w:r>
        <w:rPr>
          <w:rFonts w:cs="Calibri" w:ascii="Calibri" w:hAnsi="Calibri"/>
          <w:color w:val="000000"/>
          <w:sz w:val="22"/>
          <w:szCs w:val="22"/>
        </w:rPr>
        <w:t xml:space="preserve"> Em caso de rejeição da nota fiscal e/ou fatura, motivada por erro ou incorreção, o prazo de até 30 (trinta) dias passará a ser contado a partir da data da reapresentação.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 Não serão aceitos boletos bancários, somente serão efetuados depósitos em conta-corrente em nome da empresa licitante vencedora. Deverão ser entregues sempre que necessário, as Certidões atualizadas (válidas) relativas ao Fundo de Garantia por Tempo de Serviço (FGTS) e de regularidade para com as Fazendas Municipal, Estadual e Federal. Ocorrendo atraso no pagamento, os valores serão corrigidos monetariamente pelo índice IPCA – Índice Nacional de Preços ao Consumidor Amplo do período, ou outro índice que vier a substituí-lo, e a Administração compensará a contratada com juros de 0,5% ao mês, pro rata.</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DOS EMPENHOS: O compromisso de fornecimento estará caracterizado após o recebimento da nota de empenho, que será emitido de acordo com o valor constante na Ata de Registro de Preços. A emissão do(s) empenho(s) será autorizada pelo titular da pasta à qual pertencer a unidade requisitante, ou pela autoridade por ele delegada. 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A cada solicitação de serviço/fornecimento, a nota de empenho ficará a disposição do fornecedor junto ao site do Município, contendo a indicação dos serviços, quantidades e locais.</w:t>
      </w:r>
    </w:p>
    <w:p>
      <w:pPr>
        <w:pStyle w:val="Default"/>
        <w:numPr>
          <w:ilvl w:val="0"/>
          <w:numId w:val="12"/>
        </w:numPr>
        <w:spacing w:lineRule="auto" w:line="276"/>
        <w:jc w:val="both"/>
        <w:rPr>
          <w:rFonts w:ascii="Calibri" w:hAnsi="Calibri" w:cs="Calibri"/>
          <w:b/>
          <w:color w:val="C9211E"/>
          <w:sz w:val="22"/>
          <w:szCs w:val="22"/>
        </w:rPr>
      </w:pPr>
      <w:r>
        <w:rPr>
          <w:rFonts w:cs="Calibri" w:ascii="Calibri" w:hAnsi="Calibri"/>
          <w:b/>
          <w:color w:val="C9211E"/>
          <w:sz w:val="22"/>
          <w:szCs w:val="22"/>
        </w:rPr>
      </w:r>
    </w:p>
    <w:p>
      <w:pPr>
        <w:pStyle w:val="Default"/>
        <w:numPr>
          <w:ilvl w:val="0"/>
          <w:numId w:val="12"/>
        </w:numPr>
        <w:spacing w:lineRule="auto" w:line="276"/>
        <w:jc w:val="both"/>
        <w:rPr/>
      </w:pPr>
      <w:r>
        <w:rPr>
          <w:rFonts w:cs="Calibri" w:ascii="Calibri" w:hAnsi="Calibri"/>
          <w:b/>
          <w:color w:val="C9211E"/>
          <w:sz w:val="22"/>
          <w:szCs w:val="22"/>
        </w:rPr>
        <w:tab/>
      </w:r>
      <w:r>
        <w:rPr>
          <w:rFonts w:cs="Calibri" w:ascii="Calibri" w:hAnsi="Calibri"/>
          <w:b/>
          <w:color w:val="000000"/>
          <w:sz w:val="22"/>
          <w:szCs w:val="22"/>
        </w:rPr>
        <w:t>8. FORMA E CRITÉRIOS DE SELEÇÃO DO FORNECEDOR/PRESTADOR DE SERVIÇO</w:t>
      </w:r>
    </w:p>
    <w:p>
      <w:pPr>
        <w:pStyle w:val="Normal"/>
        <w:numPr>
          <w:ilvl w:val="0"/>
          <w:numId w:val="12"/>
        </w:numPr>
        <w:spacing w:lineRule="auto" w:line="276"/>
        <w:jc w:val="both"/>
        <w:rPr>
          <w:rFonts w:ascii="Calibri" w:hAnsi="Calibri" w:cs="Calibri"/>
          <w:sz w:val="22"/>
          <w:szCs w:val="22"/>
        </w:rPr>
      </w:pPr>
      <w:r>
        <w:rPr>
          <w:rFonts w:cs="Calibri" w:ascii="Calibri" w:hAnsi="Calibri"/>
          <w:sz w:val="22"/>
          <w:szCs w:val="22"/>
        </w:rPr>
        <w:tab/>
        <w:t>Conforme disposto no item 4, o futuro contratado será selecionado mediante processo licitatório na modalidade Pregão, na sua forma eletrônica, com critério de julgamento por menor preço unitário, nos termos dos artigos 6º, inciso XLI da Lei Federal nº 14.133/2021.</w:t>
      </w:r>
    </w:p>
    <w:p>
      <w:pPr>
        <w:pStyle w:val="Default"/>
        <w:numPr>
          <w:ilvl w:val="0"/>
          <w:numId w:val="12"/>
        </w:numPr>
        <w:spacing w:lineRule="auto" w:line="276"/>
        <w:jc w:val="both"/>
        <w:rPr>
          <w:rFonts w:ascii="Arial" w:hAnsi="Arial" w:cs="Arial"/>
          <w:b/>
          <w:bCs/>
          <w:color w:val="C9211E"/>
          <w:sz w:val="22"/>
          <w:szCs w:val="22"/>
        </w:rPr>
      </w:pPr>
      <w:r>
        <w:rPr>
          <w:rFonts w:cs="Arial" w:ascii="Arial" w:hAnsi="Arial"/>
          <w:b/>
          <w:bCs/>
          <w:color w:val="C9211E"/>
          <w:sz w:val="22"/>
          <w:szCs w:val="22"/>
        </w:rPr>
      </w:r>
    </w:p>
    <w:p>
      <w:pPr>
        <w:pStyle w:val="Default"/>
        <w:numPr>
          <w:ilvl w:val="0"/>
          <w:numId w:val="12"/>
        </w:numPr>
        <w:spacing w:lineRule="auto" w:line="276"/>
        <w:jc w:val="both"/>
        <w:rPr/>
      </w:pPr>
      <w:r>
        <w:rPr>
          <w:rFonts w:cs="Calibri" w:ascii="Calibri" w:hAnsi="Calibri"/>
          <w:b/>
          <w:bCs/>
          <w:color w:val="C9211E"/>
          <w:sz w:val="20"/>
          <w:szCs w:val="20"/>
        </w:rPr>
        <w:tab/>
      </w:r>
      <w:r>
        <w:rPr>
          <w:rFonts w:cs="Calibri" w:ascii="Calibri" w:hAnsi="Calibri"/>
          <w:b/>
          <w:bCs/>
          <w:color w:val="000000"/>
          <w:sz w:val="22"/>
          <w:szCs w:val="22"/>
        </w:rPr>
        <w:t>9. ESTIMATIVA DO VALOR DA CONTRATAÇÃO:</w:t>
      </w:r>
    </w:p>
    <w:p>
      <w:pPr>
        <w:pStyle w:val="Default"/>
        <w:widowControl w:val="false"/>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 xml:space="preserve">Estima-se para a contratação almejada o valor de: </w:t>
      </w:r>
    </w:p>
    <w:p>
      <w:pPr>
        <w:pStyle w:val="Default"/>
        <w:widowControl w:val="false"/>
        <w:numPr>
          <w:ilvl w:val="0"/>
          <w:numId w:val="12"/>
        </w:numPr>
        <w:spacing w:lineRule="auto" w:line="360"/>
        <w:jc w:val="both"/>
        <w:rPr/>
      </w:pPr>
      <w:r>
        <w:rPr>
          <w:rFonts w:eastAsia="Calibri" w:cs="Calibri" w:ascii="Calibri" w:hAnsi="Calibri"/>
          <w:color w:val="000000"/>
          <w:sz w:val="22"/>
          <w:szCs w:val="22"/>
        </w:rPr>
        <w:t xml:space="preserve"> </w:t>
      </w:r>
      <w:r>
        <w:rPr>
          <w:rFonts w:eastAsia="Calibri" w:cs="Calibri" w:ascii="Calibri" w:hAnsi="Calibri"/>
          <w:color w:val="000000"/>
          <w:sz w:val="22"/>
          <w:szCs w:val="22"/>
        </w:rPr>
        <w:tab/>
      </w:r>
      <w:r>
        <w:rPr>
          <w:rFonts w:cs="Calibri" w:ascii="Calibri" w:hAnsi="Calibri"/>
          <w:b/>
          <w:bCs/>
          <w:color w:val="000000"/>
          <w:sz w:val="22"/>
          <w:szCs w:val="22"/>
        </w:rPr>
        <w:t>Grupo I: R$ 450.297,85</w:t>
      </w:r>
    </w:p>
    <w:p>
      <w:pPr>
        <w:pStyle w:val="Default"/>
        <w:numPr>
          <w:ilvl w:val="0"/>
          <w:numId w:val="12"/>
        </w:numPr>
        <w:spacing w:lineRule="auto" w:line="276"/>
        <w:jc w:val="both"/>
        <w:rPr/>
      </w:pPr>
      <w:r>
        <w:rPr>
          <w:rFonts w:cs="Calibri" w:ascii="Calibri" w:hAnsi="Calibri"/>
          <w:color w:val="C9211E"/>
          <w:sz w:val="22"/>
          <w:szCs w:val="22"/>
        </w:rPr>
        <w:tab/>
      </w:r>
      <w:r>
        <w:rPr>
          <w:rFonts w:cs="Calibri" w:ascii="Calibri" w:hAnsi="Calibri"/>
          <w:color w:val="000000"/>
          <w:sz w:val="22"/>
          <w:szCs w:val="22"/>
        </w:rPr>
        <w:t>Vislumbra-se que tal valor é compatível com o praticado pelo mercado correspondente, observando-se o disposto no Decreto Municipal n.º 7.201 de 24 de fevereiro de 2024, que “Estabelece o procedimento administrativo para a realização de pesquisa de preços para aquisição de bens, contratação de serviços em geral e para contratação de obras e serviços de engenharia no âmbito do Município de Vera Cruz / RS, nos termos da Lei Federal nº 14.133/2021”, nos termos do art. 23, § 1º, da Lei Federal nº 14.133/2021.</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Responsável pela pesquisa de preços – nome / matrícula: Ivan Antonio Wilges/21636.</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Locais / formas utilizadas para a pesquisa de preços embasado em sites oficiais Painel de Preços, e internet, em anexo ao processo. Referendamos que os valores usados conforme consta na tabela acima e por aproximação da descrição dos produtos.</w:t>
      </w:r>
    </w:p>
    <w:p>
      <w:pPr>
        <w:pStyle w:val="Default"/>
        <w:numPr>
          <w:ilvl w:val="0"/>
          <w:numId w:val="12"/>
        </w:numPr>
        <w:spacing w:lineRule="auto" w:line="276"/>
        <w:rPr>
          <w:rFonts w:ascii="Calibri" w:hAnsi="Calibri" w:cs="Calibri"/>
          <w:color w:val="C9211E"/>
          <w:sz w:val="22"/>
          <w:szCs w:val="22"/>
        </w:rPr>
      </w:pPr>
      <w:r>
        <w:rPr>
          <w:rFonts w:cs="Calibri" w:ascii="Calibri" w:hAnsi="Calibri"/>
          <w:color w:val="C9211E"/>
          <w:sz w:val="22"/>
          <w:szCs w:val="22"/>
        </w:rPr>
      </w:r>
    </w:p>
    <w:p>
      <w:pPr>
        <w:pStyle w:val="Default"/>
        <w:numPr>
          <w:ilvl w:val="0"/>
          <w:numId w:val="12"/>
        </w:numPr>
        <w:spacing w:lineRule="auto" w:line="276"/>
        <w:jc w:val="both"/>
        <w:rPr/>
      </w:pPr>
      <w:r>
        <w:rPr>
          <w:rFonts w:cs="Calibri" w:ascii="Calibri" w:hAnsi="Calibri"/>
          <w:b/>
          <w:color w:val="C9211E"/>
          <w:sz w:val="22"/>
          <w:szCs w:val="22"/>
        </w:rPr>
        <w:tab/>
      </w:r>
      <w:r>
        <w:rPr>
          <w:rFonts w:cs="Calibri" w:ascii="Calibri" w:hAnsi="Calibri"/>
          <w:b/>
          <w:color w:val="000000"/>
          <w:sz w:val="22"/>
          <w:szCs w:val="22"/>
        </w:rPr>
        <w:t>10. ADEQUAÇÃO ORÇAMENTÁRIA</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tab/>
        <w:t xml:space="preserve">O dispêndio financeiro decorrente da contratação ora pretendida decorrerá da dotação orçamentária: Referência: </w:t>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r>
    </w:p>
    <w:p>
      <w:pPr>
        <w:pStyle w:val="Default"/>
        <w:numPr>
          <w:ilvl w:val="0"/>
          <w:numId w:val="12"/>
        </w:numPr>
        <w:spacing w:lineRule="auto" w:line="276"/>
        <w:jc w:val="both"/>
        <w:rPr>
          <w:rFonts w:ascii="Calibri" w:hAnsi="Calibri" w:cs="Calibri"/>
          <w:color w:val="000000"/>
          <w:sz w:val="22"/>
          <w:szCs w:val="22"/>
        </w:rPr>
      </w:pPr>
      <w:r>
        <w:rPr>
          <w:rFonts w:cs="Calibri" w:ascii="Calibri" w:hAnsi="Calibri"/>
          <w:color w:val="000000"/>
          <w:sz w:val="22"/>
          <w:szCs w:val="22"/>
        </w:rPr>
      </w:r>
    </w:p>
    <w:p>
      <w:pPr>
        <w:pStyle w:val="Default"/>
        <w:numPr>
          <w:ilvl w:val="0"/>
          <w:numId w:val="12"/>
        </w:numPr>
        <w:spacing w:lineRule="auto" w:line="276"/>
        <w:jc w:val="center"/>
        <w:rPr>
          <w:rFonts w:ascii="Calibri" w:hAnsi="Calibri" w:cs="Calibri"/>
          <w:color w:val="000000"/>
          <w:sz w:val="22"/>
          <w:szCs w:val="22"/>
        </w:rPr>
      </w:pPr>
      <w:r>
        <w:rPr>
          <w:rFonts w:cs="Calibri" w:ascii="Calibri" w:hAnsi="Calibri"/>
          <w:color w:val="000000"/>
          <w:sz w:val="22"/>
          <w:szCs w:val="22"/>
        </w:rPr>
        <w:t>Micheli K. Rech</w:t>
      </w:r>
    </w:p>
    <w:p>
      <w:pPr>
        <w:pStyle w:val="Default"/>
        <w:numPr>
          <w:ilvl w:val="0"/>
          <w:numId w:val="12"/>
        </w:numPr>
        <w:spacing w:lineRule="auto" w:line="276"/>
        <w:jc w:val="center"/>
        <w:rPr>
          <w:rFonts w:ascii="Calibri" w:hAnsi="Calibri" w:cs="Calibri"/>
          <w:color w:val="000000"/>
          <w:sz w:val="22"/>
          <w:szCs w:val="22"/>
        </w:rPr>
      </w:pPr>
      <w:r>
        <w:rPr>
          <w:rFonts w:cs="Calibri" w:ascii="Calibri" w:hAnsi="Calibri"/>
          <w:color w:val="000000"/>
          <w:sz w:val="22"/>
          <w:szCs w:val="22"/>
        </w:rPr>
        <w:t>Secretária Municipal de Educação</w:t>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Default"/>
        <w:spacing w:lineRule="auto" w:line="276"/>
        <w:jc w:val="center"/>
        <w:rPr>
          <w:rFonts w:ascii="Calibri" w:hAnsi="Calibri" w:cs="Calibri"/>
          <w:color w:val="000000"/>
          <w:sz w:val="22"/>
          <w:szCs w:val="22"/>
        </w:rPr>
      </w:pPr>
      <w:r>
        <w:rPr/>
      </w:r>
    </w:p>
    <w:p>
      <w:pPr>
        <w:pStyle w:val="Normal"/>
        <w:bidi w:val="0"/>
        <w:jc w:val="center"/>
        <w:rPr/>
      </w:pPr>
      <w:r>
        <w:rPr/>
        <w:t>Retorno conforme solicitado no parecer 159/2025 – Procuradoria Jurídica</w:t>
      </w:r>
    </w:p>
    <w:p>
      <w:pPr>
        <w:pStyle w:val="Normal"/>
        <w:bidi w:val="0"/>
        <w:jc w:val="left"/>
        <w:rPr/>
      </w:pPr>
      <w:r>
        <w:rPr/>
      </w:r>
    </w:p>
    <w:p>
      <w:pPr>
        <w:pStyle w:val="Normal"/>
        <w:bidi w:val="0"/>
        <w:jc w:val="left"/>
        <w:rPr/>
      </w:pPr>
      <w:r>
        <w:rPr/>
      </w:r>
    </w:p>
    <w:p>
      <w:pPr>
        <w:pStyle w:val="Normal"/>
        <w:numPr>
          <w:ilvl w:val="0"/>
          <w:numId w:val="1"/>
        </w:numPr>
        <w:bidi w:val="0"/>
        <w:jc w:val="left"/>
        <w:rPr/>
      </w:pPr>
      <w:r>
        <w:rPr/>
        <w:t>Quanto a observação do artigo 18 inciso III, o mesmo encontra-se referido no ETP com a seguinte redação:</w:t>
      </w:r>
    </w:p>
    <w:p>
      <w:pPr>
        <w:pStyle w:val="Normal"/>
        <w:bidi w:val="0"/>
        <w:jc w:val="left"/>
        <w:rPr/>
      </w:pPr>
      <w:r>
        <w:rPr/>
      </w:r>
    </w:p>
    <w:p>
      <w:pPr>
        <w:pStyle w:val="Normal"/>
        <w:bidi w:val="0"/>
        <w:spacing w:lineRule="auto" w:line="240"/>
        <w:ind w:left="1134" w:right="0" w:hanging="0"/>
        <w:jc w:val="both"/>
        <w:rPr/>
      </w:pPr>
      <w:r>
        <w:rPr>
          <w:sz w:val="20"/>
          <w:szCs w:val="20"/>
        </w:rPr>
        <w:t>“</w:t>
      </w:r>
      <w:r>
        <w:rPr>
          <w:rFonts w:cs="Calibri" w:ascii="Calibri" w:hAnsi="Calibri"/>
          <w:color w:val="auto"/>
          <w:sz w:val="20"/>
          <w:szCs w:val="20"/>
        </w:rPr>
        <w:t>Os Materiais e Equipamentos Esportivos deverão ser entregues em local definido em Ordem de Compra (requisição) emitida</w:t>
      </w:r>
      <w:r>
        <w:rPr>
          <w:rFonts w:eastAsia="Calibri" w:cs="Calibri" w:ascii="Calibri" w:hAnsi="Calibri"/>
          <w:color w:val="auto"/>
          <w:sz w:val="20"/>
          <w:szCs w:val="20"/>
          <w:lang w:eastAsia="en-US"/>
        </w:rPr>
        <w:t>, no local e horário indicados pela Contratante, sem custos adicionais; no prazo de até 15 dias após a emissão do empenho, podendo ser esse prazo prorrogado, caso aceito pela Secretaria responsável.</w:t>
      </w:r>
      <w:r>
        <w:rPr>
          <w:rFonts w:eastAsia="Calibri" w:cs="Calibri" w:ascii="Calibri" w:hAnsi="Calibri"/>
          <w:sz w:val="20"/>
          <w:szCs w:val="20"/>
          <w:lang w:eastAsia="en-US"/>
        </w:rPr>
        <w:t xml:space="preserve"> </w:t>
      </w:r>
      <w:r>
        <w:rPr>
          <w:rFonts w:cs="Calibri" w:ascii="Calibri" w:hAnsi="Calibri"/>
          <w:sz w:val="20"/>
          <w:szCs w:val="20"/>
        </w:rPr>
        <w:t>Comunicar à Contratante, no prazo máximo de 24 (vinte e quatro) horas que antecede a data da entrega, os motivos que impossibilitem o cumprimento do prazo previsto, com a devida comprovação.</w:t>
      </w:r>
    </w:p>
    <w:p>
      <w:pPr>
        <w:pStyle w:val="Normal"/>
        <w:suppressAutoHyphens w:val="false"/>
        <w:bidi w:val="0"/>
        <w:spacing w:lineRule="auto" w:line="240"/>
        <w:ind w:left="1134" w:right="0" w:hanging="0"/>
        <w:jc w:val="both"/>
        <w:rPr/>
      </w:pPr>
      <w:r>
        <w:rPr>
          <w:rFonts w:cs="Calibri" w:ascii="Calibri" w:hAnsi="Calibri"/>
          <w:sz w:val="20"/>
          <w:szCs w:val="20"/>
        </w:rPr>
        <w:tab/>
        <w:t>Não será recebido e, consequentemente, será colocado à disposição da CONTRATADA, o objeto que não for compatível com as características exigidas neste Termo de Referência, ou ainda, que apresente qualquer tipo de avaria e/ou falha.</w:t>
      </w:r>
    </w:p>
    <w:p>
      <w:pPr>
        <w:pStyle w:val="Normal"/>
        <w:suppressAutoHyphens w:val="false"/>
        <w:bidi w:val="0"/>
        <w:spacing w:lineRule="auto" w:line="240"/>
        <w:ind w:left="1134" w:right="0" w:hanging="0"/>
        <w:jc w:val="both"/>
        <w:rPr/>
      </w:pPr>
      <w:r>
        <w:rPr>
          <w:rFonts w:cs="Calibri" w:ascii="Calibri" w:hAnsi="Calibri"/>
          <w:color w:val="FF0000"/>
          <w:sz w:val="20"/>
          <w:szCs w:val="20"/>
        </w:rPr>
        <w:tab/>
        <w:t xml:space="preserve"> </w:t>
      </w:r>
      <w:r>
        <w:rPr>
          <w:rFonts w:cs="Calibri" w:ascii="Calibri" w:hAnsi="Calibri"/>
          <w:sz w:val="20"/>
          <w:szCs w:val="20"/>
        </w:rPr>
        <w:t xml:space="preserve">O produto deverá ser novo, livre de defeitos, avarias e/ou imperfeições que impeçam ou reduzam o seu uso, observando rigorosamente as características especificadas no Termo de Referência, com garantia mínima de 01 (um) ano ou garantia com tempo maior estabelecida pelo fabricante, devendo cobrir todo e qualquer defeito apresentado, incluindo fornecimento e a substituição de peças e/ou componentes, reparos e demais correções necessárias (nos materiais que assim o permitam), incluindo todas as despesas decorrentes do deslocamento do técnico, a qual prevalecerá, a contar da entrega e emissão da nota fiscal, fornecidos em embalagem original do fabricante lacrada, acompanhado de todos os seus acessórios, manual de utilização, instalação e certificações, quando aplicar-se. Os bens devem estar acompanhados, ainda, quando for o caso, do manual do usuário, com uma versão em português, e da relação da rede de assistência técnica autorizada. </w:t>
      </w:r>
    </w:p>
    <w:p>
      <w:pPr>
        <w:pStyle w:val="Normal"/>
        <w:suppressAutoHyphens w:val="false"/>
        <w:bidi w:val="0"/>
        <w:spacing w:lineRule="auto" w:line="240"/>
        <w:ind w:left="1134" w:right="0" w:hanging="0"/>
        <w:jc w:val="both"/>
        <w:rPr/>
      </w:pPr>
      <w:r>
        <w:rPr>
          <w:rFonts w:cs="Calibri" w:ascii="Calibri" w:hAnsi="Calibri"/>
          <w:sz w:val="20"/>
          <w:szCs w:val="20"/>
        </w:rPr>
        <w:tab/>
        <w:t xml:space="preserve">Depois de recebido, o objeto será conferido pelo setor solicitante, caso se constate qualquer irregularidade, a CONTRATADA deverá substituí-lo sem ônus à CONTRATANTE, no prazo máximo de 15 (QUINZE) dias corridos, a contar do recebimento da notificação formal emitida (por e-mail, mensagem). No caso de substituição, a CONTRATADA deverá substituir o produto por outro novo da mesma espécie, marca e modelo, em perfeita condição de uso e será iniciado um novo prazo de garantia de fábrica conforme prazos estabelecidos acima mencionados. Em caso de substituição do objeto, conforme previsto correrão às expensas da CONTRATADA as despesas decorrentes da devolução e nova entrega do objeto adquirido. </w:t>
      </w:r>
    </w:p>
    <w:p>
      <w:pPr>
        <w:pStyle w:val="Normal"/>
        <w:suppressAutoHyphens w:val="false"/>
        <w:bidi w:val="0"/>
        <w:spacing w:lineRule="auto" w:line="240"/>
        <w:ind w:left="1134" w:right="0" w:hanging="0"/>
        <w:jc w:val="both"/>
        <w:rPr/>
      </w:pPr>
      <w:r>
        <w:rPr>
          <w:rFonts w:eastAsia="Calibri" w:cs="Calibri" w:ascii="Calibri" w:hAnsi="Calibri"/>
          <w:sz w:val="20"/>
          <w:szCs w:val="20"/>
        </w:rPr>
        <w:t xml:space="preserve"> </w:t>
      </w:r>
      <w:r>
        <w:rPr>
          <w:rFonts w:cs="Calibri" w:ascii="Calibri" w:hAnsi="Calibri"/>
          <w:sz w:val="20"/>
          <w:szCs w:val="20"/>
        </w:rPr>
        <w:t>O objeto deverá ser entregue com todas as funcionalidades necessárias ao seu perfeito uso, juntamente acessórios quando houver.  Todo e qualquer ônus decorrente da entrega do objeto, inclusive</w:t>
      </w:r>
      <w:r>
        <w:rPr>
          <w:rFonts w:cs="Calibri" w:ascii="Calibri" w:hAnsi="Calibri"/>
          <w:color w:val="FF0000"/>
          <w:sz w:val="20"/>
          <w:szCs w:val="20"/>
        </w:rPr>
        <w:t xml:space="preserve"> </w:t>
      </w:r>
      <w:r>
        <w:rPr>
          <w:rFonts w:cs="Calibri" w:ascii="Calibri" w:hAnsi="Calibri"/>
          <w:sz w:val="20"/>
          <w:szCs w:val="20"/>
        </w:rPr>
        <w:t xml:space="preserve">frete, será de inteira responsabilidade da CONTRATADA, não sendo a CONTRATANTE responsável pelo fornecimento de mão de obra para viabilizar o transporte.  </w:t>
      </w:r>
    </w:p>
    <w:p>
      <w:pPr>
        <w:pStyle w:val="Normal"/>
        <w:suppressAutoHyphens w:val="false"/>
        <w:bidi w:val="0"/>
        <w:spacing w:lineRule="auto" w:line="240"/>
        <w:ind w:left="1134" w:right="0" w:hanging="0"/>
        <w:jc w:val="both"/>
        <w:rPr/>
      </w:pPr>
      <w:r>
        <w:rPr>
          <w:rFonts w:cs="Calibri" w:ascii="Calibri" w:hAnsi="Calibri"/>
          <w:sz w:val="20"/>
          <w:szCs w:val="20"/>
        </w:rPr>
        <w:tab/>
      </w:r>
      <w:r>
        <w:rPr>
          <w:rFonts w:eastAsia="Calibri" w:cs="Calibri" w:ascii="Calibri" w:hAnsi="Calibri"/>
          <w:sz w:val="20"/>
          <w:szCs w:val="20"/>
          <w:lang w:eastAsia="en-US"/>
        </w:rPr>
        <w:t>Todos os custos com deslocamento, impostos, taxas, pedágios, fretes e demais despesas que por ventura ocorrerem serão de responsabilidade da empresa vencedora.</w:t>
      </w:r>
    </w:p>
    <w:p>
      <w:pPr>
        <w:pStyle w:val="Normal"/>
        <w:bidi w:val="0"/>
        <w:spacing w:lineRule="auto" w:line="240"/>
        <w:ind w:left="1134" w:right="0" w:hanging="0"/>
        <w:jc w:val="both"/>
        <w:rPr/>
      </w:pPr>
      <w:r>
        <w:rPr>
          <w:rFonts w:eastAsia="Calibri" w:cs="Calibri" w:ascii="Calibri" w:hAnsi="Calibri"/>
          <w:sz w:val="20"/>
          <w:szCs w:val="20"/>
          <w:lang w:eastAsia="en-US"/>
        </w:rPr>
        <w:tab/>
      </w:r>
      <w:r>
        <w:rPr>
          <w:rFonts w:cs="Calibri" w:ascii="Calibri" w:hAnsi="Calibri"/>
          <w:bCs/>
          <w:color w:val="000000"/>
          <w:sz w:val="20"/>
          <w:szCs w:val="20"/>
          <w:shd w:fill="FFFFFE" w:val="clear"/>
        </w:rPr>
        <w:t>Os servidores nomeados para a FISCALIZAÇÃO para o recebimento deverão verificar a descrição do TR e confrontá-la, informando imediatamente ao GESTOR RESPONSÁVEL quanto a qualquer divergência ou irregularidade observada no recebimento”.</w:t>
      </w:r>
    </w:p>
    <w:p>
      <w:pPr>
        <w:pStyle w:val="Normal"/>
        <w:bidi w:val="0"/>
        <w:spacing w:lineRule="auto" w:line="240"/>
        <w:ind w:left="1134" w:right="0" w:hanging="0"/>
        <w:jc w:val="both"/>
        <w:rPr/>
      </w:pPr>
      <w:r>
        <w:rPr>
          <w:sz w:val="20"/>
          <w:szCs w:val="20"/>
        </w:rPr>
      </w:r>
    </w:p>
    <w:p>
      <w:pPr>
        <w:pStyle w:val="Normal"/>
        <w:bidi w:val="0"/>
        <w:spacing w:lineRule="auto" w:line="240"/>
        <w:ind w:left="1134" w:right="0" w:hanging="0"/>
        <w:jc w:val="both"/>
        <w:rPr/>
      </w:pPr>
      <w:r>
        <w:rPr>
          <w:sz w:val="22"/>
          <w:szCs w:val="22"/>
        </w:rPr>
      </w:r>
    </w:p>
    <w:p>
      <w:pPr>
        <w:pStyle w:val="Normal"/>
        <w:numPr>
          <w:ilvl w:val="0"/>
          <w:numId w:val="2"/>
        </w:numPr>
        <w:bidi w:val="0"/>
        <w:spacing w:lineRule="auto" w:line="276"/>
        <w:jc w:val="both"/>
        <w:rPr/>
      </w:pPr>
      <w:r>
        <w:rPr>
          <w:rFonts w:cs="Calibri" w:ascii="Calibri" w:hAnsi="Calibri"/>
          <w:bCs/>
          <w:color w:val="000000"/>
          <w:sz w:val="24"/>
          <w:szCs w:val="24"/>
          <w:shd w:fill="FFFFFE" w:val="clear"/>
        </w:rPr>
        <w:t xml:space="preserve">Quanto a observação ao </w:t>
      </w:r>
      <w:r>
        <w:rPr>
          <w:rFonts w:cs="Google Sans;Arial" w:ascii="Google Sans;Arial" w:hAnsi="Google Sans;Arial"/>
          <w:b w:val="false"/>
          <w:bCs/>
          <w:i w:val="false"/>
          <w:caps w:val="false"/>
          <w:smallCaps w:val="false"/>
          <w:color w:val="001D35"/>
          <w:spacing w:val="0"/>
          <w:sz w:val="24"/>
          <w:shd w:fill="FFFFFE" w:val="clear"/>
        </w:rPr>
        <w:t>§ 1°do</w:t>
      </w:r>
      <w:r>
        <w:rPr>
          <w:rFonts w:cs="Calibri" w:ascii="Calibri" w:hAnsi="Calibri"/>
          <w:bCs/>
          <w:color w:val="000000"/>
          <w:shd w:fill="FFFFFE" w:val="clear"/>
        </w:rPr>
        <w:t xml:space="preserve"> </w:t>
      </w:r>
      <w:r>
        <w:rPr>
          <w:rFonts w:cs="Calibri" w:ascii="Calibri" w:hAnsi="Calibri"/>
          <w:bCs/>
          <w:color w:val="000000"/>
          <w:sz w:val="24"/>
          <w:szCs w:val="24"/>
          <w:shd w:fill="FFFFFE" w:val="clear"/>
        </w:rPr>
        <w:t>artigo 18 inciso II, não necessita ser considerado nesta licitação, pois refere-se ao próximo PCA (2025).</w:t>
      </w:r>
    </w:p>
    <w:p>
      <w:pPr>
        <w:pStyle w:val="Normal"/>
        <w:bidi w:val="0"/>
        <w:spacing w:lineRule="auto" w:line="276"/>
        <w:jc w:val="both"/>
        <w:rPr/>
      </w:pPr>
      <w:r>
        <w:rPr/>
      </w:r>
    </w:p>
    <w:p>
      <w:pPr>
        <w:pStyle w:val="Normal"/>
        <w:bidi w:val="0"/>
        <w:spacing w:lineRule="auto" w:line="276"/>
        <w:jc w:val="both"/>
        <w:rPr/>
      </w:pPr>
      <w:r>
        <w:rPr/>
      </w:r>
    </w:p>
    <w:p>
      <w:pPr>
        <w:pStyle w:val="Normal"/>
        <w:numPr>
          <w:ilvl w:val="0"/>
          <w:numId w:val="2"/>
        </w:numPr>
        <w:bidi w:val="0"/>
        <w:spacing w:lineRule="auto" w:line="276"/>
        <w:jc w:val="both"/>
        <w:rPr/>
      </w:pPr>
      <w:r>
        <w:rPr>
          <w:rFonts w:cs="Calibri" w:ascii="Calibri" w:hAnsi="Calibri"/>
          <w:bCs/>
          <w:color w:val="000000"/>
          <w:sz w:val="24"/>
          <w:szCs w:val="24"/>
          <w:shd w:fill="FFFFFE" w:val="clear"/>
        </w:rPr>
        <w:t xml:space="preserve">Quanto a observação ao </w:t>
      </w:r>
      <w:r>
        <w:rPr>
          <w:rFonts w:cs="Google Sans;Arial" w:ascii="Google Sans;Arial" w:hAnsi="Google Sans;Arial"/>
          <w:b w:val="false"/>
          <w:bCs/>
          <w:i w:val="false"/>
          <w:caps w:val="false"/>
          <w:smallCaps w:val="false"/>
          <w:color w:val="001D35"/>
          <w:spacing w:val="0"/>
          <w:sz w:val="24"/>
          <w:szCs w:val="24"/>
          <w:shd w:fill="FFFFFE" w:val="clear"/>
        </w:rPr>
        <w:t>§ 1°do</w:t>
      </w:r>
      <w:r>
        <w:rPr>
          <w:rFonts w:cs="Calibri" w:ascii="Calibri" w:hAnsi="Calibri"/>
          <w:bCs/>
          <w:color w:val="000000"/>
          <w:sz w:val="24"/>
          <w:szCs w:val="24"/>
          <w:shd w:fill="FFFFFE" w:val="clear"/>
        </w:rPr>
        <w:t xml:space="preserve"> artigo 18 inciso II, no que se refere aos “requisitos da contratação” – cujo o ETP também faz referências, conforme abaixo:</w:t>
      </w:r>
    </w:p>
    <w:p>
      <w:pPr>
        <w:pStyle w:val="Normal"/>
        <w:bidi w:val="0"/>
        <w:spacing w:lineRule="auto" w:line="276"/>
        <w:jc w:val="both"/>
        <w:rPr/>
      </w:pPr>
      <w:r>
        <w:rPr/>
      </w:r>
    </w:p>
    <w:p>
      <w:pPr>
        <w:pStyle w:val="Normal"/>
        <w:suppressAutoHyphens w:val="false"/>
        <w:bidi w:val="0"/>
        <w:spacing w:lineRule="auto" w:line="240"/>
        <w:ind w:left="1134" w:right="0" w:hanging="0"/>
        <w:jc w:val="both"/>
        <w:rPr/>
      </w:pPr>
      <w:r>
        <w:rPr>
          <w:rFonts w:eastAsia="Calibri" w:cs="Calibri" w:ascii="Calibri" w:hAnsi="Calibri"/>
          <w:sz w:val="20"/>
          <w:szCs w:val="20"/>
          <w:lang w:eastAsia="en-US"/>
        </w:rPr>
        <w:t>“</w:t>
      </w:r>
      <w:r>
        <w:rPr>
          <w:rFonts w:eastAsia="Calibri" w:cs="Calibri" w:ascii="Calibri" w:hAnsi="Calibri"/>
          <w:sz w:val="20"/>
          <w:szCs w:val="20"/>
          <w:lang w:eastAsia="en-US"/>
        </w:rPr>
        <w:t>Os bens têm natureza de bens comuns, tendo em vista que seus padrões de desempenho e qualidade podem ser objetivamente definidos pelo edital, por meio de especificações usuais de mercado, nos termos do art. 6º, inciso XIII, da Lei Federal nº 14.133/2021.</w:t>
      </w:r>
    </w:p>
    <w:p>
      <w:pPr>
        <w:pStyle w:val="Normal"/>
        <w:suppressAutoHyphens w:val="false"/>
        <w:bidi w:val="0"/>
        <w:spacing w:lineRule="auto" w:line="240"/>
        <w:ind w:left="1134" w:right="0" w:hanging="0"/>
        <w:jc w:val="both"/>
        <w:rPr/>
      </w:pPr>
      <w:r>
        <w:rPr>
          <w:rFonts w:eastAsia="Calibri" w:cs="Calibri" w:ascii="Calibri" w:hAnsi="Calibri"/>
          <w:sz w:val="20"/>
          <w:szCs w:val="20"/>
          <w:lang w:eastAsia="en-US"/>
        </w:rPr>
        <w:tab/>
        <w:t xml:space="preserve">A contratação será realizada por meio de licitação, na modalidade Pregão, na sua forma eletrônica, com critério de julgamento por menor preço, nos termos dos artigos 6º, inciso XLI, 17, § 2º, e 34, todos da Lei Federal nº 14.133/2021. </w:t>
      </w:r>
      <w:r>
        <w:rPr>
          <w:rFonts w:eastAsia="Calibri" w:cs="Calibri" w:ascii="Calibri" w:hAnsi="Calibri"/>
          <w:color w:val="000000"/>
          <w:sz w:val="20"/>
          <w:szCs w:val="20"/>
          <w:lang w:eastAsia="en-US"/>
        </w:rPr>
        <w:t xml:space="preserve">É vedada a subcontratação ou transferência total ou parcial dos objetos a serem licitados. O Instrumento utilizado para contratação será Ata de Registro de Preços, podendo ser Renovada por igual período caso haja interesse da Contratante. Será adotada a exclusividade para ME e EPP, conforme LC 123/2006. </w:t>
      </w:r>
      <w:r>
        <w:rPr>
          <w:rFonts w:eastAsia="Calibri" w:cs="Calibri" w:ascii="Calibri" w:hAnsi="Calibri"/>
          <w:b w:val="false"/>
          <w:bCs w:val="false"/>
          <w:color w:val="auto"/>
          <w:sz w:val="20"/>
          <w:szCs w:val="20"/>
          <w:lang w:eastAsia="en-US"/>
        </w:rPr>
        <w:t>Os itens 1, 2, 3, 4, 5, 6, 7, 8, 9, 10, 11, 12, 13, 14, 15, 16, 17, 18, 19, 22, 29, 30, 31, 32, 33, 34, 35, 36, 40, 41, 42, 43, 44 e 45 necessitam de amostra prévia para aprovação de marca/material. As marcas e modelos citados nos itens 3, 5, 6, 7, 8, 10, 11, 12, 13, 29 e 43 serão consideradas pré aprovadas.</w:t>
      </w:r>
    </w:p>
    <w:p>
      <w:pPr>
        <w:pStyle w:val="Normal"/>
        <w:suppressAutoHyphens w:val="false"/>
        <w:bidi w:val="0"/>
        <w:spacing w:lineRule="auto" w:line="240"/>
        <w:ind w:left="1134" w:right="0" w:hanging="0"/>
        <w:jc w:val="both"/>
        <w:rPr/>
      </w:pPr>
      <w:r>
        <w:rPr>
          <w:rFonts w:cs="Calibri" w:ascii="Calibri" w:hAnsi="Calibri"/>
          <w:sz w:val="20"/>
          <w:szCs w:val="20"/>
        </w:rPr>
        <w:tab/>
      </w:r>
      <w:r>
        <w:rPr>
          <w:rFonts w:cs="Calibri" w:ascii="Calibri" w:hAnsi="Calibri"/>
          <w:color w:val="auto"/>
          <w:sz w:val="20"/>
          <w:szCs w:val="20"/>
        </w:rPr>
        <w:t>Os Materiais e Equipamentos Esportivos deverão ser entregues em local definido em Ordem de Compra (requisição) emitida</w:t>
      </w:r>
      <w:r>
        <w:rPr>
          <w:rFonts w:eastAsia="Calibri" w:cs="Calibri" w:ascii="Calibri" w:hAnsi="Calibri"/>
          <w:color w:val="auto"/>
          <w:sz w:val="20"/>
          <w:szCs w:val="20"/>
          <w:lang w:eastAsia="en-US"/>
        </w:rPr>
        <w:t>, no local e horário indicados pela Contratante, sem custos adicionais; no prazo de até 15 dias após a emissão do empenho, podendo ser esse prazo prorrogado, caso aceito pela Secretaria responsável.</w:t>
      </w:r>
      <w:r>
        <w:rPr>
          <w:rFonts w:eastAsia="Calibri" w:cs="Calibri" w:ascii="Calibri" w:hAnsi="Calibri"/>
          <w:sz w:val="20"/>
          <w:szCs w:val="20"/>
          <w:lang w:eastAsia="en-US"/>
        </w:rPr>
        <w:t xml:space="preserve"> </w:t>
      </w:r>
      <w:r>
        <w:rPr>
          <w:rFonts w:cs="Calibri" w:ascii="Calibri" w:hAnsi="Calibri"/>
          <w:sz w:val="20"/>
          <w:szCs w:val="20"/>
        </w:rPr>
        <w:t>Comunicar à Contratante, no prazo máximo de 24 (vinte e quatro) horas que antecede a data da entrega, os motivos que impossibilitem o cumprimento do prazo previsto, com a devida comprovação;</w:t>
      </w:r>
    </w:p>
    <w:p>
      <w:pPr>
        <w:pStyle w:val="Normal"/>
        <w:suppressAutoHyphens w:val="false"/>
        <w:bidi w:val="0"/>
        <w:spacing w:lineRule="auto" w:line="240"/>
        <w:ind w:left="1134" w:right="0" w:hanging="0"/>
        <w:jc w:val="both"/>
        <w:rPr/>
      </w:pPr>
      <w:r>
        <w:rPr>
          <w:rFonts w:cs="Calibri" w:ascii="Calibri" w:hAnsi="Calibri"/>
          <w:sz w:val="20"/>
          <w:szCs w:val="20"/>
        </w:rPr>
        <w:tab/>
        <w:t>Não será recebido e, consequentemente, será colocado à disposição da CONTRATADA, o objeto que não for compatível com as características exigidas neste Termo de Referência, ou ainda, que apresente qualquer tipo de avaria e/ou falha.</w:t>
      </w:r>
    </w:p>
    <w:p>
      <w:pPr>
        <w:pStyle w:val="Normal"/>
        <w:suppressAutoHyphens w:val="false"/>
        <w:bidi w:val="0"/>
        <w:spacing w:lineRule="auto" w:line="240"/>
        <w:ind w:left="1134" w:right="0" w:hanging="0"/>
        <w:jc w:val="both"/>
        <w:rPr/>
      </w:pPr>
      <w:r>
        <w:rPr>
          <w:rFonts w:cs="Calibri" w:ascii="Calibri" w:hAnsi="Calibri"/>
          <w:color w:val="FF0000"/>
          <w:sz w:val="20"/>
          <w:szCs w:val="20"/>
        </w:rPr>
        <w:tab/>
        <w:t xml:space="preserve"> </w:t>
      </w:r>
      <w:r>
        <w:rPr>
          <w:rFonts w:cs="Calibri" w:ascii="Calibri" w:hAnsi="Calibri"/>
          <w:sz w:val="20"/>
          <w:szCs w:val="20"/>
        </w:rPr>
        <w:t xml:space="preserve">O produto deverá ser novo, livre de defeitos, avarias e/ou imperfeições que impeçam ou reduzam o seu uso, observando rigorosamente as características especificadas no Termo de Referência, com garantia mínima de 01 (um) ano ou garantia com tempo maior estabelecida pelo fabricante, devendo cobrir todo e qualquer defeito apresentado, incluindo fornecimento e a substituição de peças e/ou componentes, reparos e demais correções necessárias (nos materiais que assim o permitam), incluindo todas as despesas decorrentes do deslocamento do técnico, a qual prevalecerá, a contar da entrega e emissão da nota fiscal, fornecidos em embalagem original do fabricante lacrada, acompanhado de todos os seus acessórios, manual de utilização, instalação e certificações, quando aplicar-se. Os bens devem estar acompanhados, ainda, quando for o caso, do manual do usuário, com uma versão em português, e da relação da rede de assistência técnica autorizada. </w:t>
      </w:r>
    </w:p>
    <w:p>
      <w:pPr>
        <w:pStyle w:val="Normal"/>
        <w:suppressAutoHyphens w:val="false"/>
        <w:bidi w:val="0"/>
        <w:spacing w:lineRule="auto" w:line="240"/>
        <w:ind w:left="1134" w:right="0" w:hanging="0"/>
        <w:jc w:val="both"/>
        <w:rPr/>
      </w:pPr>
      <w:r>
        <w:rPr>
          <w:rFonts w:cs="Calibri" w:ascii="Calibri" w:hAnsi="Calibri"/>
          <w:sz w:val="20"/>
          <w:szCs w:val="20"/>
        </w:rPr>
        <w:tab/>
        <w:t xml:space="preserve">Depois de recebido, o objeto será conferido pelo setor solicitante, caso se constate qualquer irregularidade, a CONTRATADA deverá substituí-lo sem ônus à CONTRATANTE, no prazo máximo de 15 (QUINZE) dias corridos, a contar do recebimento da notificação formal emitida (por e-mail, mensagem). No caso de substituição, a CONTRATADA deverá substituir o produto por outro novo da mesma espécie, marca e modelo, em perfeita condição de uso e será iniciado um novo prazo de garantia de fábrica conforme prazos estabelecidos acima mencionados. Em caso de substituição do objeto, conforme previsto correrão às expensas da CONTRATADA as despesas decorrentes da devolução e nova entrega do objeto adquirido. </w:t>
      </w:r>
    </w:p>
    <w:p>
      <w:pPr>
        <w:pStyle w:val="Normal"/>
        <w:suppressAutoHyphens w:val="false"/>
        <w:bidi w:val="0"/>
        <w:spacing w:lineRule="auto" w:line="240"/>
        <w:ind w:left="1134" w:right="0" w:hanging="0"/>
        <w:jc w:val="both"/>
        <w:rPr/>
      </w:pPr>
      <w:r>
        <w:rPr>
          <w:rFonts w:eastAsia="Calibri" w:cs="Calibri" w:ascii="Calibri" w:hAnsi="Calibri"/>
          <w:sz w:val="20"/>
          <w:szCs w:val="20"/>
        </w:rPr>
        <w:t xml:space="preserve"> </w:t>
      </w:r>
      <w:r>
        <w:rPr>
          <w:rFonts w:cs="Calibri" w:ascii="Calibri" w:hAnsi="Calibri"/>
          <w:sz w:val="20"/>
          <w:szCs w:val="20"/>
        </w:rPr>
        <w:t>O objeto deverá ser entregue com todas as funcionalidades necessárias ao seu perfeito uso, juntamente acessórios quando houver.  Todo e qualquer ônus decorrente da entrega do objeto, inclusive</w:t>
      </w:r>
      <w:r>
        <w:rPr>
          <w:rFonts w:cs="Calibri" w:ascii="Calibri" w:hAnsi="Calibri"/>
          <w:color w:val="FF0000"/>
          <w:sz w:val="20"/>
          <w:szCs w:val="20"/>
        </w:rPr>
        <w:t xml:space="preserve"> </w:t>
      </w:r>
      <w:r>
        <w:rPr>
          <w:rFonts w:cs="Calibri" w:ascii="Calibri" w:hAnsi="Calibri"/>
          <w:sz w:val="20"/>
          <w:szCs w:val="20"/>
        </w:rPr>
        <w:t xml:space="preserve">frete, será de inteira responsabilidade da CONTRATADA, não sendo a CONTRATANTE responsável pelo fornecimento de mão de obra para viabilizar o transporte.  </w:t>
      </w:r>
    </w:p>
    <w:p>
      <w:pPr>
        <w:pStyle w:val="Normal"/>
        <w:suppressAutoHyphens w:val="false"/>
        <w:bidi w:val="0"/>
        <w:spacing w:lineRule="auto" w:line="240"/>
        <w:ind w:left="1134" w:right="0" w:hanging="0"/>
        <w:jc w:val="both"/>
        <w:rPr/>
      </w:pPr>
      <w:r>
        <w:rPr>
          <w:rFonts w:cs="Calibri" w:ascii="Calibri" w:hAnsi="Calibri"/>
          <w:sz w:val="20"/>
          <w:szCs w:val="20"/>
        </w:rPr>
        <w:tab/>
      </w:r>
      <w:r>
        <w:rPr>
          <w:rFonts w:eastAsia="Calibri" w:cs="Calibri" w:ascii="Calibri" w:hAnsi="Calibri"/>
          <w:sz w:val="20"/>
          <w:szCs w:val="20"/>
          <w:lang w:eastAsia="en-US"/>
        </w:rPr>
        <w:t>Todos os custos com deslocamento, impostos, taxas, pedágios, fretes e demais despesas que por ventura ocorrerem serão de responsabilidade da empresa vencedora.</w:t>
      </w:r>
    </w:p>
    <w:p>
      <w:pPr>
        <w:pStyle w:val="Normal"/>
        <w:bidi w:val="0"/>
        <w:spacing w:lineRule="auto" w:line="240"/>
        <w:ind w:left="1134" w:right="0" w:hanging="0"/>
        <w:jc w:val="both"/>
        <w:rPr/>
      </w:pPr>
      <w:r>
        <w:rPr>
          <w:rFonts w:eastAsia="Calibri" w:cs="Calibri" w:ascii="Calibri" w:hAnsi="Calibri"/>
          <w:sz w:val="20"/>
          <w:szCs w:val="20"/>
          <w:lang w:eastAsia="en-US"/>
        </w:rPr>
        <w:tab/>
      </w:r>
      <w:r>
        <w:rPr>
          <w:rFonts w:cs="Calibri" w:ascii="Calibri" w:hAnsi="Calibri"/>
          <w:bCs/>
          <w:color w:val="000000"/>
          <w:sz w:val="20"/>
          <w:szCs w:val="20"/>
          <w:shd w:fill="FFFFFE" w:val="clear"/>
        </w:rPr>
        <w:t>Os servidores nomeados para a FISCALIZAÇÃO para o recebimento deverão verificar a descrição do TR e confrontá-la, informando imediatamente ao GESTOR RESPONSÁVEL quanto a qualquer divergência ou irregularidade observada no recebimento”.</w:t>
      </w:r>
    </w:p>
    <w:p>
      <w:pPr>
        <w:pStyle w:val="NormalWeb"/>
        <w:bidi w:val="0"/>
        <w:spacing w:lineRule="auto" w:line="360" w:before="0" w:after="0"/>
        <w:jc w:val="both"/>
        <w:rPr/>
      </w:pPr>
      <w:r>
        <w:rPr>
          <w:rFonts w:cs="Calibri" w:ascii="Calibri" w:hAnsi="Calibri"/>
          <w:bCs/>
          <w:color w:val="FF0000"/>
          <w:sz w:val="24"/>
          <w:szCs w:val="24"/>
          <w:shd w:fill="FFFFFE" w:val="clear"/>
        </w:rPr>
        <w:tab/>
      </w:r>
    </w:p>
    <w:p>
      <w:pPr>
        <w:pStyle w:val="Normal"/>
        <w:bidi w:val="0"/>
        <w:spacing w:lineRule="auto" w:line="276"/>
        <w:jc w:val="both"/>
        <w:rPr/>
      </w:pPr>
      <w:r>
        <w:rPr/>
      </w:r>
    </w:p>
    <w:p>
      <w:pPr>
        <w:pStyle w:val="Normal"/>
        <w:numPr>
          <w:ilvl w:val="0"/>
          <w:numId w:val="4"/>
        </w:numPr>
        <w:bidi w:val="0"/>
        <w:spacing w:lineRule="auto" w:line="276"/>
        <w:jc w:val="both"/>
        <w:rPr/>
      </w:pPr>
      <w:r>
        <w:rPr>
          <w:rFonts w:cs="Calibri" w:ascii="Calibri" w:hAnsi="Calibri"/>
          <w:bCs/>
          <w:color w:val="000000"/>
          <w:sz w:val="24"/>
          <w:szCs w:val="24"/>
          <w:shd w:fill="FFFFFE" w:val="clear"/>
        </w:rPr>
        <w:t>No que se refere ao item “A, B e E” considerações de recebimento/entrega já foram mencionados acima. No que se refere a padrões de qualidade, o mesmo leva-se em conta a descrição do material e em caso de materiais mais específicos, tem-se como padrão de conformidade técnica e qualidade as “chancelas” exigidas das respectivas federações de acordo com o material utilizado pelas mesmas. Quanto aos requisitos funcionais encontram-se com a seguinte redação:</w:t>
      </w:r>
    </w:p>
    <w:p>
      <w:pPr>
        <w:pStyle w:val="Normal"/>
        <w:bidi w:val="0"/>
        <w:spacing w:lineRule="auto" w:line="276"/>
        <w:ind w:left="0" w:right="0" w:hanging="0"/>
        <w:jc w:val="both"/>
        <w:rPr/>
      </w:pPr>
      <w:r>
        <w:rPr/>
      </w:r>
    </w:p>
    <w:p>
      <w:pPr>
        <w:pStyle w:val="Normal"/>
        <w:bidi w:val="0"/>
        <w:spacing w:lineRule="auto" w:line="276"/>
        <w:ind w:left="1134" w:right="0" w:hanging="0"/>
        <w:jc w:val="both"/>
        <w:rPr/>
      </w:pPr>
      <w:r>
        <w:rPr>
          <w:rFonts w:cs="Calibri" w:ascii="Calibri" w:hAnsi="Calibri"/>
          <w:bCs/>
          <w:color w:val="000000"/>
          <w:sz w:val="20"/>
          <w:szCs w:val="20"/>
          <w:shd w:fill="FFFFFE" w:val="clear"/>
        </w:rPr>
        <w:t>“</w:t>
      </w:r>
      <w:r>
        <w:rPr>
          <w:rFonts w:cs="Calibri" w:ascii="Calibri" w:hAnsi="Calibri"/>
          <w:bCs/>
          <w:color w:val="000000"/>
          <w:sz w:val="20"/>
          <w:szCs w:val="20"/>
          <w:shd w:fill="FFFFFE" w:val="clear"/>
        </w:rPr>
        <w:t xml:space="preserve">Este estudo técnico preliminar tem como objetivo fundamentar a aquisição de </w:t>
      </w:r>
      <w:r>
        <w:rPr>
          <w:rFonts w:eastAsia="Calibri" w:cs="Calibri" w:ascii="Calibri" w:hAnsi="Calibri"/>
          <w:bCs/>
          <w:color w:val="000000"/>
          <w:sz w:val="20"/>
          <w:szCs w:val="20"/>
          <w:shd w:fill="FFFFFE" w:val="clear"/>
          <w:lang w:eastAsia="en-US"/>
        </w:rPr>
        <w:t>materiais educativos e esportivos</w:t>
      </w:r>
      <w:r>
        <w:rPr>
          <w:rFonts w:cs="Calibri" w:ascii="Calibri" w:hAnsi="Calibri"/>
          <w:bCs/>
          <w:color w:val="000000"/>
          <w:sz w:val="20"/>
          <w:szCs w:val="20"/>
          <w:shd w:fill="FFFFFE" w:val="clear"/>
        </w:rPr>
        <w:t xml:space="preserve"> destinados às escolas municipais de Educação Infantil (EMEIs), Ensino Fundamental (EMEFs), e Secretaria de Cultura Turismo Esporte e Lazer. A iniciativa visa garantir a reposição, atualização dos recursos materiais utilizados no ambiente escolar, promovendo condições adequadas para o desenvolvimento pedagógico, a segurança dos estudantes e a eficiência das atividades de ensino, bem como garantir materiais para competições esportivas educacionais (JERGS) e amadoras (Campeonatos Municipais de Futebol, Futsal, Bocha, Voleibol, dentre outros).</w:t>
      </w:r>
    </w:p>
    <w:p>
      <w:pPr>
        <w:pStyle w:val="Normal"/>
        <w:bidi w:val="0"/>
        <w:spacing w:lineRule="auto" w:line="276"/>
        <w:ind w:left="1134" w:right="0" w:hanging="0"/>
        <w:jc w:val="both"/>
        <w:rPr/>
      </w:pPr>
      <w:r>
        <w:rPr>
          <w:rFonts w:cs="Calibri" w:ascii="Calibri" w:hAnsi="Calibri"/>
          <w:bCs/>
          <w:color w:val="000000"/>
          <w:sz w:val="20"/>
          <w:szCs w:val="20"/>
          <w:shd w:fill="FFFFFE" w:val="clear"/>
        </w:rPr>
        <w:tab/>
        <w:t>A análise contempla o levantamento das necessidades específicas de cada unidade escolar e respectivas Secretarias, considerando fatores como necessidades de atendimento, infraestrutura existente, projetos pedagógicos, e normativas vigentes, calendário de competições, contribuindo para o fortalecimento e organização da infraestrutura escolar e o aprimoramento da qualidade do ensino ofertado às crianças e jovens atendidos pelas unidades escolares municipais, bem como suporte para as competições escolares e amadoras do município.”</w:t>
      </w:r>
    </w:p>
    <w:p>
      <w:pPr>
        <w:pStyle w:val="Normal"/>
        <w:bidi w:val="0"/>
        <w:spacing w:lineRule="auto" w:line="276"/>
        <w:ind w:left="0" w:right="0" w:hanging="0"/>
        <w:jc w:val="both"/>
        <w:rPr/>
      </w:pPr>
      <w:r>
        <w:rPr>
          <w:sz w:val="22"/>
          <w:szCs w:val="22"/>
        </w:rPr>
      </w:r>
    </w:p>
    <w:p>
      <w:pPr>
        <w:pStyle w:val="Normal"/>
        <w:numPr>
          <w:ilvl w:val="0"/>
          <w:numId w:val="3"/>
        </w:numPr>
        <w:bidi w:val="0"/>
        <w:spacing w:lineRule="auto" w:line="276"/>
        <w:jc w:val="both"/>
        <w:rPr/>
      </w:pPr>
      <w:r>
        <w:rPr>
          <w:rFonts w:cs="Calibri" w:ascii="Calibri" w:hAnsi="Calibri"/>
          <w:bCs/>
          <w:color w:val="000000"/>
          <w:sz w:val="24"/>
          <w:szCs w:val="24"/>
          <w:shd w:fill="FFFFFE" w:val="clear"/>
        </w:rPr>
        <w:t>No que se refere ao item “C”, as Secretarias não entendem que há restrição de competição uma vez que praticamente todos os itens possuem o código CATMAT e descrição padrão. Já o material que é específico necessita chancela federativa.</w:t>
      </w:r>
    </w:p>
    <w:p>
      <w:pPr>
        <w:pStyle w:val="Normal"/>
        <w:bidi w:val="0"/>
        <w:spacing w:lineRule="auto" w:line="276"/>
        <w:ind w:left="0" w:right="0" w:hanging="0"/>
        <w:jc w:val="both"/>
        <w:rPr/>
      </w:pPr>
      <w:r>
        <w:rPr>
          <w:sz w:val="24"/>
          <w:szCs w:val="24"/>
        </w:rPr>
      </w:r>
    </w:p>
    <w:p>
      <w:pPr>
        <w:pStyle w:val="Normal"/>
        <w:numPr>
          <w:ilvl w:val="0"/>
          <w:numId w:val="3"/>
        </w:numPr>
        <w:bidi w:val="0"/>
        <w:spacing w:lineRule="auto" w:line="276"/>
        <w:jc w:val="both"/>
        <w:rPr/>
      </w:pPr>
      <w:r>
        <w:rPr>
          <w:rFonts w:cs="Calibri" w:ascii="Calibri" w:hAnsi="Calibri"/>
          <w:bCs/>
          <w:color w:val="000000"/>
          <w:sz w:val="24"/>
          <w:szCs w:val="24"/>
          <w:shd w:fill="FFFFFE" w:val="clear"/>
        </w:rPr>
        <w:t>Quanto ao item “D”, a Secretaria visa implementar um mecanismo de reposição e manutenção de materiais esportivos, porém, no momento os educandários não possuem nem o mínimo necessário para manter uma rotina esportiva ou de reposição, pois a última compra de grande vulto de material esportivo (que não contemplou materiais de atletismo, por ex.), foi realizada entre 2009 e 2010 (não havendo registro preciso e anterior aos servidores em questão).</w:t>
      </w:r>
    </w:p>
    <w:p>
      <w:pPr>
        <w:pStyle w:val="Normal"/>
        <w:bidi w:val="0"/>
        <w:spacing w:lineRule="auto" w:line="276"/>
        <w:ind w:left="0" w:right="0" w:hanging="0"/>
        <w:jc w:val="both"/>
        <w:rPr/>
      </w:pPr>
      <w:r>
        <w:rPr>
          <w:sz w:val="24"/>
          <w:szCs w:val="24"/>
        </w:rPr>
      </w:r>
    </w:p>
    <w:p>
      <w:pPr>
        <w:pStyle w:val="Normal"/>
        <w:numPr>
          <w:ilvl w:val="0"/>
          <w:numId w:val="3"/>
        </w:numPr>
        <w:bidi w:val="0"/>
        <w:spacing w:lineRule="auto" w:line="276"/>
        <w:jc w:val="both"/>
        <w:rPr/>
      </w:pPr>
      <w:r>
        <w:rPr>
          <w:rFonts w:cs="Calibri" w:ascii="Calibri" w:hAnsi="Calibri"/>
          <w:bCs/>
          <w:color w:val="000000"/>
          <w:sz w:val="24"/>
          <w:szCs w:val="24"/>
          <w:shd w:fill="FFFFFE" w:val="clear"/>
        </w:rPr>
        <w:t>Isso também refere-se ao memorial de cálculo e estimativas de quantidades referidas no inciso “IV”, pois como não há compra de quantidades significativas de material esportivo a muitos anos, também não há base para memorial de cálculo ou comparativo de demanda (de meses ou anos). A necessidade se deu após pedido de materiais esportivos vindo dos educandários e da necessidade da Secretaria de Esportes (que já realizou compras emergenciais). Quanto ao calendário de eventos dos JERGS (de responsabilidade do Governo do Estado do Rio Grande do Sul), o mesmo ainda não possui projeção para 2026, ressaltando-se que as etapas regionais e estaduais de 2025 ainda sequer possuem datas para as competições (estão atrasadas). A ausência de atas vigentes de materiais esportivos, vem obrigando a compras emergenciais (principalmente pela Secretaria de Esportes – já citada), reafirmando assim, que não há sobreposição de duplicidade na referida compra/contratação de materiais e a elaboração de um único edital para a aquisição de materiais esportivos visa suprir as necessidades das mais diversas Secretarias, bem como garantir um melhor preço final.</w:t>
      </w:r>
    </w:p>
    <w:p>
      <w:pPr>
        <w:pStyle w:val="Normal"/>
        <w:bidi w:val="0"/>
        <w:spacing w:lineRule="auto" w:line="276"/>
        <w:jc w:val="both"/>
        <w:rPr/>
      </w:pPr>
      <w:r>
        <w:rPr/>
      </w:r>
    </w:p>
    <w:p>
      <w:pPr>
        <w:pStyle w:val="Normal"/>
        <w:bidi w:val="0"/>
        <w:spacing w:lineRule="auto" w:line="276"/>
        <w:jc w:val="both"/>
        <w:rPr/>
      </w:pPr>
      <w:r>
        <w:rPr/>
      </w:r>
    </w:p>
    <w:p>
      <w:pPr>
        <w:pStyle w:val="Normal"/>
        <w:numPr>
          <w:ilvl w:val="0"/>
          <w:numId w:val="3"/>
        </w:numPr>
        <w:bidi w:val="0"/>
        <w:spacing w:lineRule="auto" w:line="276"/>
        <w:jc w:val="both"/>
        <w:rPr/>
      </w:pPr>
      <w:r>
        <w:rPr>
          <w:rFonts w:cs="Calibri" w:ascii="Calibri" w:hAnsi="Calibri"/>
          <w:bCs/>
          <w:color w:val="000000"/>
          <w:sz w:val="24"/>
          <w:szCs w:val="24"/>
          <w:shd w:fill="FFFFFE" w:val="clear"/>
        </w:rPr>
        <w:t>Referente ao inciso “V” a pesquisa de preços baseou-se em portal oficial governamental como o Banco de Preços (que é uma ferramenta criada em decorrência das dificuldades do setor público em obter resultados sólidos e confiáveis em suas pesquisas de preços, não apenas para proporcionar contratações mas econômicas, mas também para gerar respaldo jurídico aos agentes envolvidos no processo tendo em vista o risco de questionamentos por parte dos órgão de controle), e complementada (quando necessário), por sites populares na venda de material esportivo. No que se refere a considerações de entrega e recebimento, já foram abordadas nesse documento (no artigo 18, inciso III). Quanto as normas técnicas para o material a ser licitado, as mesmas não são necessárias, uma vez que a exigência de material chancelado por federações garante qualidade, durabilidade e custo benefício dos respectivos, conforme padrão:</w:t>
      </w:r>
    </w:p>
    <w:p>
      <w:pPr>
        <w:pStyle w:val="Normal"/>
        <w:bidi w:val="0"/>
        <w:spacing w:lineRule="auto" w:line="276"/>
        <w:jc w:val="both"/>
        <w:rPr/>
      </w:pPr>
      <w:r>
        <w:rPr/>
      </w:r>
    </w:p>
    <w:p>
      <w:pPr>
        <w:pStyle w:val="Normal"/>
        <w:bidi w:val="0"/>
        <w:spacing w:lineRule="auto" w:line="276"/>
        <w:jc w:val="both"/>
        <w:rPr/>
      </w:pPr>
      <w:r>
        <w:rPr/>
      </w:r>
    </w:p>
    <w:p>
      <w:pPr>
        <w:pStyle w:val="Normal"/>
        <w:bidi w:val="0"/>
        <w:ind w:left="1134" w:right="0" w:hanging="0"/>
        <w:jc w:val="both"/>
        <w:rPr/>
      </w:pPr>
      <w:r>
        <w:rPr>
          <w:rFonts w:cs="Calibri" w:ascii="Calibri" w:hAnsi="Calibri"/>
          <w:b w:val="false"/>
          <w:bCs w:val="false"/>
          <w:i w:val="false"/>
          <w:caps w:val="false"/>
          <w:smallCaps w:val="false"/>
          <w:color w:val="001D35"/>
          <w:spacing w:val="0"/>
          <w:sz w:val="20"/>
          <w:szCs w:val="20"/>
          <w:shd w:fill="FFFFFE" w:val="clear"/>
        </w:rPr>
        <w:t>“</w:t>
      </w:r>
      <w:r>
        <w:rPr>
          <w:rFonts w:cs="Calibri" w:ascii="Calibri" w:hAnsi="Calibri"/>
          <w:b w:val="false"/>
          <w:bCs w:val="false"/>
          <w:i w:val="false"/>
          <w:caps w:val="false"/>
          <w:smallCaps w:val="false"/>
          <w:color w:val="001D35"/>
          <w:spacing w:val="0"/>
          <w:sz w:val="20"/>
          <w:szCs w:val="20"/>
          <w:shd w:fill="FFFFFE" w:val="clear"/>
        </w:rPr>
        <w:t>Uma bola chancelada por uma federação é um produto que recebeu um selo de aprovação de uma entidade esportiva, indicando que a bola atende a </w:t>
      </w:r>
      <w:hyperlink r:id="rId8">
        <w:r>
          <w:rPr>
            <w:rStyle w:val="LinkdaInternet"/>
            <w:rFonts w:cs="Calibri" w:ascii="Calibri" w:hAnsi="Calibri"/>
            <w:b w:val="false"/>
            <w:bCs w:val="false"/>
            <w:i w:val="false"/>
            <w:caps w:val="false"/>
            <w:smallCaps w:val="false"/>
            <w:color w:val="001D35"/>
            <w:spacing w:val="0"/>
            <w:sz w:val="20"/>
            <w:szCs w:val="20"/>
            <w:u w:val="single"/>
            <w:shd w:fill="FFFFFE" w:val="clear"/>
          </w:rPr>
          <w:t>padrões rigorosos de qualidade e desempenh</w:t>
        </w:r>
      </w:hyperlink>
      <w:r>
        <w:rPr>
          <w:rStyle w:val="Nfaseforte"/>
          <w:rFonts w:cs="Calibri" w:ascii="Calibri" w:hAnsi="Calibri"/>
          <w:b w:val="false"/>
          <w:bCs w:val="false"/>
          <w:i w:val="false"/>
          <w:caps w:val="false"/>
          <w:smallCaps w:val="false"/>
          <w:color w:val="001D35"/>
          <w:spacing w:val="0"/>
          <w:sz w:val="20"/>
          <w:szCs w:val="20"/>
          <w:u w:val="single"/>
          <w:shd w:fill="FFFFFE" w:val="clear"/>
        </w:rPr>
        <w:t>o</w:t>
      </w:r>
      <w:r>
        <w:rPr>
          <w:rFonts w:cs="Calibri" w:ascii="Calibri" w:hAnsi="Calibri"/>
          <w:b w:val="false"/>
          <w:bCs w:val="false"/>
          <w:i w:val="false"/>
          <w:caps w:val="false"/>
          <w:smallCaps w:val="false"/>
          <w:color w:val="001D35"/>
          <w:spacing w:val="0"/>
          <w:sz w:val="20"/>
          <w:szCs w:val="20"/>
          <w:shd w:fill="FFFFFE" w:val="clear"/>
        </w:rPr>
        <w:t> para ser utilizada em competições oficiais, como é o caso (por ex.) de bolas com certificações </w:t>
      </w:r>
      <w:hyperlink r:id="rId9" w:tgtFrame="_blank">
        <w:r>
          <w:rPr>
            <w:rStyle w:val="LinkdaInternet"/>
            <w:rFonts w:cs="Calibri" w:ascii="Calibri" w:hAnsi="Calibri"/>
            <w:b w:val="false"/>
            <w:bCs w:val="false"/>
            <w:i w:val="false"/>
            <w:caps w:val="false"/>
            <w:smallCaps w:val="false"/>
            <w:color w:val="000000"/>
            <w:spacing w:val="0"/>
            <w:sz w:val="20"/>
            <w:szCs w:val="20"/>
            <w:u w:val="none"/>
            <w:shd w:fill="FFFFFE" w:val="clear"/>
          </w:rPr>
          <w:t>FIFA APPROVED ou FIFA QUALITY PRO</w:t>
        </w:r>
      </w:hyperlink>
      <w:r>
        <w:rPr>
          <w:rFonts w:cs="Calibri" w:ascii="Calibri" w:hAnsi="Calibri"/>
          <w:b w:val="false"/>
          <w:bCs w:val="false"/>
          <w:i w:val="false"/>
          <w:caps w:val="false"/>
          <w:smallCaps w:val="false"/>
          <w:color w:val="001D35"/>
          <w:spacing w:val="0"/>
          <w:sz w:val="20"/>
          <w:szCs w:val="20"/>
          <w:shd w:fill="FFFFFE" w:val="clear"/>
        </w:rPr>
        <w:t>. Essa chancela garante a segurança, a validação e a oficialização do equipamento, que será usado pelos melhores jogadores e nas principais ligas do mundo. </w:t>
      </w:r>
      <w:r>
        <w:rPr>
          <w:rFonts w:cs="Calibri" w:ascii="Calibri" w:hAnsi="Calibri"/>
          <w:b w:val="false"/>
          <w:bCs w:val="false"/>
          <w:i w:val="false"/>
          <w:caps w:val="false"/>
          <w:smallCaps w:val="false"/>
          <w:color w:val="001D35"/>
          <w:spacing w:val="0"/>
          <w:sz w:val="20"/>
          <w:szCs w:val="20"/>
        </w:rPr>
        <w:t>A bola foi submetida a testes rigorosos para comprovar sua excelência em termos de peso, circunferência, absorção de água, esfericidade, retenção de ar e recuo e o selo permite que a bola seja usada em campeonatos e torneios organizados por essa federação.</w:t>
      </w:r>
      <w:r>
        <w:rPr>
          <w:rStyle w:val="Nfaseforte"/>
          <w:rFonts w:cs="Calibri" w:ascii="Calibri" w:hAnsi="Calibri"/>
          <w:b w:val="false"/>
          <w:bCs w:val="false"/>
          <w:i w:val="false"/>
          <w:caps w:val="false"/>
          <w:smallCaps w:val="false"/>
          <w:color w:val="001D35"/>
          <w:spacing w:val="0"/>
          <w:sz w:val="20"/>
          <w:szCs w:val="20"/>
        </w:rPr>
        <w:t xml:space="preserve"> </w:t>
      </w:r>
      <w:r>
        <w:rPr>
          <w:rFonts w:cs="Calibri" w:ascii="Calibri" w:hAnsi="Calibri"/>
          <w:b w:val="false"/>
          <w:bCs w:val="false"/>
          <w:i w:val="false"/>
          <w:caps w:val="false"/>
          <w:smallCaps w:val="false"/>
          <w:color w:val="001D35"/>
          <w:spacing w:val="0"/>
          <w:sz w:val="20"/>
          <w:szCs w:val="20"/>
        </w:rPr>
        <w:t>A chancela é um selo de autenticidade, conferindo um alto grau de validação e segurança ao produto, como logotipo "FIFA APPROVED" (Aprovada pela FIFA) ou "FIFA QUALITY PRO" (Qualidade FIFA Pro) na superfície do material, por ex. Cada federação esportiva tem suas próprias regras e símbolos de certificação, que podem ser encontrados nos produtos aprovados pela entidade”.</w:t>
      </w:r>
    </w:p>
    <w:p>
      <w:pPr>
        <w:pStyle w:val="Normal"/>
        <w:bidi w:val="0"/>
        <w:jc w:val="both"/>
        <w:rPr/>
      </w:pPr>
      <w:r>
        <w:rPr>
          <w:rFonts w:cs="Calibri" w:ascii="Calibri" w:hAnsi="Calibri"/>
        </w:rPr>
      </w:r>
    </w:p>
    <w:p>
      <w:pPr>
        <w:pStyle w:val="Normal"/>
        <w:bidi w:val="0"/>
        <w:jc w:val="both"/>
        <w:rPr/>
      </w:pPr>
      <w:r>
        <w:rPr>
          <w:rFonts w:cs="Calibri" w:ascii="Calibri" w:hAnsi="Calibri"/>
        </w:rPr>
      </w:r>
    </w:p>
    <w:p>
      <w:pPr>
        <w:pStyle w:val="Normal"/>
        <w:bidi w:val="0"/>
        <w:jc w:val="both"/>
        <w:rPr/>
      </w:pPr>
      <w:r>
        <w:rPr>
          <w:rFonts w:cs="Calibri" w:ascii="Calibri" w:hAnsi="Calibri"/>
        </w:rPr>
        <w:t>O material que não exige chancela, possui descrição padrão conforme código CATMAT, garantindo a qualidade do produto e observações como “macia”, visam resguardar a saúde (principalmente no que se refere a absorção de impacto), dos educandos.</w:t>
      </w:r>
    </w:p>
    <w:p>
      <w:pPr>
        <w:pStyle w:val="Normal"/>
        <w:bidi w:val="0"/>
        <w:jc w:val="both"/>
        <w:rPr/>
      </w:pPr>
      <w:r>
        <w:rPr>
          <w:rFonts w:cs="Calibri" w:ascii="Calibri" w:hAnsi="Calibri"/>
        </w:rPr>
      </w:r>
    </w:p>
    <w:p>
      <w:pPr>
        <w:pStyle w:val="Normal"/>
        <w:numPr>
          <w:ilvl w:val="0"/>
          <w:numId w:val="5"/>
        </w:numPr>
        <w:bidi w:val="0"/>
        <w:jc w:val="both"/>
        <w:rPr/>
      </w:pPr>
      <w:r>
        <w:rPr>
          <w:rFonts w:cs="Calibri" w:ascii="Calibri" w:hAnsi="Calibri"/>
        </w:rPr>
        <w:t>Quanto ao inciso “VI”, em conformidade com o disposto na Lei de licitações, no que se refere a pesquisa de preços e à estimativa de custos, informamos que a planilha de preços que compõe o presente processo licitatório encontra-se dentro do prazo de validade, sendo considerada atualizada, compatível com os preços praticados no mercado e adequada ao objeto licitado. A pesquisa de preços e consequente elaboração da planilha foi realizada de acordo com os critérios da lei de licitações, observando-se fontes oficiais, como o banco de preços, base de dados governamental, sites oficiais e códigos para padronização do material. Observa-se que, conforme os padrões adotados pela Administração Pública e orientações dos órgãos de controle a validade da pesquisa de preços pode variar de 6 a 12 meses a depender do objeto e das condições do mercado. Neste caso a planilha foi elaborada em agosto e permanece vigente, sendo considerada válida e atendendo aos princípios licitatórios.</w:t>
      </w:r>
    </w:p>
    <w:p>
      <w:pPr>
        <w:pStyle w:val="Normal"/>
        <w:bidi w:val="0"/>
        <w:jc w:val="both"/>
        <w:rPr/>
      </w:pPr>
      <w:r>
        <w:rPr/>
      </w:r>
    </w:p>
    <w:p>
      <w:pPr>
        <w:pStyle w:val="Normal"/>
        <w:bidi w:val="0"/>
        <w:jc w:val="both"/>
        <w:rPr/>
      </w:pPr>
      <w:r>
        <w:rPr/>
      </w:r>
    </w:p>
    <w:p>
      <w:pPr>
        <w:pStyle w:val="Normal"/>
        <w:numPr>
          <w:ilvl w:val="0"/>
          <w:numId w:val="5"/>
        </w:numPr>
        <w:bidi w:val="0"/>
        <w:jc w:val="both"/>
        <w:rPr/>
      </w:pPr>
      <w:r>
        <w:rPr>
          <w:rFonts w:cs="Calibri" w:ascii="Calibri" w:hAnsi="Calibri"/>
        </w:rPr>
        <w:t>Quanto ao inciso “VII”, sobre a visão geral de soluções integrada, as observações são abordadas no ETP conforme segue:</w:t>
      </w:r>
    </w:p>
    <w:p>
      <w:pPr>
        <w:pStyle w:val="Normal"/>
        <w:bidi w:val="0"/>
        <w:jc w:val="both"/>
        <w:rPr/>
      </w:pPr>
      <w:r>
        <w:rPr/>
      </w:r>
    </w:p>
    <w:p>
      <w:pPr>
        <w:pStyle w:val="Normal"/>
        <w:bidi w:val="0"/>
        <w:spacing w:lineRule="auto" w:line="240"/>
        <w:ind w:left="1134" w:right="0" w:hanging="0"/>
        <w:jc w:val="both"/>
        <w:rPr/>
      </w:pPr>
      <w:r>
        <w:rPr>
          <w:rFonts w:cs="Calibri" w:ascii="Calibri" w:hAnsi="Calibri"/>
          <w:sz w:val="20"/>
          <w:szCs w:val="20"/>
        </w:rPr>
        <w:t>“</w:t>
      </w:r>
      <w:r>
        <w:rPr>
          <w:rFonts w:cs="Calibri" w:ascii="Calibri" w:hAnsi="Calibri"/>
          <w:sz w:val="20"/>
          <w:szCs w:val="20"/>
        </w:rPr>
        <w:t xml:space="preserve">Este estudo técnico preliminar tem como objetivo fundamentar a aquisição de </w:t>
      </w:r>
      <w:r>
        <w:rPr>
          <w:rFonts w:eastAsia="Calibri" w:cs="Calibri" w:ascii="Calibri" w:hAnsi="Calibri"/>
          <w:sz w:val="20"/>
          <w:szCs w:val="20"/>
          <w:lang w:eastAsia="en-US"/>
        </w:rPr>
        <w:t>materiais educativos e esportivos</w:t>
      </w:r>
      <w:r>
        <w:rPr>
          <w:rFonts w:cs="Calibri" w:ascii="Calibri" w:hAnsi="Calibri"/>
          <w:sz w:val="20"/>
          <w:szCs w:val="20"/>
        </w:rPr>
        <w:t xml:space="preserve"> destinados às escolas municipais de Educação Infantil (EMEIs), Ensino Fundamental (EMEFs), e Secretaria de Cultura Turismo Esporte e Lazer. A iniciativa visa garantir a reposição, atualização dos recursos materiais utilizados no ambiente escolar, promovendo condições adequadas para o desenvolvimento pedagógico, a segurança dos estudantes e a eficiência das atividades de ensino, bem como garantir materiais para competições esportivas educacionais ………………………………………… considerando fatores como necessidades de atendimento, infraestrutura existente, projetos pedagógicos, e normativas vigentes, calendário de competições, contribuindo para o fortalecimento e organização da infraestrutura escolar e o aprimoramento da qualidade do ensino ofertado às crianças e jovens atendidos pelas unidades escolares municipais”.</w:t>
      </w:r>
    </w:p>
    <w:p>
      <w:pPr>
        <w:pStyle w:val="Normal"/>
        <w:bidi w:val="0"/>
        <w:spacing w:lineRule="auto" w:line="240"/>
        <w:ind w:left="1134" w:right="0" w:hanging="0"/>
        <w:jc w:val="both"/>
        <w:rPr/>
      </w:pPr>
      <w:r>
        <w:rPr>
          <w:sz w:val="20"/>
          <w:szCs w:val="20"/>
        </w:rPr>
      </w:r>
    </w:p>
    <w:p>
      <w:pPr>
        <w:pStyle w:val="Normal"/>
        <w:bidi w:val="0"/>
        <w:spacing w:lineRule="auto" w:line="240"/>
        <w:ind w:left="1134" w:right="0" w:hanging="0"/>
        <w:jc w:val="both"/>
        <w:rPr/>
      </w:pPr>
      <w:r>
        <w:rPr>
          <w:sz w:val="20"/>
          <w:szCs w:val="20"/>
        </w:rPr>
      </w:r>
    </w:p>
    <w:p>
      <w:pPr>
        <w:pStyle w:val="Normal"/>
        <w:numPr>
          <w:ilvl w:val="0"/>
          <w:numId w:val="6"/>
        </w:numPr>
        <w:bidi w:val="0"/>
        <w:spacing w:lineRule="auto" w:line="276"/>
        <w:jc w:val="both"/>
        <w:rPr/>
      </w:pPr>
      <w:r>
        <w:rPr>
          <w:rFonts w:cs="Calibri" w:ascii="Calibri" w:hAnsi="Calibri"/>
          <w:sz w:val="24"/>
          <w:szCs w:val="24"/>
        </w:rPr>
        <w:t xml:space="preserve">No que diz respeito as outras observações, algumas não correspondem ao objeto licitado. Já quanto as bolas e redes </w:t>
      </w:r>
      <w:r>
        <w:rPr>
          <w:rFonts w:cs="Calibri" w:ascii="Calibri" w:hAnsi="Calibri"/>
          <w:b w:val="false"/>
          <w:bCs w:val="false"/>
          <w:color w:val="auto"/>
          <w:sz w:val="24"/>
          <w:szCs w:val="24"/>
          <w:u w:val="none"/>
        </w:rPr>
        <w:t>que serão adquiridos foram selecionados com base em critérios de sustentabilidade e responsabilidade ambiental. São produtos fabricados com materiais recicláveis, biodegradáveis ou de baixo impacto ambiental. Além disso seu uso e descarte não geram resíduos poluentes ou danos significativos ao meio ambiente, contribuindo assim para a preservação dos recursos naturais e o equilíbrio ecológico. Observa-se também</w:t>
      </w:r>
      <w:r>
        <w:rPr>
          <w:rFonts w:cs="Calibri" w:ascii="Calibri" w:hAnsi="Calibri"/>
          <w:sz w:val="24"/>
          <w:szCs w:val="24"/>
        </w:rPr>
        <w:t xml:space="preserve"> que o descarte dos educandários já é devidamente recolhido por empresa terceirizada de resíduos (lixo) e pela</w:t>
      </w:r>
      <w:hyperlink r:id="rId10">
        <w:r>
          <w:rPr>
            <w:rStyle w:val="LinkdaInternet"/>
            <w:rFonts w:cs="Calibri" w:ascii="Calibri" w:hAnsi="Calibri"/>
            <w:b w:val="false"/>
            <w:bCs w:val="false"/>
            <w:color w:val="auto"/>
            <w:sz w:val="24"/>
            <w:szCs w:val="24"/>
            <w:u w:val="none"/>
          </w:rPr>
          <w:t xml:space="preserve"> Associação Comunitária dos Trabalhadores na Seleção do Lixo de Vera Cruz</w:t>
        </w:r>
      </w:hyperlink>
      <w:r>
        <w:rPr>
          <w:rFonts w:cs="Calibri" w:ascii="Calibri" w:hAnsi="Calibri"/>
          <w:b w:val="false"/>
          <w:bCs w:val="false"/>
          <w:color w:val="auto"/>
          <w:sz w:val="24"/>
          <w:szCs w:val="24"/>
          <w:u w:val="none"/>
        </w:rPr>
        <w:t xml:space="preserve"> (ACOOTRALI) – reciclados.</w:t>
      </w:r>
    </w:p>
    <w:p>
      <w:pPr>
        <w:pStyle w:val="Normal"/>
        <w:numPr>
          <w:ilvl w:val="0"/>
          <w:numId w:val="0"/>
        </w:numPr>
        <w:bidi w:val="0"/>
        <w:spacing w:lineRule="auto" w:line="276"/>
        <w:ind w:left="720" w:right="0" w:hanging="0"/>
        <w:jc w:val="both"/>
        <w:rPr/>
      </w:pPr>
      <w:r>
        <w:rPr/>
      </w:r>
    </w:p>
    <w:p>
      <w:pPr>
        <w:pStyle w:val="Normal"/>
        <w:numPr>
          <w:ilvl w:val="0"/>
          <w:numId w:val="0"/>
        </w:numPr>
        <w:bidi w:val="0"/>
        <w:spacing w:lineRule="auto" w:line="276"/>
        <w:ind w:left="720" w:right="0" w:hanging="0"/>
        <w:jc w:val="both"/>
        <w:rPr/>
      </w:pPr>
      <w:r>
        <w:rPr/>
      </w:r>
    </w:p>
    <w:p>
      <w:pPr>
        <w:pStyle w:val="Normal"/>
        <w:numPr>
          <w:ilvl w:val="0"/>
          <w:numId w:val="6"/>
        </w:numPr>
        <w:bidi w:val="0"/>
        <w:spacing w:lineRule="auto" w:line="276"/>
        <w:jc w:val="both"/>
        <w:rPr/>
      </w:pPr>
      <w:r>
        <w:rPr>
          <w:rFonts w:cs="Calibri" w:ascii="Calibri" w:hAnsi="Calibri"/>
          <w:b w:val="false"/>
          <w:bCs w:val="false"/>
          <w:color w:val="auto"/>
          <w:sz w:val="24"/>
          <w:szCs w:val="24"/>
          <w:u w:val="none"/>
        </w:rPr>
        <w:t>Quanto a alínea “a”, conforme consta no ETP e no TR (documentos que acompanham o processo licitatório), os prazos e possibilidades de prorrogação encontram-se no Requisito da Contratação, conforme segue:</w:t>
      </w:r>
    </w:p>
    <w:p>
      <w:pPr>
        <w:pStyle w:val="Normal"/>
        <w:bidi w:val="0"/>
        <w:spacing w:lineRule="auto" w:line="276"/>
        <w:jc w:val="both"/>
        <w:rPr/>
      </w:pPr>
      <w:r>
        <w:rPr/>
      </w:r>
    </w:p>
    <w:p>
      <w:pPr>
        <w:pStyle w:val="Normal"/>
        <w:spacing w:lineRule="auto" w:line="240"/>
        <w:ind w:left="1134" w:right="0" w:hanging="0"/>
        <w:jc w:val="both"/>
        <w:rPr/>
      </w:pPr>
      <w:r>
        <w:rPr>
          <w:rFonts w:cs="Calibri" w:ascii="Calibri" w:hAnsi="Calibri"/>
          <w:b w:val="false"/>
          <w:bCs w:val="false"/>
          <w:color w:val="000000"/>
          <w:sz w:val="20"/>
          <w:szCs w:val="20"/>
          <w:shd w:fill="FFFFFE" w:val="clear"/>
        </w:rPr>
        <w:t>“</w:t>
      </w:r>
      <w:r>
        <w:rPr>
          <w:rFonts w:cs="Calibri" w:ascii="Calibri" w:hAnsi="Calibri"/>
          <w:b w:val="false"/>
          <w:bCs w:val="false"/>
          <w:color w:val="000000"/>
          <w:sz w:val="20"/>
          <w:szCs w:val="20"/>
          <w:shd w:fill="FFFFFE" w:val="clear"/>
        </w:rPr>
        <w:t>3. DESCRIÇÃO DOS REQUISITOS DA CONTRATAÇÃO</w:t>
      </w:r>
    </w:p>
    <w:p>
      <w:pPr>
        <w:pStyle w:val="Normal"/>
        <w:suppressAutoHyphens w:val="false"/>
        <w:spacing w:lineRule="auto" w:line="240"/>
        <w:ind w:left="1134" w:right="0" w:hanging="0"/>
        <w:jc w:val="both"/>
        <w:rPr/>
      </w:pPr>
      <w:r>
        <w:rPr>
          <w:rFonts w:eastAsia="Calibri" w:cs="Calibri" w:ascii="Calibri" w:hAnsi="Calibri"/>
          <w:b w:val="false"/>
          <w:bCs w:val="false"/>
          <w:color w:val="000000"/>
          <w:sz w:val="20"/>
          <w:szCs w:val="20"/>
          <w:shd w:fill="FFFFFE" w:val="clear"/>
          <w:lang w:eastAsia="en-US"/>
        </w:rPr>
        <w:tab/>
      </w:r>
      <w:r>
        <w:rPr>
          <w:rFonts w:eastAsia="Calibri" w:cs="Calibri" w:ascii="Calibri" w:hAnsi="Calibri"/>
          <w:b w:val="false"/>
          <w:bCs w:val="false"/>
          <w:sz w:val="20"/>
          <w:szCs w:val="20"/>
          <w:lang w:eastAsia="en-US"/>
        </w:rPr>
        <w:t>Os bens têm natureza de bens comuns, tendo em vista que seus padrões de desempenho e qualidade podem ser objetivamente definidos pelo edital, por meio de especificações usuais de mercado, nos termos do art. 6º, inciso XIII, da Lei Federal nº 14.133/2021.</w:t>
      </w:r>
    </w:p>
    <w:p>
      <w:pPr>
        <w:pStyle w:val="Normal"/>
        <w:suppressAutoHyphens w:val="false"/>
        <w:spacing w:lineRule="auto" w:line="240"/>
        <w:ind w:left="1134" w:right="0" w:hanging="0"/>
        <w:jc w:val="both"/>
        <w:rPr/>
      </w:pPr>
      <w:r>
        <w:rPr>
          <w:rFonts w:eastAsia="Calibri" w:cs="Calibri" w:ascii="Calibri" w:hAnsi="Calibri"/>
          <w:b w:val="false"/>
          <w:bCs w:val="false"/>
          <w:sz w:val="20"/>
          <w:szCs w:val="20"/>
          <w:lang w:eastAsia="en-US"/>
        </w:rPr>
        <w:tab/>
        <w:t xml:space="preserve">A contratação será realizada por meio de licitação, na modalidade Pregão, na sua forma eletrônica, com critério de julgamento por menor preço, nos termos dos artigos 6º, inciso XLI, 17, § 2º, e 34, todos da Lei Federal nº 14.133/2021. </w:t>
      </w:r>
      <w:r>
        <w:rPr>
          <w:rFonts w:eastAsia="Calibri" w:cs="Calibri" w:ascii="Calibri" w:hAnsi="Calibri"/>
          <w:b w:val="false"/>
          <w:bCs w:val="false"/>
          <w:color w:val="000000"/>
          <w:sz w:val="20"/>
          <w:szCs w:val="20"/>
          <w:lang w:eastAsia="en-US"/>
        </w:rPr>
        <w:t xml:space="preserve">É vedada a subcontratação ou transferência total ou parcial dos objetos a serem licitados. O Instrumento utilizado para contratação será Ata de Registro de Preços, podendo ser Renovada por igual período caso haja interesse da Contratante. Será adotada a exclusividade para ME e EPP, conforme LC 123/2006. </w:t>
      </w:r>
      <w:r>
        <w:rPr>
          <w:rFonts w:eastAsia="Calibri" w:cs="Calibri" w:ascii="Calibri" w:hAnsi="Calibri"/>
          <w:b w:val="false"/>
          <w:bCs w:val="false"/>
          <w:color w:val="auto"/>
          <w:sz w:val="20"/>
          <w:szCs w:val="20"/>
          <w:lang w:eastAsia="en-US"/>
        </w:rPr>
        <w:t>Os itens 1, 2, 3, 4, 5, 6, 7, 8, 9, 10, 11, 12, 13, 14, 15, 16, 17, 18, 19, 22, 29, 30, 31, 32, 33, 34, 35, 36, 40, 41, 42, 43, 44 e 45 necessitam de amostra prévia para aprovação de marca/material. As marcas e modelos citados nos itens 3, 5, 6, 7, 8, 10, 11, 12, 13, 29 e 43 serão consideradas pré aprovadas.</w:t>
      </w:r>
    </w:p>
    <w:p>
      <w:pPr>
        <w:pStyle w:val="Normal"/>
        <w:suppressAutoHyphens w:val="false"/>
        <w:bidi w:val="0"/>
        <w:spacing w:lineRule="auto" w:line="240"/>
        <w:ind w:left="1134" w:right="0" w:hanging="0"/>
        <w:jc w:val="both"/>
        <w:rPr/>
      </w:pPr>
      <w:r>
        <w:rPr>
          <w:rFonts w:cs="Calibri" w:ascii="Calibri" w:hAnsi="Calibri"/>
          <w:b w:val="false"/>
          <w:bCs w:val="false"/>
          <w:color w:val="auto"/>
          <w:sz w:val="20"/>
          <w:szCs w:val="20"/>
          <w:u w:val="none"/>
        </w:rPr>
        <w:tab/>
        <w:t>Os Materiais e Equipamentos Esportivos deverão ser entregues em local definido em Ordem de Compra (requisição) emitida</w:t>
      </w:r>
      <w:r>
        <w:rPr>
          <w:rFonts w:eastAsia="Calibri" w:cs="Calibri" w:ascii="Calibri" w:hAnsi="Calibri"/>
          <w:b w:val="false"/>
          <w:bCs w:val="false"/>
          <w:color w:val="auto"/>
          <w:sz w:val="20"/>
          <w:szCs w:val="20"/>
          <w:u w:val="none"/>
          <w:lang w:eastAsia="en-US"/>
        </w:rPr>
        <w:t xml:space="preserve">, no local e horário indicados pela Contratante, sem custos adicionais; no prazo de até 15 dias após a emissão do empenho, podendo ser esse prazo prorrogado, caso aceito pela Secretaria responsável. </w:t>
      </w:r>
      <w:r>
        <w:rPr>
          <w:rFonts w:cs="Calibri" w:ascii="Calibri" w:hAnsi="Calibri"/>
          <w:b w:val="false"/>
          <w:bCs w:val="false"/>
          <w:color w:val="auto"/>
          <w:sz w:val="20"/>
          <w:szCs w:val="20"/>
          <w:u w:val="none"/>
        </w:rPr>
        <w:t>Comunicar à Contratante, no prazo máximo de 24 (vinte e quatro) horas que antecede a data da entrega, os motivos que impossibilitem o cumprimento do prazo previsto, com a devida comprovação”.</w:t>
      </w:r>
    </w:p>
    <w:p>
      <w:pPr>
        <w:pStyle w:val="Normal"/>
        <w:suppressAutoHyphens w:val="false"/>
        <w:bidi w:val="0"/>
        <w:spacing w:lineRule="auto" w:line="360"/>
        <w:jc w:val="both"/>
        <w:rPr/>
      </w:pPr>
      <w:r>
        <w:rPr/>
      </w:r>
    </w:p>
    <w:p>
      <w:pPr>
        <w:pStyle w:val="Normal"/>
        <w:numPr>
          <w:ilvl w:val="0"/>
          <w:numId w:val="7"/>
        </w:numPr>
        <w:suppressAutoHyphens w:val="false"/>
        <w:bidi w:val="0"/>
        <w:spacing w:lineRule="auto" w:line="276"/>
        <w:jc w:val="both"/>
        <w:rPr/>
      </w:pPr>
      <w:r>
        <w:rPr>
          <w:rFonts w:cs="Calibri" w:ascii="Calibri" w:hAnsi="Calibri"/>
          <w:b w:val="false"/>
          <w:bCs w:val="false"/>
          <w:color w:val="auto"/>
          <w:sz w:val="24"/>
          <w:szCs w:val="24"/>
          <w:u w:val="none"/>
        </w:rPr>
        <w:t xml:space="preserve">No que se refere </w:t>
      </w:r>
      <w:r>
        <w:rPr>
          <w:rFonts w:cs="Calibri" w:ascii="Calibri" w:hAnsi="Calibri"/>
          <w:b w:val="false"/>
          <w:bCs w:val="false"/>
          <w:color w:val="auto"/>
          <w:sz w:val="24"/>
          <w:szCs w:val="24"/>
          <w:u w:val="none"/>
        </w:rPr>
        <w:t>a alínea “d”, as questões de descarte e sustentabilidade já foram mencionadas acima. Já os requisitos de entrega, garantia e conformidade contratual (já mencionado no artigo 18, inciso III e n</w:t>
      </w:r>
      <w:r>
        <w:rPr>
          <w:rFonts w:cs="Calibri" w:ascii="Calibri" w:hAnsi="Calibri"/>
          <w:b w:val="false"/>
          <w:bCs/>
          <w:color w:val="000000"/>
          <w:sz w:val="24"/>
          <w:szCs w:val="24"/>
          <w:u w:val="none"/>
          <w:shd w:fill="FFFFFE" w:val="clear"/>
        </w:rPr>
        <w:t xml:space="preserve">o </w:t>
      </w:r>
      <w:r>
        <w:rPr>
          <w:rFonts w:cs="Google Sans;Arial" w:ascii="Google Sans;Arial" w:hAnsi="Google Sans;Arial"/>
          <w:b w:val="false"/>
          <w:bCs/>
          <w:i w:val="false"/>
          <w:caps w:val="false"/>
          <w:smallCaps w:val="false"/>
          <w:color w:val="001D35"/>
          <w:spacing w:val="0"/>
          <w:sz w:val="24"/>
          <w:szCs w:val="24"/>
          <w:u w:val="none"/>
          <w:shd w:fill="FFFFFE" w:val="clear"/>
        </w:rPr>
        <w:t>§ 1°do</w:t>
      </w:r>
      <w:r>
        <w:rPr>
          <w:rFonts w:cs="Calibri" w:ascii="Calibri" w:hAnsi="Calibri"/>
          <w:b w:val="false"/>
          <w:bCs/>
          <w:color w:val="000000"/>
          <w:sz w:val="24"/>
          <w:szCs w:val="24"/>
          <w:u w:val="none"/>
          <w:shd w:fill="FFFFFE" w:val="clear"/>
        </w:rPr>
        <w:t xml:space="preserve"> artigo 18 inciso II)</w:t>
      </w:r>
      <w:r>
        <w:rPr>
          <w:rFonts w:cs="Calibri" w:ascii="Calibri" w:hAnsi="Calibri"/>
          <w:b w:val="false"/>
          <w:bCs w:val="false"/>
          <w:color w:val="auto"/>
          <w:sz w:val="24"/>
          <w:szCs w:val="24"/>
          <w:u w:val="none"/>
        </w:rPr>
        <w:t xml:space="preserve"> seguem abaixo:</w:t>
      </w:r>
    </w:p>
    <w:p>
      <w:pPr>
        <w:pStyle w:val="Normal"/>
        <w:suppressAutoHyphens w:val="false"/>
        <w:bidi w:val="0"/>
        <w:spacing w:lineRule="auto" w:line="360"/>
        <w:jc w:val="both"/>
        <w:rPr/>
      </w:pPr>
      <w:r>
        <w:rPr/>
      </w:r>
    </w:p>
    <w:p>
      <w:pPr>
        <w:pStyle w:val="Normal"/>
        <w:suppressAutoHyphens w:val="false"/>
        <w:spacing w:lineRule="auto" w:line="240"/>
        <w:ind w:left="1134" w:right="0" w:hanging="0"/>
        <w:jc w:val="both"/>
        <w:rPr/>
      </w:pPr>
      <w:r>
        <w:rPr>
          <w:rFonts w:cs="Calibri" w:ascii="Calibri" w:hAnsi="Calibri"/>
          <w:color w:val="auto"/>
          <w:sz w:val="20"/>
          <w:szCs w:val="20"/>
        </w:rPr>
        <w:t>“</w:t>
      </w:r>
      <w:r>
        <w:rPr>
          <w:rFonts w:cs="Calibri" w:ascii="Calibri" w:hAnsi="Calibri"/>
          <w:color w:val="auto"/>
          <w:sz w:val="20"/>
          <w:szCs w:val="20"/>
        </w:rPr>
        <w:t>Os Materiais e Equipamentos Esportivos deverão ser entregues em local definido em Ordem de Compra (requisição) emitida</w:t>
      </w:r>
      <w:r>
        <w:rPr>
          <w:rFonts w:eastAsia="Calibri" w:cs="Calibri" w:ascii="Calibri" w:hAnsi="Calibri"/>
          <w:color w:val="auto"/>
          <w:sz w:val="20"/>
          <w:szCs w:val="20"/>
          <w:lang w:eastAsia="en-US"/>
        </w:rPr>
        <w:t>, no local e horário indicados pela Contratante, sem custos adicionais; no prazo de até 15 dias após a emissão do empenho, podendo ser esse prazo prorrogado, caso aceito pela Secretaria responsável.</w:t>
      </w:r>
      <w:r>
        <w:rPr>
          <w:rFonts w:eastAsia="Calibri" w:cs="Calibri" w:ascii="Calibri" w:hAnsi="Calibri"/>
          <w:sz w:val="20"/>
          <w:szCs w:val="20"/>
          <w:lang w:eastAsia="en-US"/>
        </w:rPr>
        <w:t xml:space="preserve"> </w:t>
      </w:r>
      <w:r>
        <w:rPr>
          <w:rFonts w:cs="Calibri" w:ascii="Calibri" w:hAnsi="Calibri"/>
          <w:sz w:val="20"/>
          <w:szCs w:val="20"/>
        </w:rPr>
        <w:t>Comunicar à Contratante, no prazo máximo de 24 (vinte e quatro) horas que antecede a data da entrega, os motivos que impossibilitem o cumprimento do prazo previsto, com a devida comprovação;</w:t>
      </w:r>
    </w:p>
    <w:p>
      <w:pPr>
        <w:pStyle w:val="Normal"/>
        <w:suppressAutoHyphens w:val="false"/>
        <w:spacing w:lineRule="auto" w:line="240"/>
        <w:ind w:left="1134" w:right="0" w:hanging="0"/>
        <w:jc w:val="both"/>
        <w:rPr/>
      </w:pPr>
      <w:r>
        <w:rPr>
          <w:rFonts w:cs="Calibri" w:ascii="Calibri" w:hAnsi="Calibri"/>
          <w:sz w:val="20"/>
          <w:szCs w:val="20"/>
        </w:rPr>
        <w:tab/>
        <w:t>Não será recebido e, consequentemente, será colocado à disposição da CONTRATADA, o objeto que não for compatível com as características exigidas neste Termo de Referência, ou ainda, que apresente qualquer tipo de avaria e/ou falha.</w:t>
      </w:r>
    </w:p>
    <w:p>
      <w:pPr>
        <w:pStyle w:val="Normal"/>
        <w:suppressAutoHyphens w:val="false"/>
        <w:spacing w:lineRule="auto" w:line="240"/>
        <w:ind w:left="1134" w:right="0" w:hanging="0"/>
        <w:jc w:val="both"/>
        <w:rPr/>
      </w:pPr>
      <w:r>
        <w:rPr>
          <w:rFonts w:cs="Calibri" w:ascii="Calibri" w:hAnsi="Calibri"/>
          <w:color w:val="FF0000"/>
          <w:sz w:val="20"/>
          <w:szCs w:val="20"/>
        </w:rPr>
        <w:tab/>
        <w:t xml:space="preserve"> </w:t>
      </w:r>
      <w:r>
        <w:rPr>
          <w:rFonts w:cs="Calibri" w:ascii="Calibri" w:hAnsi="Calibri"/>
          <w:sz w:val="20"/>
          <w:szCs w:val="20"/>
        </w:rPr>
        <w:t xml:space="preserve">O produto deverá ser novo, livre de defeitos, avarias e/ou imperfeições que impeçam ou reduzam o seu uso, observando rigorosamente as características especificadas no Termo de Referência, com garantia mínima de 01 (um) ano ou garantia com tempo maior estabelecida pelo fabricante, devendo cobrir todo e qualquer defeito apresentado, incluindo fornecimento e a substituição de peças e/ou componentes, reparos e demais correções necessárias (nos materiais que assim o permitam), incluindo todas as despesas decorrentes do deslocamento do técnico, a qual prevalecerá, a contar da entrega e emissão da nota fiscal, fornecidos em embalagem original do fabricante lacrada, acompanhado de todos os seus acessórios, manual de utilização, instalação e certificações, quando aplicar-se. Os bens devem estar acompanhados, ainda, quando for o caso, do manual do usuário, com uma versão em português, e da relação da rede de assistência técnica autorizada. </w:t>
      </w:r>
    </w:p>
    <w:p>
      <w:pPr>
        <w:pStyle w:val="Normal"/>
        <w:suppressAutoHyphens w:val="false"/>
        <w:spacing w:lineRule="auto" w:line="240"/>
        <w:ind w:left="1134" w:right="0" w:hanging="0"/>
        <w:jc w:val="both"/>
        <w:rPr/>
      </w:pPr>
      <w:r>
        <w:rPr>
          <w:rFonts w:cs="Calibri" w:ascii="Calibri" w:hAnsi="Calibri"/>
          <w:sz w:val="20"/>
          <w:szCs w:val="20"/>
        </w:rPr>
        <w:tab/>
        <w:t xml:space="preserve">Depois de recebido, o objeto será conferido pelo setor solicitante, caso se constate qualquer irregularidade, a CONTRATADA deverá substituí-lo sem ônus à CONTRATANTE, no prazo máximo de 15 (QUINZE) dias corridos, a contar do recebimento da notificação formal emitida (por e-mail, mensagem). No caso de substituição, a CONTRATADA deverá substituir o produto por outro novo da mesma espécie, marca e modelo, em perfeita condição de uso e será iniciado um novo prazo de garantia de fábrica conforme prazos estabelecidos acima mencionados. Em caso de substituição do objeto, conforme previsto correrão às expensas da CONTRATADA as despesas decorrentes da devolução e nova entrega do objeto adquirido. </w:t>
      </w:r>
    </w:p>
    <w:p>
      <w:pPr>
        <w:pStyle w:val="Normal"/>
        <w:suppressAutoHyphens w:val="false"/>
        <w:spacing w:lineRule="auto" w:line="240"/>
        <w:ind w:left="1134" w:right="0" w:hanging="0"/>
        <w:jc w:val="both"/>
        <w:rPr/>
      </w:pPr>
      <w:r>
        <w:rPr>
          <w:rFonts w:eastAsia="Calibri" w:cs="Calibri" w:ascii="Calibri" w:hAnsi="Calibri"/>
          <w:sz w:val="20"/>
          <w:szCs w:val="20"/>
        </w:rPr>
        <w:t xml:space="preserve"> </w:t>
      </w:r>
      <w:r>
        <w:rPr>
          <w:rFonts w:cs="Calibri" w:ascii="Calibri" w:hAnsi="Calibri"/>
          <w:sz w:val="20"/>
          <w:szCs w:val="20"/>
        </w:rPr>
        <w:t>O objeto deverá ser entregue com todas as funcionalidades necessárias ao seu perfeito uso, juntamente acessórios quando houver.  Todo e qualquer ônus decorrente da entrega do objeto, inclusive</w:t>
      </w:r>
      <w:r>
        <w:rPr>
          <w:rFonts w:cs="Calibri" w:ascii="Calibri" w:hAnsi="Calibri"/>
          <w:color w:val="FF0000"/>
          <w:sz w:val="20"/>
          <w:szCs w:val="20"/>
        </w:rPr>
        <w:t xml:space="preserve"> </w:t>
      </w:r>
      <w:r>
        <w:rPr>
          <w:rFonts w:cs="Calibri" w:ascii="Calibri" w:hAnsi="Calibri"/>
          <w:sz w:val="20"/>
          <w:szCs w:val="20"/>
        </w:rPr>
        <w:t xml:space="preserve">frete, será de inteira responsabilidade da CONTRATADA, não sendo a CONTRATANTE responsável pelo fornecimento de mão de obra para viabilizar o transporte.  </w:t>
      </w:r>
    </w:p>
    <w:p>
      <w:pPr>
        <w:pStyle w:val="Normal"/>
        <w:suppressAutoHyphens w:val="false"/>
        <w:spacing w:lineRule="auto" w:line="240"/>
        <w:ind w:left="1134" w:right="0" w:hanging="0"/>
        <w:jc w:val="both"/>
        <w:rPr/>
      </w:pPr>
      <w:r>
        <w:rPr>
          <w:rFonts w:cs="Calibri" w:ascii="Calibri" w:hAnsi="Calibri"/>
          <w:sz w:val="20"/>
          <w:szCs w:val="20"/>
        </w:rPr>
        <w:tab/>
      </w:r>
      <w:r>
        <w:rPr>
          <w:rFonts w:eastAsia="Calibri" w:cs="Calibri" w:ascii="Calibri" w:hAnsi="Calibri"/>
          <w:sz w:val="20"/>
          <w:szCs w:val="20"/>
          <w:lang w:eastAsia="en-US"/>
        </w:rPr>
        <w:t>Todos os custos com deslocamento, impostos, taxas, pedágios, fretes e demais despesas que por ventura ocorrerem serão de responsabilidade da empresa vencedora.</w:t>
      </w:r>
    </w:p>
    <w:p>
      <w:pPr>
        <w:pStyle w:val="Normal"/>
        <w:spacing w:lineRule="auto" w:line="240"/>
        <w:ind w:left="1134" w:right="0" w:hanging="0"/>
        <w:jc w:val="both"/>
        <w:rPr/>
      </w:pPr>
      <w:r>
        <w:rPr>
          <w:rFonts w:eastAsia="Calibri" w:cs="Calibri" w:ascii="Calibri" w:hAnsi="Calibri"/>
          <w:sz w:val="20"/>
          <w:szCs w:val="20"/>
          <w:lang w:eastAsia="en-US"/>
        </w:rPr>
        <w:tab/>
      </w:r>
      <w:r>
        <w:rPr>
          <w:rFonts w:cs="Calibri" w:ascii="Calibri" w:hAnsi="Calibri"/>
          <w:bCs/>
          <w:color w:val="000000"/>
          <w:sz w:val="20"/>
          <w:szCs w:val="20"/>
          <w:shd w:fill="FFFFFE" w:val="clear"/>
        </w:rPr>
        <w:t xml:space="preserve">Os servidores nomeados para a FISCALIZAÇÃO para o recebimento deverão verificar a descrição do TR e confrontá-la, informando imediatamente ao GESTOR RESPONSÁVEL quanto a qualquer divergência ou irregularidade observada no recebimento. </w:t>
      </w:r>
    </w:p>
    <w:p>
      <w:pPr>
        <w:pStyle w:val="NormalWeb"/>
        <w:suppressAutoHyphens w:val="false"/>
        <w:bidi w:val="0"/>
        <w:spacing w:lineRule="auto" w:line="240" w:before="0" w:after="0"/>
        <w:ind w:left="1134" w:right="0" w:hanging="0"/>
        <w:jc w:val="both"/>
        <w:rPr/>
      </w:pPr>
      <w:r>
        <w:rPr>
          <w:rFonts w:cs="Calibri" w:ascii="Calibri" w:hAnsi="Calibri"/>
          <w:b w:val="false"/>
          <w:bCs/>
          <w:color w:val="FF0000"/>
          <w:sz w:val="20"/>
          <w:szCs w:val="20"/>
          <w:u w:val="none"/>
          <w:shd w:fill="FFFFFE" w:val="clear"/>
        </w:rPr>
        <w:tab/>
      </w:r>
      <w:r>
        <w:rPr>
          <w:rFonts w:cs="Calibri" w:ascii="Calibri" w:hAnsi="Calibri"/>
          <w:b w:val="false"/>
          <w:bCs/>
          <w:color w:val="000000"/>
          <w:sz w:val="20"/>
          <w:szCs w:val="20"/>
          <w:u w:val="none"/>
          <w:shd w:fill="FFFFFE" w:val="clear"/>
        </w:rPr>
        <w:t xml:space="preserve">OS GESTORES do CONTRATO serão a Sra. Micheli Katiani Rech (Secretária Municipal de Educação) e o Sr. </w:t>
      </w:r>
      <w:r>
        <w:rPr>
          <w:rFonts w:eastAsia="Times New Roman" w:cs="Calibri" w:ascii="Calibri" w:hAnsi="Calibri"/>
          <w:b w:val="false"/>
          <w:bCs w:val="false"/>
          <w:color w:val="000000"/>
          <w:spacing w:val="-1"/>
          <w:sz w:val="20"/>
          <w:szCs w:val="20"/>
          <w:u w:val="none"/>
          <w:shd w:fill="FFFFFE" w:val="clear"/>
        </w:rPr>
        <w:t>Marcelo Henrique de Carvalho (</w:t>
      </w:r>
      <w:r>
        <w:rPr>
          <w:rFonts w:eastAsia="Arial" w:cs="Calibri" w:ascii="Calibri" w:hAnsi="Calibri"/>
          <w:b w:val="false"/>
          <w:bCs w:val="false"/>
          <w:color w:val="000000"/>
          <w:spacing w:val="-2"/>
          <w:sz w:val="20"/>
          <w:szCs w:val="20"/>
          <w:u w:val="none"/>
          <w:shd w:fill="FFFFFE" w:val="clear"/>
        </w:rPr>
        <w:t xml:space="preserve">SECRETÁRIO MUNICIPAL DE </w:t>
      </w:r>
      <w:r>
        <w:rPr>
          <w:rFonts w:eastAsia="Times New Roman" w:cs="Calibri" w:ascii="Calibri" w:hAnsi="Calibri"/>
          <w:b w:val="false"/>
          <w:bCs w:val="false"/>
          <w:color w:val="000000"/>
          <w:spacing w:val="-2"/>
          <w:sz w:val="20"/>
          <w:szCs w:val="20"/>
          <w:u w:val="none"/>
          <w:shd w:fill="FFFFFE" w:val="clear"/>
        </w:rPr>
        <w:t>CULTURA TURISMO ESPORTE E LAZER)</w:t>
      </w:r>
      <w:r>
        <w:rPr>
          <w:rFonts w:cs="Calibri" w:ascii="Calibri" w:hAnsi="Calibri"/>
          <w:b w:val="false"/>
          <w:bCs/>
          <w:color w:val="000000"/>
          <w:sz w:val="20"/>
          <w:szCs w:val="20"/>
          <w:u w:val="none"/>
          <w:shd w:fill="FFFFFE" w:val="clear"/>
        </w:rPr>
        <w:t xml:space="preserve">, e FISCAIS o Sr. Ivan Antonio Wilges e o Sr. </w:t>
      </w:r>
      <w:r>
        <w:rPr>
          <w:rFonts w:eastAsia="Times New Roman" w:cs="Calibri" w:ascii="Calibri" w:hAnsi="Calibri"/>
          <w:b w:val="false"/>
          <w:bCs w:val="false"/>
          <w:color w:val="000000"/>
          <w:spacing w:val="-1"/>
          <w:sz w:val="20"/>
          <w:szCs w:val="20"/>
          <w:u w:val="none"/>
          <w:shd w:fill="FFFFFE" w:val="clear"/>
        </w:rPr>
        <w:t>Marcelo Henrique de Carvalho</w:t>
      </w:r>
      <w:r>
        <w:rPr>
          <w:rFonts w:cs="Calibri" w:ascii="Calibri" w:hAnsi="Calibri"/>
          <w:b w:val="false"/>
          <w:bCs/>
          <w:color w:val="000000"/>
          <w:sz w:val="20"/>
          <w:szCs w:val="20"/>
          <w:u w:val="none"/>
          <w:shd w:fill="FFFFFE" w:val="clear"/>
        </w:rPr>
        <w:t>, sendo estes últimos, também responsáveis pela aquisição e recebimento, sendo que todos terão AMPLOS PODERES para interromper ou rescindir o contrato caso o desempenho não atinja o objetivo proposto ou sejam verificadas irregularidades”.</w:t>
      </w:r>
    </w:p>
    <w:p>
      <w:pPr>
        <w:pStyle w:val="Normal"/>
        <w:suppressAutoHyphens w:val="false"/>
        <w:bidi w:val="0"/>
        <w:spacing w:lineRule="auto" w:line="360"/>
        <w:jc w:val="both"/>
        <w:rPr/>
      </w:pPr>
      <w:r>
        <w:rPr/>
      </w:r>
    </w:p>
    <w:p>
      <w:pPr>
        <w:pStyle w:val="Normal"/>
        <w:bidi w:val="0"/>
        <w:spacing w:lineRule="auto" w:line="276"/>
        <w:jc w:val="both"/>
        <w:rPr/>
      </w:pPr>
      <w:r>
        <w:rPr>
          <w:rFonts w:cs="Calibri" w:ascii="Calibri" w:hAnsi="Calibri"/>
          <w:b w:val="false"/>
          <w:bCs w:val="false"/>
          <w:color w:val="auto"/>
          <w:sz w:val="24"/>
          <w:szCs w:val="24"/>
          <w:u w:val="none"/>
        </w:rPr>
        <w:t xml:space="preserve">O restante das observações </w:t>
      </w:r>
      <w:r>
        <w:rPr>
          <w:rFonts w:cs="Calibri" w:ascii="Calibri" w:hAnsi="Calibri"/>
          <w:b w:val="false"/>
          <w:bCs w:val="false"/>
          <w:color w:val="auto"/>
          <w:sz w:val="24"/>
          <w:szCs w:val="24"/>
          <w:u w:val="none"/>
        </w:rPr>
        <w:t>não corresponde ao objeto licitado.</w:t>
      </w:r>
    </w:p>
    <w:p>
      <w:pPr>
        <w:pStyle w:val="Normal"/>
        <w:bidi w:val="0"/>
        <w:spacing w:lineRule="auto" w:line="276"/>
        <w:jc w:val="both"/>
        <w:rPr/>
      </w:pPr>
      <w:r>
        <w:rPr/>
      </w:r>
    </w:p>
    <w:p>
      <w:pPr>
        <w:pStyle w:val="Normal"/>
        <w:bidi w:val="0"/>
        <w:spacing w:lineRule="auto" w:line="276"/>
        <w:jc w:val="both"/>
        <w:rPr/>
      </w:pPr>
      <w:r>
        <w:rPr/>
      </w:r>
    </w:p>
    <w:p>
      <w:pPr>
        <w:pStyle w:val="Normal"/>
        <w:numPr>
          <w:ilvl w:val="0"/>
          <w:numId w:val="9"/>
        </w:numPr>
        <w:bidi w:val="0"/>
        <w:spacing w:lineRule="auto" w:line="276"/>
        <w:jc w:val="both"/>
        <w:rPr/>
      </w:pPr>
      <w:r>
        <w:rPr>
          <w:b w:val="false"/>
          <w:bCs w:val="false"/>
          <w:u w:val="none"/>
        </w:rPr>
        <w:t>O modelo de contrato está descrito no item 6 - “</w:t>
      </w:r>
      <w:r>
        <w:rPr>
          <w:rFonts w:cs="Calibri" w:ascii="Calibri" w:hAnsi="Calibri"/>
          <w:b w:val="false"/>
          <w:bCs w:val="false"/>
          <w:color w:val="000000"/>
          <w:sz w:val="22"/>
          <w:szCs w:val="22"/>
          <w:u w:val="none"/>
        </w:rPr>
        <w:t>MODELO DE GESTÃO DO CONTRATO”, como segue abaixo:</w:t>
      </w:r>
    </w:p>
    <w:p>
      <w:pPr>
        <w:pStyle w:val="Normal"/>
        <w:bidi w:val="0"/>
        <w:spacing w:lineRule="auto" w:line="276"/>
        <w:ind w:left="0" w:right="0" w:hanging="0"/>
        <w:jc w:val="both"/>
        <w:rPr/>
      </w:pPr>
      <w:r>
        <w:rPr>
          <w:sz w:val="24"/>
          <w:szCs w:val="24"/>
          <w:u w:val="single"/>
        </w:rPr>
      </w:r>
    </w:p>
    <w:p>
      <w:pPr>
        <w:pStyle w:val="Normal"/>
        <w:spacing w:lineRule="auto" w:line="240"/>
        <w:ind w:left="1134" w:right="0" w:hanging="0"/>
        <w:jc w:val="both"/>
        <w:rPr/>
      </w:pPr>
      <w:r>
        <w:rPr>
          <w:rFonts w:cs="Calibri" w:ascii="Calibri" w:hAnsi="Calibri"/>
          <w:color w:val="000000"/>
          <w:sz w:val="20"/>
          <w:szCs w:val="20"/>
        </w:rPr>
        <w:t>“</w:t>
      </w:r>
      <w:r>
        <w:rPr>
          <w:rFonts w:cs="Calibri" w:ascii="Calibri" w:hAnsi="Calibri"/>
          <w:color w:val="000000"/>
          <w:sz w:val="20"/>
          <w:szCs w:val="20"/>
        </w:rPr>
        <w:t>A execução / entrega do bem deverá ser executado fielmente pelas partes, de acordo com as cláusulas avençadas e as normas da Lei nº 14.133, de 2021, e cada parte responderá pelas consequências de sua inexecução total ou parcial.</w:t>
      </w:r>
    </w:p>
    <w:p>
      <w:pPr>
        <w:pStyle w:val="Default"/>
        <w:spacing w:lineRule="auto" w:line="240"/>
        <w:ind w:left="1134" w:right="0" w:hanging="0"/>
        <w:jc w:val="both"/>
        <w:rPr/>
      </w:pPr>
      <w:r>
        <w:rPr>
          <w:rFonts w:cs="Calibri" w:ascii="Calibri" w:hAnsi="Calibri"/>
          <w:color w:val="000000"/>
          <w:sz w:val="20"/>
          <w:szCs w:val="20"/>
        </w:rPr>
        <w:tab/>
        <w:t>As comunicações entre o órgão ou entidade e a contratada devem ser realizadas por escrito sempre que o ato exigir tal formalidade, admitindo-se o uso de mensagem eletrônica para esse fim.</w:t>
      </w:r>
    </w:p>
    <w:p>
      <w:pPr>
        <w:pStyle w:val="Default"/>
        <w:spacing w:lineRule="auto" w:line="240"/>
        <w:ind w:left="1134" w:right="0" w:hanging="0"/>
        <w:jc w:val="both"/>
        <w:rPr/>
      </w:pPr>
      <w:r>
        <w:rPr>
          <w:rFonts w:cs="Calibri" w:ascii="Calibri" w:hAnsi="Calibri"/>
          <w:color w:val="000000"/>
          <w:sz w:val="20"/>
          <w:szCs w:val="20"/>
        </w:rPr>
        <w:tab/>
        <w:t>O órgão ou entidade poderá convocar representante da empresa para adoção de providências que devam ser cumpridas de imediato.</w:t>
      </w:r>
    </w:p>
    <w:p>
      <w:pPr>
        <w:pStyle w:val="Default"/>
        <w:spacing w:lineRule="auto" w:line="240"/>
        <w:ind w:left="1134" w:right="0" w:hanging="0"/>
        <w:jc w:val="both"/>
        <w:rPr/>
      </w:pPr>
      <w:r>
        <w:rPr>
          <w:rFonts w:cs="Calibri" w:ascii="Calibri" w:hAnsi="Calibri"/>
          <w:color w:val="000000"/>
          <w:sz w:val="20"/>
          <w:szCs w:val="20"/>
        </w:rPr>
        <w:tab/>
        <w:t>A execução / entrega do bem deverá ser acompanhada e fiscalizada pelo(s) fiscal(is) ou pelos respectivos substitutos.</w:t>
      </w:r>
    </w:p>
    <w:p>
      <w:pPr>
        <w:pStyle w:val="Default"/>
        <w:spacing w:lineRule="auto" w:line="240"/>
        <w:ind w:left="1134" w:right="0" w:hanging="0"/>
        <w:jc w:val="both"/>
        <w:rPr/>
      </w:pPr>
      <w:r>
        <w:rPr>
          <w:rFonts w:cs="Calibri" w:ascii="Calibri" w:hAnsi="Calibri"/>
          <w:b/>
          <w:bCs/>
          <w:color w:val="C9211E"/>
          <w:sz w:val="20"/>
          <w:szCs w:val="20"/>
        </w:rPr>
        <w:tab/>
      </w:r>
      <w:r>
        <w:rPr>
          <w:rFonts w:cs="Calibri" w:ascii="Calibri" w:hAnsi="Calibri"/>
          <w:b/>
          <w:bCs/>
          <w:color w:val="000000"/>
          <w:sz w:val="20"/>
          <w:szCs w:val="20"/>
        </w:rPr>
        <w:t>Fiscal – Cfe Decreto nº 11.246, de 2022, art. 22 e Lei nº 14.133, de 2021, art. 117:</w:t>
      </w:r>
    </w:p>
    <w:p>
      <w:pPr>
        <w:pStyle w:val="Default"/>
        <w:spacing w:lineRule="auto" w:line="240"/>
        <w:ind w:left="1134" w:right="0" w:hanging="0"/>
        <w:jc w:val="both"/>
        <w:rPr/>
      </w:pPr>
      <w:r>
        <w:rPr>
          <w:rFonts w:cs="Calibri" w:ascii="Calibri" w:hAnsi="Calibri"/>
          <w:color w:val="000000"/>
          <w:sz w:val="20"/>
          <w:szCs w:val="20"/>
        </w:rPr>
        <w:tab/>
        <w:t>a) O fiscal acompanhará a execução / entrega do bem, para que sejam cumpridas todas as condições estabelecidas no edital e termo de referência, de modo a assegurar os melhores resultados para a Administração. (Decreto nº 11.246, de 2022, art. 22, VI);</w:t>
      </w:r>
    </w:p>
    <w:p>
      <w:pPr>
        <w:pStyle w:val="Default"/>
        <w:spacing w:lineRule="auto" w:line="240"/>
        <w:ind w:left="1134" w:right="0" w:hanging="0"/>
        <w:jc w:val="both"/>
        <w:rPr/>
      </w:pPr>
      <w:r>
        <w:rPr>
          <w:rFonts w:cs="Calibri" w:ascii="Calibri" w:hAnsi="Calibri"/>
          <w:color w:val="000000"/>
          <w:sz w:val="20"/>
          <w:szCs w:val="20"/>
        </w:rPr>
        <w:tab/>
        <w:t xml:space="preserve">b) O fiscal do contrato anotará no histórico de gerenciamento do contrato todas as ocorrências relacionadas à execução do contrato, com a descrição do que for necessário para a regularização das faltas ou dos defeitos observados. </w:t>
      </w:r>
    </w:p>
    <w:p>
      <w:pPr>
        <w:pStyle w:val="Default"/>
        <w:spacing w:lineRule="auto" w:line="240"/>
        <w:ind w:left="1134" w:right="0" w:hanging="0"/>
        <w:jc w:val="both"/>
        <w:rPr/>
      </w:pPr>
      <w:r>
        <w:rPr>
          <w:rFonts w:cs="Calibri" w:ascii="Calibri" w:hAnsi="Calibri"/>
          <w:color w:val="000000"/>
          <w:sz w:val="20"/>
          <w:szCs w:val="20"/>
        </w:rPr>
        <w:tab/>
        <w:t>c) Identificada qualquer inexatidão ou irregularidade, o fiscal do contrato emitirá notificações para a correção da execução do contrato, determinando prazo para a correção.</w:t>
      </w:r>
    </w:p>
    <w:p>
      <w:pPr>
        <w:pStyle w:val="Default"/>
        <w:spacing w:lineRule="auto" w:line="240"/>
        <w:ind w:left="1134" w:right="0" w:hanging="0"/>
        <w:jc w:val="both"/>
        <w:rPr/>
      </w:pPr>
      <w:r>
        <w:rPr>
          <w:rFonts w:cs="Calibri" w:ascii="Calibri" w:hAnsi="Calibri"/>
          <w:color w:val="000000"/>
          <w:sz w:val="20"/>
          <w:szCs w:val="20"/>
        </w:rPr>
        <w:tab/>
        <w:t>d) O fiscal informará ao gestor do contato, em tempo hábil, a situação que demandar decisão ou adoção de medidas que ultrapassem sua competência, para que adote as medidas necessárias e saneadoras, se for o caso.</w:t>
      </w:r>
    </w:p>
    <w:p>
      <w:pPr>
        <w:pStyle w:val="Default"/>
        <w:spacing w:lineRule="auto" w:line="240"/>
        <w:ind w:left="1134" w:right="0" w:hanging="0"/>
        <w:jc w:val="both"/>
        <w:rPr/>
      </w:pPr>
      <w:r>
        <w:rPr>
          <w:rFonts w:cs="Calibri" w:ascii="Calibri" w:hAnsi="Calibri"/>
          <w:color w:val="000000"/>
          <w:sz w:val="20"/>
          <w:szCs w:val="20"/>
        </w:rPr>
        <w:tab/>
        <w:t xml:space="preserve">e) No caso de ocorrências que possam inviabilizar a execução / entrega do bem nas datas aprazadas, o fiscal comunicará o fato imediatamente ao gestor do contrato. </w:t>
      </w:r>
    </w:p>
    <w:p>
      <w:pPr>
        <w:pStyle w:val="Default"/>
        <w:spacing w:lineRule="auto" w:line="240"/>
        <w:ind w:left="1134" w:right="0" w:hanging="0"/>
        <w:jc w:val="both"/>
        <w:rPr/>
      </w:pPr>
      <w:r>
        <w:rPr>
          <w:rFonts w:cs="Calibri" w:ascii="Calibri" w:hAnsi="Calibri"/>
          <w:color w:val="000000"/>
          <w:sz w:val="20"/>
          <w:szCs w:val="20"/>
        </w:rPr>
        <w:tab/>
        <w:t>f) O fiscal comunicará ao gestor do contrato, em tempo hábil, o término do contrato sob sua responsabilidade, com vistas à renovação tempestiva ou à prorrogação contratual.</w:t>
      </w:r>
    </w:p>
    <w:p>
      <w:pPr>
        <w:pStyle w:val="Default"/>
        <w:spacing w:lineRule="auto" w:line="240"/>
        <w:ind w:left="1134" w:right="0" w:hanging="0"/>
        <w:jc w:val="both"/>
        <w:rPr/>
      </w:pPr>
      <w:r>
        <w:rPr>
          <w:rFonts w:cs="Calibri" w:ascii="Calibri" w:hAnsi="Calibri"/>
          <w:color w:val="C9211E"/>
          <w:sz w:val="20"/>
          <w:szCs w:val="20"/>
        </w:rPr>
        <w:tab/>
        <w:tab/>
      </w:r>
      <w:r>
        <w:rPr>
          <w:rFonts w:cs="Calibri" w:ascii="Calibri" w:hAnsi="Calibri"/>
          <w:color w:val="auto"/>
          <w:sz w:val="20"/>
          <w:szCs w:val="20"/>
        </w:rPr>
        <w:t xml:space="preserve">Fiscais do presente Contrato: Ivan Antonio Wilges (matrícula 21636) e </w:t>
      </w:r>
      <w:r>
        <w:rPr>
          <w:rFonts w:eastAsia="Times New Roman" w:cs="Calibri" w:ascii="Calibri" w:hAnsi="Calibri"/>
          <w:b w:val="false"/>
          <w:bCs w:val="false"/>
          <w:color w:val="auto"/>
          <w:spacing w:val="-1"/>
          <w:sz w:val="20"/>
          <w:szCs w:val="20"/>
        </w:rPr>
        <w:t>Marcelo Henrique de Carvalho (</w:t>
      </w:r>
      <w:r>
        <w:rPr>
          <w:rFonts w:eastAsia="Arial" w:cs="Calibri" w:ascii="Calibri" w:hAnsi="Calibri"/>
          <w:b w:val="false"/>
          <w:bCs w:val="false"/>
          <w:color w:val="auto"/>
          <w:spacing w:val="-2"/>
          <w:sz w:val="20"/>
          <w:szCs w:val="20"/>
        </w:rPr>
        <w:t xml:space="preserve">SECRETÁRIO MUNICIPAL DE </w:t>
      </w:r>
      <w:r>
        <w:rPr>
          <w:rFonts w:eastAsia="Times New Roman" w:cs="Calibri" w:ascii="Calibri" w:hAnsi="Calibri"/>
          <w:b w:val="false"/>
          <w:bCs w:val="false"/>
          <w:color w:val="auto"/>
          <w:spacing w:val="-2"/>
          <w:sz w:val="20"/>
          <w:szCs w:val="20"/>
        </w:rPr>
        <w:t>CULTURA TURISMO ESPORTE E LAZER)</w:t>
      </w:r>
    </w:p>
    <w:p>
      <w:pPr>
        <w:pStyle w:val="Default"/>
        <w:spacing w:lineRule="auto" w:line="240"/>
        <w:ind w:left="1134" w:right="0" w:hanging="0"/>
        <w:jc w:val="both"/>
        <w:rPr/>
      </w:pPr>
      <w:r>
        <w:rPr>
          <w:rFonts w:cs="Calibri" w:ascii="Calibri" w:hAnsi="Calibri"/>
          <w:b/>
          <w:bCs/>
          <w:color w:val="C9211E"/>
          <w:sz w:val="20"/>
          <w:szCs w:val="20"/>
        </w:rPr>
        <w:tab/>
      </w:r>
      <w:r>
        <w:rPr>
          <w:rFonts w:cs="Calibri" w:ascii="Calibri" w:hAnsi="Calibri"/>
          <w:b/>
          <w:bCs/>
          <w:color w:val="000000"/>
          <w:sz w:val="20"/>
          <w:szCs w:val="20"/>
        </w:rPr>
        <w:t>Gestor de Contrato – Cfe Decreto nº 11.246, de 2022, art. 21:</w:t>
      </w:r>
    </w:p>
    <w:p>
      <w:pPr>
        <w:pStyle w:val="Default"/>
        <w:spacing w:lineRule="auto" w:line="240"/>
        <w:ind w:left="1134" w:right="0" w:hanging="0"/>
        <w:jc w:val="both"/>
        <w:rPr/>
      </w:pPr>
      <w:r>
        <w:rPr>
          <w:rFonts w:cs="Calibri" w:ascii="Calibri" w:hAnsi="Calibri"/>
          <w:color w:val="000000"/>
          <w:sz w:val="20"/>
          <w:szCs w:val="20"/>
        </w:rPr>
        <w:tab/>
        <w:t>a)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Default"/>
        <w:spacing w:lineRule="auto" w:line="240"/>
        <w:ind w:left="1134" w:right="0" w:hanging="0"/>
        <w:jc w:val="both"/>
        <w:rPr/>
      </w:pPr>
      <w:r>
        <w:rPr>
          <w:rFonts w:cs="Calibri" w:ascii="Calibri" w:hAnsi="Calibri"/>
          <w:color w:val="000000"/>
          <w:sz w:val="20"/>
          <w:szCs w:val="20"/>
        </w:rPr>
        <w:tab/>
        <w:t>b) 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Default"/>
        <w:spacing w:lineRule="auto" w:line="240"/>
        <w:ind w:left="1134" w:right="0" w:hanging="0"/>
        <w:jc w:val="both"/>
        <w:rPr/>
      </w:pPr>
      <w:r>
        <w:rPr>
          <w:rFonts w:cs="Calibri" w:ascii="Calibri" w:hAnsi="Calibri"/>
          <w:color w:val="000000"/>
          <w:sz w:val="20"/>
          <w:szCs w:val="20"/>
        </w:rPr>
        <w:tab/>
        <w:t>c) 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Default"/>
        <w:spacing w:lineRule="auto" w:line="240"/>
        <w:ind w:left="1134" w:right="0" w:hanging="0"/>
        <w:jc w:val="both"/>
        <w:rPr/>
      </w:pPr>
      <w:r>
        <w:rPr>
          <w:rFonts w:cs="Calibri" w:ascii="Calibri" w:hAnsi="Calibri"/>
          <w:color w:val="000000"/>
          <w:sz w:val="20"/>
          <w:szCs w:val="20"/>
        </w:rPr>
        <w:tab/>
        <w:t>d)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Default"/>
        <w:spacing w:lineRule="auto" w:line="240"/>
        <w:ind w:left="1134" w:right="0" w:hanging="0"/>
        <w:jc w:val="both"/>
        <w:rPr/>
      </w:pPr>
      <w:r>
        <w:rPr>
          <w:rFonts w:cs="Calibri" w:ascii="Calibri" w:hAnsi="Calibri"/>
          <w:color w:val="000000"/>
          <w:sz w:val="20"/>
          <w:szCs w:val="20"/>
        </w:rPr>
        <w:tab/>
        <w:t>e) O gestor do contrato deverá enviar a documentação pertinente ao setor de contratos para a formalização dos procedimentos de liquidação e pagamento, no valor dimensionado pela fiscalização e gestão nos termos do contrato.</w:t>
      </w:r>
    </w:p>
    <w:p>
      <w:pPr>
        <w:pStyle w:val="Default"/>
        <w:bidi w:val="0"/>
        <w:spacing w:lineRule="auto" w:line="240"/>
        <w:ind w:left="1134" w:right="0" w:hanging="0"/>
        <w:jc w:val="both"/>
        <w:rPr/>
      </w:pPr>
      <w:r>
        <w:rPr>
          <w:rFonts w:cs="Calibri" w:ascii="Calibri" w:hAnsi="Calibri"/>
          <w:color w:val="C9211E"/>
          <w:sz w:val="20"/>
          <w:szCs w:val="20"/>
          <w:u w:val="none"/>
        </w:rPr>
        <w:tab/>
      </w:r>
      <w:r>
        <w:rPr>
          <w:rFonts w:cs="Calibri" w:ascii="Calibri" w:hAnsi="Calibri"/>
          <w:color w:val="auto"/>
          <w:sz w:val="20"/>
          <w:szCs w:val="20"/>
          <w:u w:val="none"/>
        </w:rPr>
        <w:t xml:space="preserve">Gestor do presente contrato: Micheli Katiani Rech (Secretária Municipal de Educação) e </w:t>
      </w:r>
      <w:r>
        <w:rPr>
          <w:rFonts w:eastAsia="Times New Roman" w:cs="Calibri" w:ascii="Calibri" w:hAnsi="Calibri"/>
          <w:b w:val="false"/>
          <w:bCs w:val="false"/>
          <w:color w:val="auto"/>
          <w:spacing w:val="-1"/>
          <w:sz w:val="20"/>
          <w:szCs w:val="20"/>
          <w:u w:val="none"/>
        </w:rPr>
        <w:t>Marcelo Henrique de Carvalho (</w:t>
      </w:r>
      <w:r>
        <w:rPr>
          <w:rFonts w:eastAsia="Arial" w:cs="Calibri" w:ascii="Calibri" w:hAnsi="Calibri"/>
          <w:b w:val="false"/>
          <w:bCs w:val="false"/>
          <w:color w:val="auto"/>
          <w:spacing w:val="-2"/>
          <w:sz w:val="20"/>
          <w:szCs w:val="20"/>
          <w:u w:val="none"/>
        </w:rPr>
        <w:t xml:space="preserve">SECRETÁRIO MUNICIPAL DE </w:t>
      </w:r>
      <w:r>
        <w:rPr>
          <w:rFonts w:eastAsia="Times New Roman" w:cs="Calibri" w:ascii="Calibri" w:hAnsi="Calibri"/>
          <w:b w:val="false"/>
          <w:bCs w:val="false"/>
          <w:color w:val="auto"/>
          <w:spacing w:val="-2"/>
          <w:sz w:val="20"/>
          <w:szCs w:val="20"/>
          <w:u w:val="none"/>
        </w:rPr>
        <w:t>CULTURA TURISMO ESPORTE E LAZER).”</w:t>
      </w:r>
    </w:p>
    <w:p>
      <w:pPr>
        <w:pStyle w:val="Normal"/>
        <w:bidi w:val="0"/>
        <w:spacing w:lineRule="auto" w:line="276"/>
        <w:ind w:left="0" w:right="0" w:hanging="0"/>
        <w:jc w:val="both"/>
        <w:rPr/>
      </w:pPr>
      <w:r>
        <w:rPr>
          <w:sz w:val="24"/>
          <w:szCs w:val="24"/>
          <w:u w:val="single"/>
        </w:rPr>
      </w:r>
    </w:p>
    <w:p>
      <w:pPr>
        <w:pStyle w:val="Normal"/>
        <w:bidi w:val="0"/>
        <w:spacing w:lineRule="auto" w:line="276"/>
        <w:ind w:left="0" w:right="0" w:hanging="0"/>
        <w:jc w:val="both"/>
        <w:rPr/>
      </w:pPr>
      <w:r>
        <w:rPr>
          <w:sz w:val="24"/>
          <w:szCs w:val="24"/>
          <w:u w:val="single"/>
        </w:rPr>
      </w:r>
    </w:p>
    <w:p>
      <w:pPr>
        <w:pStyle w:val="Normal"/>
        <w:numPr>
          <w:ilvl w:val="0"/>
          <w:numId w:val="8"/>
        </w:numPr>
        <w:bidi w:val="0"/>
        <w:spacing w:lineRule="auto" w:line="276"/>
        <w:jc w:val="both"/>
        <w:rPr/>
      </w:pPr>
      <w:r>
        <w:rPr>
          <w:sz w:val="24"/>
          <w:szCs w:val="24"/>
          <w:u w:val="none"/>
        </w:rPr>
        <w:t>Conforme solicitado na alínea “g”, segue abaixo conforme descrito também no TR</w:t>
      </w:r>
    </w:p>
    <w:p>
      <w:pPr>
        <w:pStyle w:val="Normal"/>
        <w:bidi w:val="0"/>
        <w:spacing w:lineRule="auto" w:line="276"/>
        <w:ind w:left="0" w:right="0" w:hanging="0"/>
        <w:jc w:val="both"/>
        <w:rPr/>
      </w:pPr>
      <w:r>
        <w:rPr>
          <w:sz w:val="24"/>
          <w:szCs w:val="24"/>
          <w:u w:val="none"/>
        </w:rPr>
      </w:r>
    </w:p>
    <w:p>
      <w:pPr>
        <w:pStyle w:val="Normal"/>
        <w:spacing w:lineRule="auto" w:line="240"/>
        <w:ind w:left="1134" w:right="0" w:hanging="0"/>
        <w:jc w:val="both"/>
        <w:rPr/>
      </w:pPr>
      <w:r>
        <w:rPr>
          <w:rFonts w:cs="Calibri" w:ascii="Calibri" w:hAnsi="Calibri"/>
          <w:color w:val="000000"/>
          <w:sz w:val="20"/>
          <w:szCs w:val="20"/>
        </w:rPr>
        <w:t>“</w:t>
      </w:r>
      <w:r>
        <w:rPr>
          <w:rFonts w:cs="Calibri" w:ascii="Calibri" w:hAnsi="Calibri"/>
          <w:color w:val="000000"/>
          <w:sz w:val="20"/>
          <w:szCs w:val="20"/>
        </w:rPr>
        <w:t>Os pagamentos serão realizados em até 10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spacing w:lineRule="auto" w:line="240"/>
        <w:ind w:left="1134" w:right="0" w:hanging="0"/>
        <w:jc w:val="both"/>
        <w:rPr/>
      </w:pPr>
      <w:r>
        <w:rPr>
          <w:rFonts w:eastAsia="Calibri" w:cs="Calibri" w:ascii="Calibri" w:hAnsi="Calibri"/>
          <w:color w:val="000000"/>
          <w:sz w:val="20"/>
          <w:szCs w:val="20"/>
        </w:rPr>
        <w:tab/>
      </w:r>
      <w:r>
        <w:rPr>
          <w:rFonts w:cs="Calibri" w:ascii="Calibri" w:hAnsi="Calibri"/>
          <w:color w:val="000000"/>
          <w:sz w:val="20"/>
          <w:szCs w:val="20"/>
        </w:rPr>
        <w:t xml:space="preserve">A licitante vencedora deverá emitir a nota fiscal tão logo ocorra o fornecimento </w:t>
      </w:r>
      <w:r>
        <w:rPr>
          <w:rFonts w:cs="Calibri" w:ascii="Calibri" w:hAnsi="Calibri"/>
          <w:b w:val="false"/>
          <w:bCs w:val="false"/>
          <w:color w:val="auto"/>
          <w:sz w:val="20"/>
          <w:szCs w:val="20"/>
        </w:rPr>
        <w:t>dos materiais solicitados.</w:t>
      </w:r>
      <w:r>
        <w:rPr>
          <w:rFonts w:cs="Calibri" w:ascii="Calibri" w:hAnsi="Calibri"/>
          <w:color w:val="000000"/>
          <w:sz w:val="20"/>
          <w:szCs w:val="20"/>
        </w:rPr>
        <w:t xml:space="preserve"> Em caso de rejeição da nota fiscal e/ou fatura, motivada por erro ou incorreção, o prazo de até 30 (trinta) dias passará a ser contado a partir da data da reapresentação.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 Não serão aceitos boletos bancários, somente serão efetuados depósitos em conta-corrente em nome da empresa licitante vencedora. Deverão ser entregues sempre que necessário, as Certidões atualizadas (válidas) relativas ao Fundo de Garantia por Tempo de Serviço (FGTS) e de regularidade para com as Fazendas Municipal, Estadual e Federal. Ocorrendo atraso no pagamento, os valores serão corrigidos monetariamente pelo índice IPCA – Índice Nacional de Preços ao Consumidor Amplo do período, ou outro índice que vier a substituí-lo, e a Administração compensará a contratada com juros de 0,5% ao mês, pro rata.</w:t>
      </w:r>
    </w:p>
    <w:p>
      <w:pPr>
        <w:pStyle w:val="Default"/>
        <w:bidi w:val="0"/>
        <w:spacing w:lineRule="auto" w:line="240"/>
        <w:ind w:left="1134" w:right="0" w:hanging="0"/>
        <w:jc w:val="both"/>
        <w:rPr/>
      </w:pPr>
      <w:r>
        <w:rPr>
          <w:rFonts w:cs="Calibri" w:ascii="Calibri" w:hAnsi="Calibri"/>
          <w:color w:val="000000"/>
          <w:sz w:val="20"/>
          <w:szCs w:val="20"/>
          <w:u w:val="none"/>
        </w:rPr>
        <w:t>DOS EMPENHOS: O compromisso de fornecimento estará caracterizado após o recebimento da nota de empenho, que será emitido de acordo com o valor constante na Ata de Registro de Preços. A emissão do(s) empenho(s) será autorizada pelo titular da pasta à qual pertencer a unidade requisitante, ou pela autoridade por ele delegada. 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A cada solicitação de serviço/fornecimento, a nota de empenho ficará a disposição do fornecedor junto ao site do Município, contendo a indicação dos serviços, quantidades e locais.”</w:t>
      </w:r>
    </w:p>
    <w:p>
      <w:pPr>
        <w:pStyle w:val="Default"/>
        <w:bidi w:val="0"/>
        <w:spacing w:lineRule="auto" w:line="276"/>
        <w:ind w:left="0" w:right="0" w:hanging="0"/>
        <w:jc w:val="both"/>
        <w:rPr/>
      </w:pPr>
      <w:r>
        <w:rPr>
          <w:rFonts w:cs="Calibri" w:ascii="Calibri" w:hAnsi="Calibri"/>
          <w:color w:val="000000"/>
          <w:sz w:val="22"/>
          <w:szCs w:val="22"/>
          <w:u w:val="none"/>
        </w:rPr>
      </w:r>
    </w:p>
    <w:p>
      <w:pPr>
        <w:pStyle w:val="Default"/>
        <w:bidi w:val="0"/>
        <w:spacing w:lineRule="auto" w:line="276"/>
        <w:ind w:left="0" w:right="0" w:hanging="0"/>
        <w:jc w:val="both"/>
        <w:rPr/>
      </w:pPr>
      <w:r>
        <w:rPr>
          <w:rFonts w:cs="Calibri" w:ascii="Calibri" w:hAnsi="Calibri"/>
          <w:color w:val="000000"/>
          <w:sz w:val="22"/>
          <w:szCs w:val="22"/>
          <w:u w:val="none"/>
        </w:rPr>
      </w:r>
    </w:p>
    <w:p>
      <w:pPr>
        <w:pStyle w:val="Normal"/>
        <w:numPr>
          <w:ilvl w:val="0"/>
          <w:numId w:val="10"/>
        </w:numPr>
        <w:bidi w:val="0"/>
        <w:spacing w:lineRule="auto" w:line="276"/>
        <w:jc w:val="both"/>
        <w:rPr/>
      </w:pPr>
      <w:r>
        <w:rPr>
          <w:rFonts w:cs="Calibri" w:ascii="Calibri" w:hAnsi="Calibri"/>
          <w:color w:val="000000"/>
          <w:sz w:val="24"/>
          <w:szCs w:val="24"/>
          <w:u w:val="none"/>
        </w:rPr>
        <w:t>Conforme solicitado na alínea “h”, segue abaixo conforme descrito também no TR ena Justificativa</w:t>
      </w:r>
    </w:p>
    <w:p>
      <w:pPr>
        <w:pStyle w:val="Normal"/>
        <w:bidi w:val="0"/>
        <w:spacing w:lineRule="auto" w:line="276"/>
        <w:ind w:left="0" w:right="0" w:hanging="0"/>
        <w:jc w:val="both"/>
        <w:rPr/>
      </w:pPr>
      <w:r>
        <w:rPr>
          <w:rFonts w:cs="Calibri" w:ascii="Calibri" w:hAnsi="Calibri"/>
          <w:color w:val="000000"/>
          <w:sz w:val="24"/>
          <w:szCs w:val="24"/>
          <w:u w:val="none"/>
        </w:rPr>
      </w:r>
    </w:p>
    <w:p>
      <w:pPr>
        <w:pStyle w:val="Normal"/>
        <w:spacing w:lineRule="auto" w:line="240"/>
        <w:ind w:left="1134" w:right="0" w:hanging="0"/>
        <w:jc w:val="both"/>
        <w:rPr/>
      </w:pPr>
      <w:r>
        <w:rPr>
          <w:rFonts w:cs="Calibri" w:ascii="Calibri" w:hAnsi="Calibri"/>
          <w:sz w:val="20"/>
          <w:szCs w:val="20"/>
        </w:rPr>
        <w:t>“</w:t>
      </w:r>
      <w:r>
        <w:rPr>
          <w:rFonts w:cs="Calibri" w:ascii="Calibri" w:hAnsi="Calibri"/>
          <w:sz w:val="20"/>
          <w:szCs w:val="20"/>
        </w:rPr>
        <w:t xml:space="preserve">A presente justificativa tem como finalidade respaldar a abertura de procedimento licitatório, na modalidade </w:t>
      </w:r>
      <w:r>
        <w:rPr>
          <w:rStyle w:val="Nfaseforte"/>
          <w:rFonts w:cs="Calibri" w:ascii="Calibri" w:hAnsi="Calibri"/>
          <w:sz w:val="20"/>
          <w:szCs w:val="20"/>
        </w:rPr>
        <w:t>pregão eletrônico</w:t>
      </w:r>
      <w:r>
        <w:rPr>
          <w:rFonts w:cs="Calibri" w:ascii="Calibri" w:hAnsi="Calibri"/>
          <w:sz w:val="20"/>
          <w:szCs w:val="20"/>
        </w:rPr>
        <w:t xml:space="preserve">, visando à </w:t>
      </w:r>
      <w:r>
        <w:rPr>
          <w:rStyle w:val="Nfaseforte"/>
          <w:rFonts w:cs="Calibri" w:ascii="Calibri" w:hAnsi="Calibri"/>
          <w:sz w:val="20"/>
          <w:szCs w:val="20"/>
        </w:rPr>
        <w:t>aquisição de materiais esportivos diversos</w:t>
      </w:r>
      <w:r>
        <w:rPr>
          <w:rFonts w:cs="Calibri" w:ascii="Calibri" w:hAnsi="Calibri"/>
          <w:sz w:val="20"/>
          <w:szCs w:val="20"/>
        </w:rPr>
        <w:t>, conforme demanda apresentada pela Secretaria Municipal de Educação e pela Secretaria Municipal de Cultura Esporte Turismo e Lazer.</w:t>
      </w:r>
    </w:p>
    <w:p>
      <w:pPr>
        <w:pStyle w:val="Corpodotexto"/>
        <w:spacing w:lineRule="auto" w:line="240"/>
        <w:ind w:left="1134" w:right="0" w:hanging="0"/>
        <w:jc w:val="both"/>
        <w:rPr/>
      </w:pPr>
      <w:r>
        <w:rPr>
          <w:rFonts w:cs="Calibri" w:ascii="Calibri" w:hAnsi="Calibri"/>
          <w:sz w:val="20"/>
          <w:szCs w:val="20"/>
        </w:rPr>
        <w:tab/>
        <w:tab/>
        <w:tab/>
        <w:t>A aquisição desses materiais se faz necessária para atender às atividades regulares desenvolvidas pelas respectivas Secretarias, incluindo projetos esportivos, atividades escolares, competições, treinamentos, oficinas e outras ações que envolvem a prática de atividades físicas e esportivas. Tais ações têm papel fundamental na promoção da saúde, inclusão social, educação e desenvolvimento físico e motor dos participantes, especialmente crianças, adolescentes em especial aquelas em situação de vulnerabilidade social.</w:t>
      </w:r>
    </w:p>
    <w:p>
      <w:pPr>
        <w:pStyle w:val="Corpodotexto"/>
        <w:spacing w:lineRule="auto" w:line="240"/>
        <w:ind w:left="1134" w:right="0" w:hanging="0"/>
        <w:jc w:val="both"/>
        <w:rPr/>
      </w:pPr>
      <w:r>
        <w:rPr>
          <w:rFonts w:cs="Calibri" w:ascii="Calibri" w:hAnsi="Calibri"/>
          <w:sz w:val="20"/>
          <w:szCs w:val="20"/>
        </w:rPr>
        <w:tab/>
        <w:tab/>
        <w:tab/>
        <w:t xml:space="preserve">Optou-se pela modalidade </w:t>
      </w:r>
      <w:r>
        <w:rPr>
          <w:rStyle w:val="Nfaseforte"/>
          <w:rFonts w:cs="Calibri" w:ascii="Calibri" w:hAnsi="Calibri"/>
          <w:b w:val="false"/>
          <w:bCs w:val="false"/>
          <w:sz w:val="20"/>
          <w:szCs w:val="20"/>
        </w:rPr>
        <w:t>pregão eletrônico</w:t>
      </w:r>
      <w:r>
        <w:rPr>
          <w:rFonts w:cs="Calibri" w:ascii="Calibri" w:hAnsi="Calibri"/>
          <w:sz w:val="20"/>
          <w:szCs w:val="20"/>
        </w:rPr>
        <w:t xml:space="preserve"> por se tratar de uma forma eficiente, transparente e célere de contratação, que permite ampla competitividade entre fornecedores, favorecendo a obtenção de propostas mais vantajosas para a administração pública, tanto em termos de preço quanto de qualidade. O pregão eletrônico, conforme previsto na Lei nº 14.133/2021, é indicado para a aquisição de bens comuns, como é o caso dos materiais esportivos, cujas especificações são usuais no mercado e podem ser objetivamente definidas no edital.</w:t>
      </w:r>
    </w:p>
    <w:p>
      <w:pPr>
        <w:pStyle w:val="Corpodotexto"/>
        <w:bidi w:val="0"/>
        <w:spacing w:lineRule="auto" w:line="240"/>
        <w:ind w:left="1134" w:right="0" w:hanging="0"/>
        <w:jc w:val="both"/>
        <w:rPr/>
      </w:pPr>
      <w:r>
        <w:rPr>
          <w:rFonts w:cs="Calibri" w:ascii="Calibri" w:hAnsi="Calibri"/>
          <w:color w:val="000000"/>
          <w:sz w:val="20"/>
          <w:szCs w:val="20"/>
          <w:u w:val="none"/>
        </w:rPr>
        <w:tab/>
        <w:tab/>
        <w:tab/>
        <w:t>Além disso, a utilização da plataforma eletrônica amplia o alcance da licitação, promovendo maior economicidade e facilitando a participação de fornecedores de diferentes regiões, o que contribui para a lisura do processo e para a seleção da proposta mais vantajosa à administração, almejando-se assim, assegurar tratamento isonômico entre os licitantes, bem como a justa competição, evitando contratação com sobrepreço ou com preço manifestamente inexequível e superfaturamento na execução do contrato e a aquisição em quantidade pode gerar economia significativa para os cofres públicos.”</w:t>
      </w:r>
    </w:p>
    <w:p>
      <w:pPr>
        <w:pStyle w:val="Corpodotexto"/>
        <w:bidi w:val="0"/>
        <w:spacing w:lineRule="auto" w:line="240"/>
        <w:ind w:left="1134" w:right="0" w:hanging="0"/>
        <w:jc w:val="both"/>
        <w:rPr/>
      </w:pPr>
      <w:r>
        <w:rPr>
          <w:rFonts w:cs="Calibri" w:ascii="Calibri" w:hAnsi="Calibri"/>
          <w:color w:val="000000"/>
          <w:sz w:val="20"/>
          <w:szCs w:val="20"/>
          <w:u w:val="none"/>
        </w:rPr>
        <w:t>“</w:t>
      </w:r>
      <w:r>
        <w:rPr>
          <w:rFonts w:cs="Calibri" w:ascii="Calibri" w:hAnsi="Calibri"/>
          <w:b/>
          <w:color w:val="000000"/>
          <w:sz w:val="20"/>
          <w:szCs w:val="20"/>
          <w:u w:val="none"/>
        </w:rPr>
        <w:t>4. REQUISITOS DA CONTRATAÇÃO</w:t>
      </w:r>
    </w:p>
    <w:p>
      <w:pPr>
        <w:pStyle w:val="Default"/>
        <w:spacing w:lineRule="auto" w:line="240"/>
        <w:ind w:left="1134" w:right="0" w:hanging="0"/>
        <w:jc w:val="both"/>
        <w:rPr/>
      </w:pPr>
      <w:r>
        <w:rPr>
          <w:rFonts w:cs="Calibri" w:ascii="Calibri" w:hAnsi="Calibri"/>
          <w:color w:val="000000"/>
          <w:sz w:val="20"/>
          <w:szCs w:val="20"/>
        </w:rPr>
        <w:tab/>
        <w:t>As aquisições de Materiais: educativos e esportivos, têm natureza de bens comuns, tendo em vista que seus padrões de desempenho e qualidade podem ser objetivamente definidos pelo edital, por meio de especificações usuais de mercado, nos termos do art. 6º, inciso XIII, da Lei Federal nº 14.133/2021.</w:t>
      </w:r>
    </w:p>
    <w:p>
      <w:pPr>
        <w:pStyle w:val="Default"/>
        <w:spacing w:lineRule="auto" w:line="240"/>
        <w:ind w:left="1134" w:right="0" w:hanging="0"/>
        <w:jc w:val="both"/>
        <w:rPr/>
      </w:pPr>
      <w:r>
        <w:rPr>
          <w:rFonts w:cs="Calibri" w:ascii="Calibri" w:hAnsi="Calibri"/>
          <w:color w:val="000000"/>
          <w:sz w:val="20"/>
          <w:szCs w:val="20"/>
        </w:rPr>
        <w:tab/>
        <w:t xml:space="preserve">A contratação será realizada por meio de licitação, na modalidade Pregão, na sua forma eletrônica, com critério de julgamento por menor preço unitário, nos termos dos artigos 6º, inciso XLI, 17, § 2º, e 34, todos da Lei Federal nº 14.133/2021. É vedada a subcontratação ou transferência total ou parcial dos objetos a serem licitados. O Instrumento utilizado para contratação será Ata de Registro de Preços, podendo ser Renovada por igual período caso haja interesse da Contratante. Será adotada a exclusividade para ME e EPP, conforme LC 123/2006. </w:t>
      </w:r>
      <w:r>
        <w:rPr>
          <w:rFonts w:eastAsia="Calibri" w:cs="Calibri" w:ascii="Calibri" w:hAnsi="Calibri"/>
          <w:b w:val="false"/>
          <w:bCs w:val="false"/>
          <w:color w:val="auto"/>
          <w:sz w:val="20"/>
          <w:szCs w:val="20"/>
          <w:lang w:eastAsia="en-US"/>
        </w:rPr>
        <w:t>Os itens 1, 2, 3, 4, 5, 6, 7, 8, 9, 10, 11, 12, 13, 14, 15, 16, 17, 18, 19, 22, 29, 30, 31, 32, 33, 34, 35, 36, 40, 41, 42, 43, 44 e 45 necessitam de amostra prévia para aprovação de marca/material. As marcas e modelos citados nos itens 3, 5, 6, 7, 8, 10, 11, 12, 13, 29 e 43 serão consideradas pré aprovadas.</w:t>
      </w:r>
    </w:p>
    <w:p>
      <w:pPr>
        <w:pStyle w:val="Normal"/>
        <w:spacing w:lineRule="auto" w:line="240"/>
        <w:ind w:left="1134" w:right="0" w:hanging="0"/>
        <w:jc w:val="both"/>
        <w:rPr/>
      </w:pPr>
      <w:r>
        <w:rPr>
          <w:rFonts w:cs="Calibri" w:ascii="Calibri" w:hAnsi="Calibri"/>
          <w:sz w:val="20"/>
          <w:szCs w:val="20"/>
        </w:rPr>
        <w:tab/>
        <w:t>Para fornecimento dos produtos pretendidos os eventuais interessados deverão comprovar que atuam em ramo de atividade compatível com o objeto da licitação, bem como apresentar os seguintes documentos a título habilitação, nos termos do art. 62 e 66, da Lei nº 14.133/2021:</w:t>
      </w:r>
      <w:r>
        <w:rPr>
          <w:rFonts w:cs="Calibri" w:ascii="Calibri" w:hAnsi="Calibri"/>
          <w:b/>
          <w:bCs/>
          <w:sz w:val="20"/>
          <w:szCs w:val="20"/>
        </w:rPr>
        <w:t xml:space="preserve"> </w:t>
      </w:r>
    </w:p>
    <w:p>
      <w:pPr>
        <w:pStyle w:val="Normal"/>
        <w:spacing w:lineRule="auto" w:line="240"/>
        <w:ind w:left="1134" w:right="0" w:hanging="0"/>
        <w:jc w:val="both"/>
        <w:rPr/>
      </w:pPr>
      <w:r>
        <w:rPr>
          <w:rFonts w:cs="Calibri" w:ascii="Calibri" w:hAnsi="Calibri"/>
          <w:b/>
          <w:bCs/>
          <w:color w:val="C9211E"/>
          <w:sz w:val="20"/>
          <w:szCs w:val="20"/>
        </w:rPr>
      </w:r>
    </w:p>
    <w:p>
      <w:pPr>
        <w:pStyle w:val="Normal"/>
        <w:spacing w:lineRule="auto" w:line="240"/>
        <w:ind w:left="1134" w:right="0" w:hanging="0"/>
        <w:jc w:val="both"/>
        <w:rPr/>
      </w:pPr>
      <w:r>
        <w:rPr>
          <w:rFonts w:cs="Calibri" w:ascii="Calibri" w:hAnsi="Calibri"/>
          <w:b/>
          <w:bCs/>
          <w:color w:val="C9211E"/>
          <w:sz w:val="20"/>
          <w:szCs w:val="20"/>
        </w:rPr>
        <w:tab/>
      </w:r>
      <w:r>
        <w:rPr>
          <w:rFonts w:cs="Calibri" w:ascii="Calibri" w:hAnsi="Calibri"/>
          <w:b/>
          <w:bCs/>
          <w:sz w:val="20"/>
          <w:szCs w:val="20"/>
        </w:rPr>
        <w:t>HABILITAÇÃO JURÍDICA:</w:t>
      </w:r>
    </w:p>
    <w:p>
      <w:pPr>
        <w:pStyle w:val="Normal"/>
        <w:spacing w:lineRule="auto" w:line="240"/>
        <w:ind w:left="1134" w:right="0" w:hanging="0"/>
        <w:jc w:val="both"/>
        <w:rPr/>
      </w:pPr>
      <w:r>
        <w:rPr>
          <w:rFonts w:cs="Calibri" w:ascii="Calibri" w:hAnsi="Calibri"/>
          <w:sz w:val="20"/>
          <w:szCs w:val="20"/>
        </w:rPr>
        <w:tab/>
        <w:t>a) Ato constitutivo, estatuto ou contra social em vigor, devidamente registrado, em caso de sociedades comerciais e, no caso de sociedade por ações, acompanhado de documentos de eleição de seus administradores;</w:t>
      </w:r>
    </w:p>
    <w:p>
      <w:pPr>
        <w:pStyle w:val="Normal"/>
        <w:spacing w:lineRule="auto" w:line="240"/>
        <w:ind w:left="1134" w:right="0" w:hanging="0"/>
        <w:jc w:val="both"/>
        <w:rPr/>
      </w:pPr>
      <w:r>
        <w:rPr>
          <w:rFonts w:cs="Calibri" w:ascii="Calibri" w:hAnsi="Calibri"/>
          <w:sz w:val="20"/>
          <w:szCs w:val="20"/>
        </w:rPr>
        <w:tab/>
        <w:t>b) Indicação do ato constitutivo, no caso de Sociedades Civis, acompanhada de prova, indicando a diretoria em exercício;</w:t>
      </w:r>
    </w:p>
    <w:p>
      <w:pPr>
        <w:pStyle w:val="Normal"/>
        <w:spacing w:lineRule="auto" w:line="240"/>
        <w:ind w:left="1134" w:right="0" w:hanging="0"/>
        <w:jc w:val="both"/>
        <w:rPr/>
      </w:pPr>
      <w:r>
        <w:rPr>
          <w:rFonts w:cs="Calibri" w:ascii="Calibri" w:hAnsi="Calibri"/>
          <w:sz w:val="20"/>
          <w:szCs w:val="20"/>
        </w:rPr>
        <w:tab/>
        <w:t>c) Registro Comercial no caso de empresa individual.</w:t>
      </w:r>
    </w:p>
    <w:p>
      <w:pPr>
        <w:pStyle w:val="Normal"/>
        <w:spacing w:lineRule="auto" w:line="240"/>
        <w:ind w:left="1134" w:right="0" w:hanging="0"/>
        <w:jc w:val="both"/>
        <w:rPr/>
      </w:pPr>
      <w:r>
        <w:rPr>
          <w:rFonts w:cs="Calibri" w:ascii="Calibri" w:hAnsi="Calibri"/>
          <w:sz w:val="20"/>
          <w:szCs w:val="20"/>
        </w:rPr>
        <w:tab/>
        <w:t>d) Declaração de idoneidade;</w:t>
      </w:r>
    </w:p>
    <w:p>
      <w:pPr>
        <w:pStyle w:val="Normal"/>
        <w:spacing w:lineRule="auto" w:line="240"/>
        <w:ind w:left="1134" w:right="0" w:hanging="0"/>
        <w:jc w:val="both"/>
        <w:rPr/>
      </w:pPr>
      <w:r>
        <w:rPr>
          <w:rFonts w:cs="Calibri" w:ascii="Calibri" w:hAnsi="Calibri"/>
          <w:sz w:val="20"/>
          <w:szCs w:val="20"/>
        </w:rPr>
        <w:tab/>
        <w:t>e) Declaração que atende ao disposto no artigo 7º, inciso XXXIII, da Constituição Federal, conforme o modelo do Decreto Federal nº 4.358/02;</w:t>
      </w:r>
    </w:p>
    <w:p>
      <w:pPr>
        <w:pStyle w:val="Normal"/>
        <w:spacing w:lineRule="auto" w:line="240"/>
        <w:ind w:left="1134" w:right="0" w:hanging="0"/>
        <w:jc w:val="both"/>
        <w:rPr/>
      </w:pPr>
      <w:r>
        <w:rPr>
          <w:rFonts w:cs="Calibri" w:ascii="Calibri" w:hAnsi="Calibri"/>
          <w:sz w:val="20"/>
          <w:szCs w:val="20"/>
        </w:rPr>
        <w:tab/>
        <w:t>OBSERVAÇÃO: Os documentos apresentados deverão estar acompanhados da última alteração ou da consolidação respectiva;</w:t>
      </w:r>
    </w:p>
    <w:p>
      <w:pPr>
        <w:pStyle w:val="Normal"/>
        <w:spacing w:lineRule="auto" w:line="240"/>
        <w:ind w:left="1134" w:right="0" w:hanging="0"/>
        <w:jc w:val="both"/>
        <w:rPr/>
      </w:pPr>
      <w:r>
        <w:rPr>
          <w:rFonts w:cs="Calibri" w:ascii="Calibri" w:hAnsi="Calibri"/>
          <w:b/>
          <w:bCs/>
          <w:sz w:val="20"/>
          <w:szCs w:val="20"/>
        </w:rPr>
        <w:tab/>
        <w:t>HABILITAÇÃO FISCAL, SOCIAL E TRABALHISTA</w:t>
      </w:r>
    </w:p>
    <w:p>
      <w:pPr>
        <w:pStyle w:val="Normal"/>
        <w:spacing w:lineRule="auto" w:line="240"/>
        <w:ind w:left="1134" w:right="0" w:hanging="0"/>
        <w:jc w:val="both"/>
        <w:rPr/>
      </w:pPr>
      <w:r>
        <w:rPr>
          <w:rFonts w:cs="Calibri" w:ascii="Calibri" w:hAnsi="Calibri"/>
          <w:sz w:val="20"/>
          <w:szCs w:val="20"/>
        </w:rPr>
        <w:tab/>
        <w:t>a) Prova de inscrição no Cadastro Nacional de Pessoas Jurídicas ou no Cadastro de Pessoas Físicas, conforme o caso;</w:t>
      </w:r>
    </w:p>
    <w:p>
      <w:pPr>
        <w:pStyle w:val="Normal"/>
        <w:spacing w:lineRule="auto" w:line="240"/>
        <w:ind w:left="1134" w:right="0" w:hanging="0"/>
        <w:jc w:val="both"/>
        <w:rPr/>
      </w:pPr>
      <w:r>
        <w:rPr>
          <w:rFonts w:cs="Calibri" w:ascii="Calibri" w:hAnsi="Calibri"/>
          <w:sz w:val="20"/>
          <w:szCs w:val="20"/>
        </w:rPr>
        <w:tab/>
        <w:t>b) Prova de regularidade expedida pela Procuradoria Nacional da Fazenda (Certidão Conjunta de Débitos relativos a Tributos Federais e à Dívida Ativa da União);</w:t>
      </w:r>
    </w:p>
    <w:p>
      <w:pPr>
        <w:pStyle w:val="Normal"/>
        <w:spacing w:lineRule="auto" w:line="240"/>
        <w:ind w:left="1134" w:right="0" w:hanging="0"/>
        <w:jc w:val="both"/>
        <w:rPr/>
      </w:pPr>
      <w:r>
        <w:rPr>
          <w:rFonts w:cs="Calibri" w:ascii="Calibri" w:hAnsi="Calibri"/>
          <w:sz w:val="20"/>
          <w:szCs w:val="20"/>
        </w:rPr>
        <w:tab/>
        <w:t>c) Prova de regularidade com a Fazenda Estadual;</w:t>
      </w:r>
    </w:p>
    <w:p>
      <w:pPr>
        <w:pStyle w:val="Normal"/>
        <w:spacing w:lineRule="auto" w:line="240"/>
        <w:ind w:left="1134" w:right="0" w:hanging="0"/>
        <w:jc w:val="both"/>
        <w:rPr/>
      </w:pPr>
      <w:r>
        <w:rPr>
          <w:rFonts w:cs="Calibri" w:ascii="Calibri" w:hAnsi="Calibri"/>
          <w:sz w:val="20"/>
          <w:szCs w:val="20"/>
        </w:rPr>
        <w:tab/>
        <w:t>d) Prova de regularidade com a Fazenda Municipal, sendo da sede do Licitante;</w:t>
      </w:r>
    </w:p>
    <w:p>
      <w:pPr>
        <w:pStyle w:val="Normal"/>
        <w:spacing w:lineRule="auto" w:line="240"/>
        <w:ind w:left="1134" w:right="0" w:hanging="0"/>
        <w:jc w:val="both"/>
        <w:rPr/>
      </w:pPr>
      <w:r>
        <w:rPr>
          <w:rFonts w:cs="Calibri" w:ascii="Calibri" w:hAnsi="Calibri"/>
          <w:sz w:val="20"/>
          <w:szCs w:val="20"/>
        </w:rPr>
        <w:tab/>
        <w:t>e) Prova de regularidade junto ao Fundo de Garantia por tempo de serviço (FGTS);</w:t>
      </w:r>
    </w:p>
    <w:p>
      <w:pPr>
        <w:pStyle w:val="Normal"/>
        <w:spacing w:lineRule="auto" w:line="240"/>
        <w:ind w:left="1134" w:right="0" w:hanging="0"/>
        <w:jc w:val="both"/>
        <w:rPr/>
      </w:pPr>
      <w:r>
        <w:rPr>
          <w:rFonts w:cs="Calibri" w:ascii="Calibri" w:hAnsi="Calibri"/>
          <w:sz w:val="20"/>
          <w:szCs w:val="20"/>
        </w:rPr>
        <w:tab/>
        <w:t>f) Certidão Negativa de Débitos Trabalhistas (obtida eletronicamente nos sites do TRT-4 e/ou Regional correspondente do licitante ou TST).</w:t>
      </w:r>
    </w:p>
    <w:p>
      <w:pPr>
        <w:pStyle w:val="Normal"/>
        <w:spacing w:lineRule="auto" w:line="240"/>
        <w:ind w:left="1134" w:right="0" w:hanging="0"/>
        <w:jc w:val="both"/>
        <w:rPr/>
      </w:pPr>
      <w:r>
        <w:rPr>
          <w:rFonts w:cs="Calibri" w:ascii="Calibri" w:hAnsi="Calibri"/>
          <w:sz w:val="20"/>
          <w:szCs w:val="20"/>
        </w:rPr>
        <w:tab/>
        <w:t>OBSERVAÇÃO: O fornecedor enquadrado como microempreendedor individual que pretende auferir os benefícios do tratamento diferenciados, previsto na Lei Complementar nº 123, de 2006, estará dispensado da prova de inscrição nos cadastros de contribuintes estadual e municipal.</w:t>
      </w:r>
    </w:p>
    <w:p>
      <w:pPr>
        <w:pStyle w:val="Normal"/>
        <w:spacing w:lineRule="auto" w:line="240"/>
        <w:ind w:left="1134" w:right="0" w:hanging="0"/>
        <w:jc w:val="both"/>
        <w:rPr/>
      </w:pPr>
      <w:r>
        <w:rPr>
          <w:rFonts w:cs="Calibri" w:ascii="Calibri" w:hAnsi="Calibri"/>
          <w:b/>
          <w:bCs/>
          <w:color w:val="C9211E"/>
          <w:sz w:val="20"/>
          <w:szCs w:val="20"/>
        </w:rPr>
        <w:tab/>
      </w:r>
      <w:r>
        <w:rPr>
          <w:rFonts w:cs="Calibri" w:ascii="Calibri" w:hAnsi="Calibri"/>
          <w:b/>
          <w:bCs/>
          <w:sz w:val="20"/>
          <w:szCs w:val="20"/>
        </w:rPr>
        <w:t>HABILITAÇÃO ECONÔMICO-FINANCEIRA</w:t>
      </w:r>
    </w:p>
    <w:p>
      <w:pPr>
        <w:pStyle w:val="Normal"/>
        <w:spacing w:lineRule="auto" w:line="240"/>
        <w:ind w:left="1134" w:right="0" w:hanging="0"/>
        <w:jc w:val="both"/>
        <w:rPr/>
      </w:pPr>
      <w:r>
        <w:rPr>
          <w:rFonts w:cs="Calibri" w:ascii="Calibri" w:hAnsi="Calibri"/>
          <w:sz w:val="20"/>
          <w:szCs w:val="20"/>
        </w:rPr>
        <w:tab/>
        <w:t>a) Certidão negativa de falência ou concordata expedida pelo distribuidor da sede da pessoa jurídica, em prazo não superior a trinta (30) dias da data da apresentação do documento;</w:t>
      </w:r>
      <w:r>
        <w:rPr>
          <w:rFonts w:cs="Calibri" w:ascii="Calibri" w:hAnsi="Calibri"/>
          <w:color w:val="C9211E"/>
          <w:sz w:val="20"/>
          <w:szCs w:val="20"/>
        </w:rPr>
        <w:tab/>
      </w:r>
    </w:p>
    <w:p>
      <w:pPr>
        <w:pStyle w:val="Default"/>
        <w:spacing w:lineRule="auto" w:line="240"/>
        <w:ind w:left="1134" w:right="0" w:hanging="0"/>
        <w:jc w:val="both"/>
        <w:rPr/>
      </w:pPr>
      <w:r>
        <w:rPr>
          <w:rFonts w:cs="Calibri" w:ascii="Calibri" w:hAnsi="Calibri"/>
          <w:b/>
          <w:color w:val="C9211E"/>
          <w:sz w:val="20"/>
          <w:szCs w:val="20"/>
        </w:rPr>
        <w:tab/>
      </w:r>
      <w:r>
        <w:rPr>
          <w:rFonts w:cs="Calibri" w:ascii="Calibri" w:hAnsi="Calibri"/>
          <w:b/>
          <w:color w:val="000000"/>
          <w:sz w:val="20"/>
          <w:szCs w:val="20"/>
        </w:rPr>
        <w:t>5. MODELO DE EXECUÇÃO DO OBJETO</w:t>
      </w:r>
    </w:p>
    <w:p>
      <w:pPr>
        <w:pStyle w:val="Default"/>
        <w:spacing w:lineRule="auto" w:line="240"/>
        <w:ind w:left="1134" w:right="0" w:hanging="0"/>
        <w:jc w:val="both"/>
        <w:rPr/>
      </w:pPr>
      <w:r>
        <w:rPr>
          <w:rFonts w:cs="Calibri" w:ascii="Calibri" w:hAnsi="Calibri"/>
          <w:color w:val="000000"/>
          <w:sz w:val="20"/>
          <w:szCs w:val="20"/>
        </w:rPr>
        <w:tab/>
        <w:t xml:space="preserve">A contratação decorrente do presente processo exigirá da contratada o cumprimento das boas práticas de sustentabilidade, contribuindo para a racionalização e otimização do uso dos recursos, bem como para a redução dos impactos ambientais. </w:t>
      </w:r>
    </w:p>
    <w:p>
      <w:pPr>
        <w:pStyle w:val="Default"/>
        <w:spacing w:lineRule="auto" w:line="240"/>
        <w:ind w:left="1134" w:right="0" w:hanging="0"/>
        <w:jc w:val="both"/>
        <w:rPr/>
      </w:pPr>
      <w:r>
        <w:rPr>
          <w:rFonts w:cs="Calibri" w:ascii="Calibri" w:hAnsi="Calibri"/>
          <w:color w:val="000000"/>
          <w:sz w:val="20"/>
          <w:szCs w:val="20"/>
        </w:rPr>
        <w:tab/>
        <w:t>Pretende-se, com o presente processo licitatório, assegurar a seleção das propostas apta a gerar a contratação mais vantajosa para o Município.</w:t>
      </w:r>
    </w:p>
    <w:p>
      <w:pPr>
        <w:pStyle w:val="Default"/>
        <w:spacing w:lineRule="auto" w:line="240"/>
        <w:ind w:left="1134" w:right="0" w:hanging="0"/>
        <w:jc w:val="both"/>
        <w:rPr/>
      </w:pPr>
      <w:r>
        <w:rPr>
          <w:rFonts w:cs="Calibri" w:ascii="Calibri" w:hAnsi="Calibri"/>
          <w:color w:val="000000"/>
          <w:sz w:val="20"/>
          <w:szCs w:val="20"/>
        </w:rPr>
        <w:tab/>
        <w:t>Almeja-se, igualmente, assegurar tratamento isonômico entre os licitantes, bem como a justa competição, bem como evitar contratação com sobrepreço ou com preço manifestamente inexequível e superfaturamento na execução do contrato.</w:t>
      </w:r>
    </w:p>
    <w:p>
      <w:pPr>
        <w:pStyle w:val="Corpodotexto"/>
        <w:bidi w:val="0"/>
        <w:spacing w:lineRule="auto" w:line="240"/>
        <w:ind w:left="1134" w:right="0" w:hanging="0"/>
        <w:jc w:val="both"/>
        <w:rPr/>
      </w:pPr>
      <w:r>
        <w:rPr>
          <w:rFonts w:cs="Calibri" w:ascii="Calibri" w:hAnsi="Calibri"/>
          <w:color w:val="000000"/>
          <w:sz w:val="20"/>
          <w:szCs w:val="20"/>
          <w:u w:val="none"/>
        </w:rPr>
        <w:tab/>
        <w:t>Os quantitativos acima estabelecidos foram estimados para aquisição anual, todavia ficam as licitantes cientes de que os mesmos poderão variar, no curso do contrato, para mais ou para menos, não ensejando nesta última hipótese o argumento pela licitante contratada de que houve descumprimento contratual.”</w:t>
      </w:r>
    </w:p>
    <w:p>
      <w:pPr>
        <w:pStyle w:val="Corpodotexto"/>
        <w:bidi w:val="0"/>
        <w:spacing w:lineRule="auto" w:line="240"/>
        <w:ind w:left="1134" w:right="0" w:hanging="0"/>
        <w:jc w:val="both"/>
        <w:rPr/>
      </w:pPr>
      <w:r>
        <w:rPr>
          <w:rFonts w:cs="Calibri" w:ascii="Calibri" w:hAnsi="Calibri"/>
          <w:color w:val="000000"/>
          <w:sz w:val="20"/>
          <w:szCs w:val="20"/>
          <w:u w:val="none"/>
        </w:rPr>
        <w:t>“</w:t>
      </w:r>
      <w:r>
        <w:rPr>
          <w:rFonts w:cs="Calibri" w:ascii="Calibri" w:hAnsi="Calibri"/>
          <w:b/>
          <w:color w:val="000000"/>
          <w:sz w:val="20"/>
          <w:szCs w:val="20"/>
          <w:u w:val="none"/>
        </w:rPr>
        <w:t>FORMA E CRITÉRIOS DE SELEÇÃO DO FORNECEDOR/PRESTADOR DE SERVIÇO</w:t>
      </w:r>
    </w:p>
    <w:p>
      <w:pPr>
        <w:pStyle w:val="Corpodotexto"/>
        <w:bidi w:val="0"/>
        <w:spacing w:lineRule="auto" w:line="240"/>
        <w:ind w:left="1134" w:right="0" w:hanging="0"/>
        <w:jc w:val="both"/>
        <w:rPr/>
      </w:pPr>
      <w:r>
        <w:rPr>
          <w:rFonts w:cs="Calibri" w:ascii="Calibri" w:hAnsi="Calibri"/>
          <w:color w:val="000000"/>
          <w:sz w:val="20"/>
          <w:szCs w:val="20"/>
          <w:u w:val="none"/>
        </w:rPr>
        <w:tab/>
        <w:t>Conforme disposto no item 4, o futuro contratado será selecionado mediante processo licitatório na modalidade Pregão, na sua forma eletrônica, com critério de julgamento por menor preço unitário, nos termos dos artigos 6º, inciso XLI da Lei Federal nº 14.133/2021.”</w:t>
      </w:r>
    </w:p>
    <w:p>
      <w:pPr>
        <w:pStyle w:val="Corpodotexto"/>
        <w:bidi w:val="0"/>
        <w:spacing w:lineRule="auto" w:line="240"/>
        <w:ind w:left="1134" w:right="0" w:hanging="0"/>
        <w:jc w:val="both"/>
        <w:rPr/>
      </w:pPr>
      <w:r>
        <w:rPr>
          <w:rFonts w:cs="Calibri" w:ascii="Calibri" w:hAnsi="Calibri"/>
          <w:color w:val="000000"/>
          <w:sz w:val="20"/>
          <w:szCs w:val="20"/>
          <w:u w:val="none"/>
        </w:rPr>
        <w:t>“…………………………</w:t>
      </w:r>
      <w:r>
        <w:rPr>
          <w:rFonts w:cs="Calibri" w:ascii="Calibri" w:hAnsi="Calibri"/>
          <w:color w:val="000000"/>
          <w:sz w:val="20"/>
          <w:szCs w:val="20"/>
          <w:u w:val="none"/>
        </w:rPr>
        <w:t>..</w:t>
      </w:r>
      <w:r>
        <w:rPr>
          <w:rFonts w:cs="Calibri" w:ascii="Calibri" w:hAnsi="Calibri"/>
          <w:color w:val="000000"/>
          <w:sz w:val="20"/>
          <w:szCs w:val="20"/>
          <w:u w:val="none"/>
        </w:rPr>
        <w:t>Vislumbra-se que tal valor é compatível com o praticado pelo mercado correspondente, observando-se o disposto no Decreto Municipal n.º 7.201 de 24 de fevereiro de 2024, que “Estabelece o procedimento administrativo para a realização de pesquisa de preços para aquisição de bens, contratação de serviços em geral e para contratação de obras e serviços de engenharia no âmbito do Município de Vera Cruz / RS, nos termos da Lei Federal nº 14.133/2021”, nos termos do art. 23, § 1º, da Lei Federal nº 14.133/2021.”</w:t>
      </w:r>
    </w:p>
    <w:p>
      <w:pPr>
        <w:pStyle w:val="Corpodotexto"/>
        <w:bidi w:val="0"/>
        <w:spacing w:lineRule="auto" w:line="276"/>
        <w:ind w:left="0" w:right="0" w:hanging="0"/>
        <w:jc w:val="both"/>
        <w:rPr/>
      </w:pPr>
      <w:r>
        <w:rPr>
          <w:rFonts w:cs="Calibri" w:ascii="Calibri" w:hAnsi="Calibri"/>
          <w:color w:val="000000"/>
          <w:sz w:val="24"/>
          <w:szCs w:val="24"/>
          <w:u w:val="none"/>
        </w:rPr>
      </w:r>
    </w:p>
    <w:p>
      <w:pPr>
        <w:pStyle w:val="Default"/>
        <w:bidi w:val="0"/>
        <w:spacing w:lineRule="auto" w:line="276"/>
        <w:ind w:left="0" w:right="0" w:hanging="0"/>
        <w:jc w:val="both"/>
        <w:rPr/>
      </w:pPr>
      <w:r>
        <w:rPr>
          <w:rFonts w:cs="Calibri" w:ascii="Calibri" w:hAnsi="Calibri"/>
          <w:color w:val="000000"/>
          <w:sz w:val="22"/>
          <w:szCs w:val="22"/>
          <w:u w:val="none"/>
        </w:rPr>
      </w:r>
    </w:p>
    <w:p>
      <w:pPr>
        <w:pStyle w:val="Default"/>
        <w:bidi w:val="0"/>
        <w:spacing w:lineRule="auto" w:line="276"/>
        <w:ind w:left="0" w:right="0" w:hanging="0"/>
        <w:jc w:val="both"/>
        <w:rPr/>
      </w:pPr>
      <w:r>
        <w:rPr>
          <w:rFonts w:cs="Calibri" w:ascii="Calibri" w:hAnsi="Calibri"/>
          <w:color w:val="000000"/>
          <w:sz w:val="22"/>
          <w:szCs w:val="22"/>
          <w:u w:val="none"/>
        </w:rPr>
      </w:r>
    </w:p>
    <w:p>
      <w:pPr>
        <w:pStyle w:val="Default"/>
        <w:bidi w:val="0"/>
        <w:spacing w:lineRule="auto" w:line="276"/>
        <w:ind w:left="0" w:right="0" w:hanging="0"/>
        <w:jc w:val="both"/>
        <w:rPr/>
      </w:pPr>
      <w:r>
        <w:rPr>
          <w:rFonts w:cs="Calibri" w:ascii="Calibri" w:hAnsi="Calibri"/>
          <w:color w:val="000000"/>
          <w:sz w:val="22"/>
          <w:szCs w:val="22"/>
          <w:u w:val="none"/>
        </w:rPr>
      </w:r>
    </w:p>
    <w:p>
      <w:pPr>
        <w:pStyle w:val="Default"/>
        <w:bidi w:val="0"/>
        <w:spacing w:lineRule="auto" w:line="276"/>
        <w:ind w:left="0" w:right="0" w:hanging="0"/>
        <w:jc w:val="both"/>
        <w:rPr/>
      </w:pPr>
      <w:r>
        <w:rPr>
          <w:rFonts w:cs="Calibri" w:ascii="Calibri" w:hAnsi="Calibri"/>
          <w:color w:val="000000"/>
          <w:sz w:val="22"/>
          <w:szCs w:val="22"/>
          <w:u w:val="none"/>
        </w:rPr>
      </w:r>
    </w:p>
    <w:p>
      <w:pPr>
        <w:pStyle w:val="Normal"/>
        <w:jc w:val="center"/>
        <w:rPr/>
      </w:pPr>
      <w:r>
        <w:rPr>
          <w:rFonts w:cs="Calibri"/>
        </w:rPr>
        <w:t>MICHELI KATIANI RECH</w:t>
      </w:r>
    </w:p>
    <w:p>
      <w:pPr>
        <w:pStyle w:val="Normal"/>
        <w:bidi w:val="0"/>
        <w:spacing w:lineRule="auto" w:line="276" w:before="0" w:after="200"/>
        <w:ind w:left="0" w:right="0" w:hanging="0"/>
        <w:jc w:val="center"/>
        <w:rPr/>
      </w:pPr>
      <w:r>
        <w:rPr>
          <w:rFonts w:cs="Calibri" w:ascii="Calibri" w:hAnsi="Calibri"/>
          <w:color w:val="000000"/>
          <w:sz w:val="22"/>
          <w:szCs w:val="22"/>
          <w:u w:val="none"/>
        </w:rPr>
        <w:t>Secretária Municipal de Educação</w:t>
      </w:r>
    </w:p>
    <w:p>
      <w:pPr>
        <w:pStyle w:val="Normal"/>
        <w:numPr>
          <w:ilvl w:val="0"/>
          <w:numId w:val="12"/>
        </w:numPr>
        <w:tabs>
          <w:tab w:val="clear" w:pos="408"/>
          <w:tab w:val="left" w:pos="1134" w:leader="none"/>
        </w:tabs>
        <w:spacing w:lineRule="auto" w:line="276"/>
        <w:jc w:val="center"/>
        <w:rPr>
          <w:rFonts w:ascii="Arial" w:hAnsi="Arial" w:cs="Arial"/>
          <w:b/>
          <w:bCs/>
          <w:color w:val="000000"/>
          <w:sz w:val="24"/>
          <w:szCs w:val="24"/>
          <w:shd w:fill="auto" w:val="clear"/>
        </w:rPr>
      </w:pPr>
      <w:r>
        <w:rPr>
          <w:rFonts w:cs="Arial" w:ascii="Arial" w:hAnsi="Arial"/>
          <w:b/>
          <w:bCs/>
          <w:color w:val="000000"/>
          <w:sz w:val="24"/>
          <w:szCs w:val="24"/>
          <w:shd w:fill="auto" w:val="clear"/>
        </w:rPr>
      </w:r>
    </w:p>
    <w:p>
      <w:pPr>
        <w:pStyle w:val="NormalWeb"/>
        <w:numPr>
          <w:ilvl w:val="0"/>
          <w:numId w:val="12"/>
        </w:numPr>
        <w:spacing w:lineRule="auto" w:line="276" w:before="0" w:after="0"/>
        <w:jc w:val="left"/>
        <w:rPr>
          <w:rFonts w:ascii="Arial" w:hAnsi="Arial" w:cs="Arial"/>
          <w:sz w:val="24"/>
          <w:szCs w:val="24"/>
        </w:rPr>
      </w:pPr>
      <w:r>
        <w:rPr>
          <w:rFonts w:cs="Arial" w:ascii="Arial" w:hAnsi="Arial"/>
          <w:sz w:val="24"/>
          <w:szCs w:val="24"/>
        </w:rPr>
      </w:r>
    </w:p>
    <w:p>
      <w:pPr>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504" w:gutter="0" w:header="454" w:top="2098" w:footer="225" w:bottom="1076"/>
          <w:pgNumType w:fmt="decimal"/>
          <w:formProt w:val="false"/>
          <w:textDirection w:val="lrTb"/>
          <w:docGrid w:type="default" w:linePitch="360" w:charSpace="0"/>
        </w:sectPr>
      </w:pPr>
    </w:p>
    <w:p>
      <w:pPr>
        <w:pStyle w:val="Itemdoedital"/>
        <w:numPr>
          <w:ilvl w:val="0"/>
          <w:numId w:val="12"/>
        </w:numPr>
        <w:spacing w:lineRule="auto" w:line="360" w:before="0" w:after="0"/>
        <w:ind w:left="0" w:right="0" w:hanging="0"/>
        <w:jc w:val="center"/>
        <w:rPr>
          <w:rFonts w:ascii="Arial" w:hAnsi="Arial"/>
          <w:sz w:val="22"/>
          <w:szCs w:val="22"/>
        </w:rPr>
      </w:pPr>
      <w:r>
        <w:rPr>
          <w:sz w:val="22"/>
          <w:szCs w:val="22"/>
        </w:rPr>
        <w:t>ANEXO II – DECLARAÇÃO CONJUNTA</w:t>
      </w:r>
    </w:p>
    <w:p>
      <w:pPr>
        <w:pStyle w:val="Normal"/>
        <w:spacing w:lineRule="auto" w:line="276"/>
        <w:jc w:val="both"/>
        <w:rPr>
          <w:rFonts w:ascii="Arial" w:hAnsi="Arial"/>
          <w:sz w:val="22"/>
          <w:szCs w:val="22"/>
        </w:rPr>
      </w:pPr>
      <w:r>
        <w:rPr>
          <w:rFonts w:cs="Arial" w:ascii="Arial" w:hAnsi="Arial"/>
          <w:color w:val="000000"/>
          <w:sz w:val="22"/>
          <w:szCs w:val="22"/>
        </w:rPr>
        <w:t>DADOS DA EMPRESA:</w:t>
      </w:r>
    </w:p>
    <w:p>
      <w:pPr>
        <w:pStyle w:val="Normal"/>
        <w:spacing w:lineRule="auto" w:line="276"/>
        <w:jc w:val="both"/>
        <w:rPr>
          <w:rFonts w:ascii="Arial" w:hAnsi="Arial"/>
          <w:sz w:val="22"/>
          <w:szCs w:val="22"/>
        </w:rPr>
      </w:pPr>
      <w:r>
        <w:rPr>
          <w:rFonts w:cs="Arial" w:ascii="Arial" w:hAnsi="Arial"/>
          <w:color w:val="000000"/>
          <w:sz w:val="22"/>
          <w:szCs w:val="22"/>
        </w:rPr>
        <w:t>RAZÃO SOCIAL:</w:t>
      </w:r>
    </w:p>
    <w:p>
      <w:pPr>
        <w:pStyle w:val="Normal"/>
        <w:spacing w:lineRule="auto" w:line="276"/>
        <w:jc w:val="both"/>
        <w:rPr>
          <w:rFonts w:ascii="Arial" w:hAnsi="Arial"/>
          <w:sz w:val="22"/>
          <w:szCs w:val="22"/>
        </w:rPr>
      </w:pPr>
      <w:r>
        <w:rPr>
          <w:rFonts w:cs="Arial" w:ascii="Arial" w:hAnsi="Arial"/>
          <w:color w:val="000000"/>
          <w:sz w:val="22"/>
          <w:szCs w:val="22"/>
        </w:rPr>
        <w:t>CNPJ/MF/Nº</w:t>
      </w:r>
    </w:p>
    <w:p>
      <w:pPr>
        <w:pStyle w:val="Normal"/>
        <w:spacing w:lineRule="auto" w:line="276"/>
        <w:jc w:val="both"/>
        <w:rPr>
          <w:rFonts w:ascii="Arial" w:hAnsi="Arial"/>
          <w:sz w:val="22"/>
          <w:szCs w:val="22"/>
        </w:rPr>
      </w:pPr>
      <w:r>
        <w:rPr>
          <w:rFonts w:cs="Arial" w:ascii="Arial" w:hAnsi="Arial"/>
          <w:color w:val="000000"/>
          <w:sz w:val="22"/>
          <w:szCs w:val="22"/>
        </w:rPr>
        <w:t xml:space="preserve">ENDEREÇO: </w:t>
      </w:r>
    </w:p>
    <w:p>
      <w:pPr>
        <w:pStyle w:val="Normal"/>
        <w:spacing w:lineRule="auto" w:line="276"/>
        <w:jc w:val="both"/>
        <w:rPr>
          <w:rFonts w:ascii="Arial" w:hAnsi="Arial"/>
          <w:sz w:val="22"/>
          <w:szCs w:val="22"/>
        </w:rPr>
      </w:pPr>
      <w:r>
        <w:rPr>
          <w:rFonts w:cs="Arial" w:ascii="Arial" w:hAnsi="Arial"/>
          <w:color w:val="000000"/>
          <w:sz w:val="22"/>
          <w:szCs w:val="22"/>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102</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/2024</w:t>
      </w:r>
      <w:r>
        <w:rPr>
          <w:rFonts w:cs="Arial" w:ascii="Arial" w:hAnsi="Arial"/>
          <w:color w:val="000000"/>
          <w:sz w:val="22"/>
          <w:szCs w:val="22"/>
        </w:rPr>
        <w:t>, que a Empresa por mim apresentada:</w:t>
      </w:r>
    </w:p>
    <w:p>
      <w:pPr>
        <w:pStyle w:val="Normal"/>
        <w:spacing w:lineRule="auto" w:line="276"/>
        <w:jc w:val="both"/>
        <w:rPr>
          <w:rFonts w:ascii="Arial" w:hAnsi="Arial"/>
          <w:sz w:val="22"/>
          <w:szCs w:val="22"/>
        </w:rPr>
      </w:pPr>
      <w:r>
        <w:rPr>
          <w:rFonts w:cs="Arial" w:ascii="Arial" w:hAnsi="Arial"/>
          <w:color w:val="000000"/>
          <w:sz w:val="22"/>
          <w:szCs w:val="22"/>
        </w:rPr>
        <w:t>(</w:t>
        <w:tab/>
        <w:t xml:space="preserve">) não está suspensa temporariamente da participação em licitações, nem impedida de contratar com o Poder Público e, da mesma forma não está na situação de empresa inidônea para licitar ou contratar com o Poder Público.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p>
    <w:p>
      <w:pPr>
        <w:pStyle w:val="Normal"/>
        <w:spacing w:lineRule="auto" w:line="276"/>
        <w:jc w:val="both"/>
        <w:rPr>
          <w:rFonts w:ascii="Arial" w:hAnsi="Arial"/>
          <w:sz w:val="22"/>
          <w:szCs w:val="22"/>
        </w:rPr>
      </w:pPr>
      <w:r>
        <w:rPr>
          <w:rFonts w:cs="Arial" w:ascii="Arial" w:hAnsi="Arial"/>
          <w:color w:val="000000"/>
          <w:sz w:val="22"/>
          <w:szCs w:val="22"/>
        </w:rPr>
        <w:t>(</w:t>
        <w:tab/>
        <w:t xml:space="preserve">) cumpre os requisitos para a habilitação e a conformidade de sua proposta com as exigências do edital, como condição de participação.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spacing w:lineRule="auto" w:line="276"/>
        <w:jc w:val="both"/>
        <w:rPr>
          <w:rFonts w:ascii="Arial" w:hAnsi="Arial"/>
          <w:sz w:val="22"/>
          <w:szCs w:val="22"/>
        </w:rPr>
      </w:pPr>
      <w:r>
        <w:rPr>
          <w:rFonts w:cs="Arial" w:ascii="Arial" w:hAnsi="Arial"/>
          <w:color w:val="000000"/>
          <w:sz w:val="22"/>
          <w:szCs w:val="22"/>
        </w:rPr>
        <w:t>(</w:t>
        <w:tab/>
        <w:t xml:space="preserve">)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 </w:t>
      </w:r>
    </w:p>
    <w:p>
      <w:pPr>
        <w:pStyle w:val="Normal"/>
        <w:spacing w:lineRule="auto" w:line="276"/>
        <w:jc w:val="both"/>
        <w:rPr>
          <w:rFonts w:ascii="Arial" w:hAnsi="Arial"/>
          <w:sz w:val="22"/>
          <w:szCs w:val="22"/>
        </w:rPr>
      </w:pPr>
      <w:r>
        <w:rPr>
          <w:rFonts w:cs="Arial" w:ascii="Arial" w:hAnsi="Arial"/>
          <w:color w:val="000000"/>
          <w:sz w:val="22"/>
          <w:szCs w:val="22"/>
        </w:rPr>
        <w:t>(</w:t>
        <w:tab/>
        <w:t xml:space="preserve">) não possui empregados executando trabalho degradante ou forçado, observando o disposto nos incisos III e IV do art. 1º e no inciso III do art. 5º da Constituição Federal; </w:t>
      </w:r>
    </w:p>
    <w:p>
      <w:pPr>
        <w:pStyle w:val="Normal"/>
        <w:spacing w:lineRule="auto" w:line="276"/>
        <w:jc w:val="both"/>
        <w:rPr>
          <w:rFonts w:ascii="Arial" w:hAnsi="Arial"/>
          <w:sz w:val="22"/>
          <w:szCs w:val="22"/>
        </w:rPr>
      </w:pPr>
      <w:r>
        <w:rPr>
          <w:rFonts w:cs="Arial" w:ascii="Arial" w:hAnsi="Arial"/>
          <w:color w:val="000000"/>
          <w:sz w:val="22"/>
          <w:szCs w:val="22"/>
        </w:rPr>
        <w:t>(</w:t>
        <w:tab/>
        <w:t xml:space="preserve">) cumpre as exigências de reserva de cargos para pessoa com deficiência e para reabilitado da Previdência Social, nos limites previstos no art. 93 da Lei nº 8.213, de 24 de julho de 1991. </w:t>
      </w:r>
    </w:p>
    <w:p>
      <w:pPr>
        <w:pStyle w:val="Normal"/>
        <w:spacing w:lineRule="auto" w:line="276"/>
        <w:jc w:val="both"/>
        <w:rPr>
          <w:rFonts w:ascii="Arial" w:hAnsi="Arial"/>
          <w:sz w:val="22"/>
          <w:szCs w:val="22"/>
        </w:rPr>
      </w:pPr>
      <w:r>
        <w:rPr>
          <w:rFonts w:cs="Arial" w:ascii="Arial" w:hAnsi="Arial"/>
          <w:color w:val="000000"/>
          <w:sz w:val="22"/>
          <w:szCs w:val="22"/>
        </w:rPr>
        <w:t>(</w:t>
        <w:tab/>
        <w:t xml:space="preserve">) tomou conhecimento de todas as informações e das condições locais para o cumprimento das obrigações objeto da licitação.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inexistem fatos impeditivos para sua habilitação, estando ciente da obrigatoriedade de declarar ocorrências posteriores. </w:t>
      </w:r>
    </w:p>
    <w:p>
      <w:pPr>
        <w:pStyle w:val="Normal"/>
        <w:spacing w:lineRule="auto" w:line="276"/>
        <w:jc w:val="both"/>
        <w:rPr>
          <w:rFonts w:ascii="Arial" w:hAnsi="Arial"/>
          <w:sz w:val="22"/>
          <w:szCs w:val="22"/>
        </w:rPr>
      </w:pPr>
      <w:r>
        <w:rPr>
          <w:rFonts w:cs="Arial" w:ascii="Arial" w:hAnsi="Arial"/>
          <w:color w:val="000000"/>
          <w:sz w:val="22"/>
          <w:szCs w:val="22"/>
        </w:rPr>
        <w:t>(</w:t>
        <w:tab/>
        <w:t xml:space="preserve">) Declara que não se enquadra em nenhuma das hipóteses de impedimento previstas no artigo 14º, da Lei Federal nº 14.133/21. </w:t>
      </w:r>
    </w:p>
    <w:p>
      <w:pPr>
        <w:pStyle w:val="Normal"/>
        <w:spacing w:lineRule="auto" w:line="276"/>
        <w:jc w:val="both"/>
        <w:rPr>
          <w:rFonts w:ascii="Arial" w:hAnsi="Arial"/>
          <w:sz w:val="22"/>
          <w:szCs w:val="22"/>
        </w:rPr>
      </w:pPr>
      <w:r>
        <w:rPr>
          <w:rFonts w:cs="Arial" w:ascii="Arial" w:hAnsi="Arial"/>
          <w:color w:val="000000"/>
          <w:sz w:val="22"/>
          <w:szCs w:val="22"/>
        </w:rPr>
        <w:t>Ressalva CASO EMPREGUE MENOR: emprega menor, a partir de quatorze anos, na condição de aprendiz (</w:t>
        <w:tab/>
        <w:tab/>
        <w:t xml:space="preserve">).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r>
        <w:rPr>
          <w:rFonts w:cs="Arial" w:ascii="Arial" w:hAnsi="Arial"/>
          <w:color w:val="000000"/>
          <w:sz w:val="22"/>
          <w:szCs w:val="22"/>
        </w:rPr>
        <w:t>LOCAL: ________________________, ______ de __________________ de 2024.</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ASSINATURA:</w:t>
      </w:r>
    </w:p>
    <w:p>
      <w:pPr>
        <w:pStyle w:val="Normal"/>
        <w:spacing w:lineRule="auto" w:line="276"/>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276"/>
        <w:jc w:val="center"/>
        <w:rPr>
          <w:rFonts w:ascii="Arial" w:hAnsi="Arial" w:cs="Arial"/>
          <w:b/>
          <w:color w:val="000000"/>
          <w:sz w:val="22"/>
          <w:szCs w:val="22"/>
        </w:rPr>
      </w:pPr>
      <w:r>
        <w:rPr>
          <w:rFonts w:cs="Arial" w:ascii="Arial" w:hAnsi="Arial"/>
          <w:b/>
          <w:color w:val="000000"/>
          <w:sz w:val="22"/>
          <w:szCs w:val="22"/>
        </w:rPr>
      </w:r>
    </w:p>
    <w:p>
      <w:pPr>
        <w:pStyle w:val="Normal"/>
        <w:tabs>
          <w:tab w:val="clear" w:pos="408"/>
          <w:tab w:val="left" w:pos="1134" w:leader="none"/>
        </w:tabs>
        <w:spacing w:lineRule="auto" w:line="360"/>
        <w:jc w:val="center"/>
        <w:rPr>
          <w:rFonts w:ascii="Arial" w:hAnsi="Arial" w:cs="Arial"/>
          <w:b/>
          <w:color w:val="000000"/>
          <w:sz w:val="22"/>
          <w:szCs w:val="22"/>
        </w:rPr>
      </w:pPr>
      <w:r>
        <w:rPr>
          <w:rFonts w:cs="Arial" w:ascii="Arial" w:hAnsi="Arial"/>
          <w:b/>
          <w:color w:val="000000"/>
          <w:sz w:val="22"/>
          <w:szCs w:val="22"/>
        </w:rPr>
      </w:r>
    </w:p>
    <w:p>
      <w:pPr>
        <w:pStyle w:val="Normal"/>
        <w:tabs>
          <w:tab w:val="clear" w:pos="408"/>
          <w:tab w:val="left" w:pos="1134" w:leader="none"/>
        </w:tabs>
        <w:spacing w:lineRule="auto" w:line="360"/>
        <w:jc w:val="center"/>
        <w:rPr>
          <w:rFonts w:ascii="Arial" w:hAnsi="Arial" w:cs="Arial"/>
          <w:b/>
          <w:color w:val="000000"/>
          <w:sz w:val="22"/>
          <w:szCs w:val="22"/>
        </w:rPr>
      </w:pPr>
      <w:r>
        <w:rPr>
          <w:rFonts w:cs="Arial" w:ascii="Arial" w:hAnsi="Arial"/>
          <w:b/>
          <w:color w:val="000000"/>
          <w:sz w:val="22"/>
          <w:szCs w:val="22"/>
        </w:rPr>
      </w:r>
    </w:p>
    <w:p>
      <w:pPr>
        <w:pStyle w:val="Normal"/>
        <w:tabs>
          <w:tab w:val="clear" w:pos="408"/>
          <w:tab w:val="left" w:pos="1134" w:leader="none"/>
        </w:tabs>
        <w:spacing w:lineRule="auto" w:line="360"/>
        <w:jc w:val="center"/>
        <w:rPr>
          <w:rFonts w:ascii="Arial" w:hAnsi="Arial" w:cs="Arial"/>
          <w:b/>
          <w:color w:val="000000"/>
          <w:sz w:val="22"/>
          <w:szCs w:val="22"/>
        </w:rPr>
      </w:pPr>
      <w:r>
        <w:rPr>
          <w:rFonts w:cs="Arial" w:ascii="Arial" w:hAnsi="Arial"/>
          <w:b/>
          <w:color w:val="000000"/>
          <w:sz w:val="22"/>
          <w:szCs w:val="22"/>
        </w:rPr>
      </w:r>
    </w:p>
    <w:p>
      <w:pPr>
        <w:pStyle w:val="Itemdoedital"/>
        <w:numPr>
          <w:ilvl w:val="0"/>
          <w:numId w:val="12"/>
        </w:numPr>
        <w:spacing w:lineRule="auto" w:line="360" w:before="0" w:after="0"/>
        <w:ind w:left="0" w:right="0" w:hanging="0"/>
        <w:jc w:val="center"/>
        <w:rPr>
          <w:rFonts w:ascii="Arial" w:hAnsi="Arial"/>
          <w:sz w:val="22"/>
          <w:szCs w:val="22"/>
        </w:rPr>
      </w:pPr>
      <w:r>
        <w:rPr>
          <w:sz w:val="22"/>
          <w:szCs w:val="22"/>
        </w:rPr>
        <w:t>ANEXO III - MODELO DE DECLARAÇÃO DO PORTE DA EMPRESA</w:t>
      </w:r>
    </w:p>
    <w:p>
      <w:pPr>
        <w:pStyle w:val="Normal"/>
        <w:tabs>
          <w:tab w:val="clear" w:pos="408"/>
          <w:tab w:val="left" w:pos="1134" w:leader="none"/>
        </w:tabs>
        <w:spacing w:lineRule="auto" w:line="360"/>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Empresa ______________________________________________, inscrita no CNPJ n. º ___________, por intermédio de seu representante legal, o (a) Sr (a). ______________________________, portador (a) da</w:t>
      </w:r>
    </w:p>
    <w:p>
      <w:pPr>
        <w:pStyle w:val="Normal"/>
        <w:spacing w:lineRule="auto" w:line="360"/>
        <w:jc w:val="both"/>
        <w:rPr>
          <w:rFonts w:ascii="Arial" w:hAnsi="Arial"/>
          <w:sz w:val="22"/>
          <w:szCs w:val="22"/>
        </w:rPr>
      </w:pPr>
      <w:r>
        <w:rPr>
          <w:rFonts w:cs="Arial" w:ascii="Arial" w:hAnsi="Arial"/>
          <w:color w:val="000000"/>
          <w:sz w:val="22"/>
          <w:szCs w:val="22"/>
        </w:rPr>
        <w:t>Carteira de Identidade n. º ________________ e do CPF n. º ______________, DECLARA, para todos os fins e efeitos da Lei Federal nº 14.133/2021, sob as penalidades cabíveis, responsabilizando-se pelo inteiro teor desta declara, para todos os fins legais, em especial em atendimento ao art. 4º da Lei Federal nº 14.133/2021, que cumpre os requisitos legais para o enquadramento como Microempresa ou Empresa de Pequeno Porte, estando apta a usufruir o tratamento favorecido assegurado em lei.</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Declara, por fim, que está plenamente ciente do teor e da extensão desta Declaração, bem como detém plenos poderes e informações para firmá-la.</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center"/>
        <w:rPr>
          <w:rFonts w:ascii="Arial" w:hAnsi="Arial"/>
          <w:sz w:val="22"/>
          <w:szCs w:val="22"/>
        </w:rPr>
      </w:pPr>
      <w:r>
        <w:rPr>
          <w:rFonts w:cs="Arial" w:ascii="Arial" w:hAnsi="Arial"/>
          <w:color w:val="000000"/>
          <w:sz w:val="22"/>
          <w:szCs w:val="22"/>
        </w:rPr>
        <w:t>LOCAL: _______________________, ______ de _________________ de 2024.</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ASSINATURA:</w:t>
      </w:r>
    </w:p>
    <w:p>
      <w:pPr>
        <w:pStyle w:val="Normal"/>
        <w:spacing w:lineRule="auto" w:line="360"/>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2"/>
        </w:numPr>
        <w:spacing w:lineRule="auto" w:line="360"/>
        <w:ind w:left="0" w:right="0" w:hanging="0"/>
        <w:jc w:val="center"/>
        <w:rPr>
          <w:rFonts w:ascii="Arial" w:hAnsi="Arial"/>
          <w:sz w:val="22"/>
          <w:szCs w:val="22"/>
        </w:rPr>
      </w:pPr>
      <w:r>
        <w:rPr>
          <w:sz w:val="22"/>
          <w:szCs w:val="22"/>
        </w:rPr>
      </w:r>
      <w:r>
        <w:br w:type="page"/>
      </w:r>
    </w:p>
    <w:p>
      <w:pPr>
        <w:pStyle w:val="Itemdoedital"/>
        <w:numPr>
          <w:ilvl w:val="0"/>
          <w:numId w:val="12"/>
        </w:numPr>
        <w:spacing w:lineRule="auto" w:line="360" w:before="0" w:after="0"/>
        <w:ind w:left="0" w:right="0" w:hanging="0"/>
        <w:jc w:val="center"/>
        <w:rPr>
          <w:rFonts w:ascii="Arial" w:hAnsi="Arial"/>
          <w:sz w:val="22"/>
          <w:szCs w:val="22"/>
        </w:rPr>
      </w:pPr>
      <w:r>
        <w:rPr>
          <w:sz w:val="22"/>
          <w:szCs w:val="22"/>
        </w:rPr>
        <w:t>ANEXO IV – MODELO DE PROPOSTA FINANCEIRA</w:t>
      </w:r>
    </w:p>
    <w:p>
      <w:pPr>
        <w:pStyle w:val="Itemdoedital"/>
        <w:numPr>
          <w:ilvl w:val="0"/>
          <w:numId w:val="12"/>
        </w:numPr>
        <w:spacing w:lineRule="auto" w:line="360"/>
        <w:ind w:left="0" w:right="0" w:hanging="0"/>
        <w:jc w:val="center"/>
        <w:rPr>
          <w:rFonts w:ascii="Arial" w:hAnsi="Arial"/>
          <w:sz w:val="22"/>
          <w:szCs w:val="22"/>
        </w:rPr>
      </w:pPr>
      <w:r>
        <w:rPr>
          <w:sz w:val="22"/>
          <w:szCs w:val="22"/>
        </w:rPr>
        <w:t xml:space="preserve">Pregão Eletrônico nº </w:t>
      </w:r>
      <w:r>
        <w:rPr>
          <w:sz w:val="22"/>
          <w:szCs w:val="22"/>
        </w:rPr>
        <w:fldChar w:fldCharType="begin"/>
      </w:r>
      <w:r>
        <w:rPr>
          <w:sz w:val="22"/>
          <w:szCs w:val="22"/>
        </w:rPr>
        <w:instrText xml:space="preserve"> DOCVARIABLE Npregão </w:instrText>
      </w:r>
      <w:r>
        <w:rPr>
          <w:sz w:val="22"/>
          <w:szCs w:val="22"/>
        </w:rPr>
        <w:fldChar w:fldCharType="separate"/>
      </w:r>
      <w:r>
        <w:rPr>
          <w:sz w:val="22"/>
          <w:szCs w:val="22"/>
        </w:rPr>
        <w:t>102</w:t>
      </w:r>
      <w:r>
        <w:rPr>
          <w:sz w:val="22"/>
          <w:szCs w:val="22"/>
        </w:rPr>
        <w:fldChar w:fldCharType="end"/>
      </w:r>
      <w:r>
        <w:rPr>
          <w:sz w:val="22"/>
          <w:szCs w:val="22"/>
        </w:rPr>
        <w:t>/2024</w:t>
      </w:r>
    </w:p>
    <w:p>
      <w:pPr>
        <w:pStyle w:val="Normal"/>
        <w:spacing w:lineRule="auto" w:line="276"/>
        <w:jc w:val="center"/>
        <w:rPr>
          <w:rFonts w:ascii="Arial" w:hAnsi="Arial"/>
          <w:color w:val="000000"/>
          <w:sz w:val="22"/>
          <w:szCs w:val="22"/>
        </w:rPr>
      </w:pPr>
      <w:r>
        <w:rPr>
          <w:rFonts w:ascii="Arial" w:hAnsi="Arial"/>
          <w:color w:val="000000"/>
          <w:sz w:val="22"/>
          <w:szCs w:val="22"/>
        </w:rPr>
      </w:r>
    </w:p>
    <w:p>
      <w:pPr>
        <w:pStyle w:val="Normal"/>
        <w:spacing w:lineRule="auto" w:line="276"/>
        <w:jc w:val="center"/>
        <w:rPr>
          <w:rFonts w:ascii="Arial" w:hAnsi="Arial"/>
          <w:color w:val="000000"/>
          <w:sz w:val="22"/>
          <w:szCs w:val="22"/>
        </w:rPr>
      </w:pPr>
      <w:r>
        <w:rPr>
          <w:rFonts w:ascii="Arial" w:hAnsi="Arial"/>
          <w:color w:val="000000"/>
          <w:sz w:val="22"/>
          <w:szCs w:val="22"/>
        </w:rPr>
      </w:r>
    </w:p>
    <w:p>
      <w:pPr>
        <w:pStyle w:val="Default"/>
        <w:spacing w:lineRule="auto" w:line="276"/>
        <w:jc w:val="both"/>
        <w:rPr>
          <w:rFonts w:ascii="Arial" w:hAnsi="Arial"/>
          <w:sz w:val="22"/>
          <w:szCs w:val="22"/>
        </w:rPr>
      </w:pPr>
      <w:r>
        <w:rPr>
          <w:rFonts w:cs="Arial" w:ascii="Arial" w:hAnsi="Arial"/>
          <w:sz w:val="22"/>
          <w:szCs w:val="22"/>
        </w:rPr>
        <w:t xml:space="preserve">O Valor da proposta a ser inserido no campo próprio do SISTEMA DE COMPRAS para participação na DISPUTA DE LANCES deverá ser: </w:t>
      </w:r>
    </w:p>
    <w:p>
      <w:pPr>
        <w:pStyle w:val="Default"/>
        <w:spacing w:lineRule="auto" w:line="276"/>
        <w:jc w:val="both"/>
        <w:rPr>
          <w:rFonts w:ascii="Arial" w:hAnsi="Arial"/>
          <w:sz w:val="22"/>
          <w:szCs w:val="22"/>
        </w:rPr>
      </w:pPr>
      <w:r>
        <w:rPr>
          <w:rFonts w:ascii="Arial" w:hAnsi="Arial"/>
          <w:sz w:val="22"/>
          <w:szCs w:val="22"/>
        </w:rPr>
      </w:r>
    </w:p>
    <w:tbl>
      <w:tblPr>
        <w:tblW w:w="10097" w:type="dxa"/>
        <w:jc w:val="left"/>
        <w:tblInd w:w="62" w:type="dxa"/>
        <w:tblLayout w:type="fixed"/>
        <w:tblCellMar>
          <w:top w:w="55" w:type="dxa"/>
          <w:left w:w="55" w:type="dxa"/>
          <w:bottom w:w="55" w:type="dxa"/>
          <w:right w:w="55" w:type="dxa"/>
        </w:tblCellMar>
      </w:tblPr>
      <w:tblGrid>
        <w:gridCol w:w="4534"/>
        <w:gridCol w:w="5562"/>
      </w:tblGrid>
      <w:tr>
        <w:trPr/>
        <w:tc>
          <w:tcPr>
            <w:tcW w:w="1009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Razão Social:</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CNPJ:</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Endereço:</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Bairro: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Cidade:</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CEP:</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E-mail:</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Telefone:</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Fax:</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Banco: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Conta Bancária: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N. da Agência: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Representante para assinatura do Contrato:</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CPF do Representante:</w:t>
            </w:r>
          </w:p>
        </w:tc>
      </w:tr>
    </w:tbl>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color w:val="000000"/>
          <w:sz w:val="22"/>
          <w:szCs w:val="22"/>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sz w:val="22"/>
          <w:szCs w:val="22"/>
        </w:rPr>
      </w:pPr>
      <w:r>
        <w:rPr>
          <w:rFonts w:cs="Arial" w:ascii="Arial" w:hAnsi="Arial"/>
          <w:color w:val="000000"/>
          <w:sz w:val="22"/>
          <w:szCs w:val="22"/>
        </w:rPr>
        <w:t>Caso a empresa seja optante de assinatura digital, favor informar o responsável legal, CPF e-mail para envio da documentação:</w:t>
      </w:r>
    </w:p>
    <w:p>
      <w:pPr>
        <w:pStyle w:val="Normal"/>
        <w:spacing w:lineRule="auto" w:line="276"/>
        <w:jc w:val="both"/>
        <w:rPr>
          <w:rFonts w:ascii="Arial" w:hAnsi="Arial"/>
          <w:sz w:val="22"/>
          <w:szCs w:val="22"/>
        </w:rPr>
      </w:pPr>
      <w:r>
        <w:rPr>
          <w:rFonts w:cs="Arial" w:ascii="Arial" w:hAnsi="Arial"/>
          <w:color w:val="000000"/>
          <w:sz w:val="22"/>
          <w:szCs w:val="22"/>
        </w:rPr>
        <w:t xml:space="preserve">Declaro-me de pleno acordo com os termos e condições do Edital de </w:t>
      </w:r>
      <w:r>
        <w:rPr>
          <w:rFonts w:cs="Arial" w:ascii="Arial" w:hAnsi="Arial"/>
          <w:b/>
          <w:color w:val="000000"/>
          <w:sz w:val="22"/>
          <w:szCs w:val="22"/>
        </w:rPr>
        <w:t xml:space="preserve">Pregão Eletrônico nº </w:t>
      </w:r>
      <w:r>
        <w:rPr>
          <w:rFonts w:cs="Arial" w:ascii="Arial" w:hAnsi="Arial"/>
          <w:b/>
          <w:color w:val="000000"/>
          <w:sz w:val="22"/>
          <w:szCs w:val="22"/>
        </w:rPr>
        <w:fldChar w:fldCharType="begin"/>
      </w:r>
      <w:r>
        <w:rPr>
          <w:sz w:val="22"/>
          <w:b/>
          <w:szCs w:val="22"/>
          <w:rFonts w:cs="Arial" w:ascii="Arial" w:hAnsi="Arial"/>
          <w:color w:val="000000"/>
        </w:rPr>
        <w:instrText xml:space="preserve"> DOCVARIABLE Npregão </w:instrText>
      </w:r>
      <w:r>
        <w:rPr>
          <w:sz w:val="22"/>
          <w:b/>
          <w:szCs w:val="22"/>
          <w:rFonts w:cs="Arial" w:ascii="Arial" w:hAnsi="Arial"/>
          <w:color w:val="000000"/>
        </w:rPr>
        <w:fldChar w:fldCharType="separate"/>
      </w:r>
      <w:r>
        <w:rPr>
          <w:sz w:val="22"/>
          <w:b/>
          <w:szCs w:val="22"/>
          <w:rFonts w:cs="Arial" w:ascii="Arial" w:hAnsi="Arial"/>
          <w:color w:val="000000"/>
        </w:rPr>
        <w:t>102</w:t>
      </w:r>
      <w:r>
        <w:rPr>
          <w:sz w:val="22"/>
          <w:b/>
          <w:szCs w:val="22"/>
          <w:rFonts w:cs="Arial" w:ascii="Arial" w:hAnsi="Arial"/>
          <w:color w:val="000000"/>
        </w:rPr>
        <w:fldChar w:fldCharType="end"/>
      </w:r>
      <w:r>
        <w:rPr>
          <w:rFonts w:cs="Arial" w:ascii="Arial" w:hAnsi="Arial"/>
          <w:b/>
          <w:color w:val="000000"/>
          <w:sz w:val="22"/>
          <w:szCs w:val="22"/>
        </w:rPr>
        <w:t>/2024</w:t>
      </w:r>
      <w:r>
        <w:rPr>
          <w:rFonts w:cs="Arial" w:ascii="Arial" w:hAnsi="Arial"/>
          <w:color w:val="000000"/>
          <w:sz w:val="22"/>
          <w:szCs w:val="22"/>
        </w:rPr>
        <w:t>, apresentando a seguinte proposta financeira, para fornecimento do seguinte serviço / produto:</w:t>
      </w:r>
    </w:p>
    <w:p>
      <w:pPr>
        <w:pStyle w:val="Normal"/>
        <w:spacing w:lineRule="auto" w:line="276" w:before="0" w:after="0"/>
        <w:jc w:val="both"/>
        <w:rPr>
          <w:rFonts w:ascii="Arial" w:hAnsi="Arial"/>
          <w:b/>
          <w:bCs/>
          <w:color w:val="000000"/>
          <w:sz w:val="22"/>
          <w:szCs w:val="22"/>
        </w:rPr>
      </w:pPr>
      <w:r>
        <w:rPr>
          <w:rFonts w:ascii="Arial" w:hAnsi="Arial"/>
          <w:b/>
          <w:bCs/>
          <w:color w:val="000000"/>
          <w:sz w:val="22"/>
          <w:szCs w:val="22"/>
        </w:rPr>
      </w:r>
    </w:p>
    <w:tbl>
      <w:tblPr>
        <w:tblW w:w="10200" w:type="dxa"/>
        <w:jc w:val="left"/>
        <w:tblInd w:w="144" w:type="dxa"/>
        <w:tblLayout w:type="fixed"/>
        <w:tblCellMar>
          <w:top w:w="0" w:type="dxa"/>
          <w:left w:w="108" w:type="dxa"/>
          <w:bottom w:w="0" w:type="dxa"/>
          <w:right w:w="108" w:type="dxa"/>
        </w:tblCellMar>
      </w:tblPr>
      <w:tblGrid>
        <w:gridCol w:w="616"/>
        <w:gridCol w:w="1026"/>
        <w:gridCol w:w="851"/>
        <w:gridCol w:w="5038"/>
        <w:gridCol w:w="1311"/>
        <w:gridCol w:w="1357"/>
      </w:tblGrid>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b w:val="false"/>
                <w:bCs w:val="false"/>
                <w:sz w:val="20"/>
                <w:szCs w:val="20"/>
              </w:rPr>
            </w:pPr>
            <w:r>
              <w:rPr>
                <w:rFonts w:eastAsia="Calibri" w:cs="Arial" w:ascii="Arial" w:hAnsi="Arial"/>
                <w:b w:val="false"/>
                <w:bCs w:val="false"/>
                <w:sz w:val="20"/>
                <w:szCs w:val="20"/>
              </w:rPr>
              <w:t>Item</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val="false"/>
                <w:bCs w:val="false"/>
              </w:rPr>
            </w:pPr>
            <w:r>
              <w:rPr>
                <w:rFonts w:eastAsia="Calibri" w:cs="Arial" w:ascii="Arial" w:hAnsi="Arial"/>
                <w:b w:val="false"/>
                <w:bCs w:val="false"/>
                <w:sz w:val="20"/>
                <w:szCs w:val="20"/>
              </w:rPr>
              <w:t xml:space="preserve">Código </w:t>
            </w:r>
            <w:r>
              <w:rPr>
                <w:rFonts w:eastAsia="Calibri" w:cs="Arial" w:ascii="Arial" w:hAnsi="Arial"/>
                <w:b w:val="false"/>
                <w:bCs w:val="false"/>
                <w:sz w:val="18"/>
                <w:szCs w:val="18"/>
              </w:rPr>
              <w:t>CATMAT</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b w:val="false"/>
                <w:bCs w:val="false"/>
                <w:sz w:val="20"/>
                <w:szCs w:val="20"/>
              </w:rPr>
            </w:pPr>
            <w:r>
              <w:rPr>
                <w:rFonts w:eastAsia="Calibri" w:cs="Arial" w:ascii="Arial" w:hAnsi="Arial"/>
                <w:b w:val="false"/>
                <w:bCs w:val="false"/>
                <w:sz w:val="20"/>
                <w:szCs w:val="20"/>
              </w:rPr>
              <w:t>Quant</w:t>
            </w:r>
          </w:p>
        </w:tc>
        <w:tc>
          <w:tcPr>
            <w:tcW w:w="503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b w:val="false"/>
                <w:bCs w:val="false"/>
                <w:sz w:val="20"/>
                <w:szCs w:val="20"/>
              </w:rPr>
            </w:pPr>
            <w:r>
              <w:rPr>
                <w:rFonts w:eastAsia="Calibri" w:cs="Arial" w:ascii="Arial" w:hAnsi="Arial"/>
                <w:b w:val="false"/>
                <w:bCs w:val="false"/>
                <w:sz w:val="20"/>
                <w:szCs w:val="20"/>
              </w:rPr>
              <w:t>Objeto</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b w:val="false"/>
                <w:bCs w:val="false"/>
                <w:sz w:val="20"/>
                <w:szCs w:val="20"/>
              </w:rPr>
            </w:pPr>
            <w:r>
              <w:rPr>
                <w:rFonts w:eastAsia="Calibri" w:cs="Arial" w:ascii="Arial" w:hAnsi="Arial"/>
                <w:b w:val="false"/>
                <w:bCs w:val="false"/>
                <w:sz w:val="20"/>
                <w:szCs w:val="20"/>
              </w:rPr>
              <w:t>Valor unit. R$</w:t>
            </w:r>
          </w:p>
        </w:tc>
        <w:tc>
          <w:tcPr>
            <w:tcW w:w="135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Calibri" w:cs="Arial"/>
                <w:b w:val="false"/>
                <w:bCs w:val="false"/>
                <w:sz w:val="20"/>
                <w:szCs w:val="20"/>
              </w:rPr>
            </w:pPr>
            <w:r>
              <w:rPr>
                <w:rFonts w:eastAsia="Calibri" w:cs="Arial" w:ascii="Arial" w:hAnsi="Arial"/>
                <w:b w:val="false"/>
                <w:bCs w:val="false"/>
                <w:sz w:val="20"/>
                <w:szCs w:val="20"/>
              </w:rPr>
              <w:t>Valor total R$</w:t>
            </w:r>
          </w:p>
        </w:tc>
      </w:tr>
      <w:tr>
        <w:trPr/>
        <w:tc>
          <w:tcPr>
            <w:tcW w:w="10199"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center"/>
              <w:rPr>
                <w:b w:val="false"/>
                <w:bCs w:val="false"/>
              </w:rPr>
            </w:pPr>
            <w:r>
              <w:rPr>
                <w:rFonts w:eastAsia="Calibri" w:cs="Arial" w:ascii="Arial" w:hAnsi="Arial"/>
                <w:b w:val="false"/>
                <w:bCs w:val="false"/>
              </w:rPr>
              <w:t>GRUPO I – MATERIAL EDUCATIVO E ESPORTIVO</w:t>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450234</w:t>
            </w:r>
          </w:p>
          <w:p>
            <w:pPr>
              <w:pStyle w:val="Normal"/>
              <w:widowControl w:val="false"/>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val="false"/>
                <w:bCs w:val="false"/>
                <w:sz w:val="20"/>
                <w:szCs w:val="20"/>
              </w:rPr>
            </w:pPr>
            <w:r>
              <w:rPr>
                <w:rFonts w:cs="Arial" w:ascii="Arial" w:hAnsi="Arial"/>
                <w:b w:val="false"/>
                <w:bCs w:val="false"/>
                <w:sz w:val="20"/>
                <w:szCs w:val="20"/>
              </w:rPr>
              <w:t>BOLA HANDEBOL, (MACIA) MATERIAL: POLIURETANO, PESO CHEIA:290 A 330 G, CARACTERÍSTICAS ADICIONAIS: COSTURADA EM PVC, CÂMARA BUTIL, MIOLO REMOVÍVEL, CIRCUNFERÊNCIA:50 A 52 CM, MODELO: MIRIM (TAMANHO 1).</w:t>
            </w:r>
          </w:p>
          <w:p>
            <w:pPr>
              <w:pStyle w:val="Normal"/>
              <w:widowControl w:val="false"/>
              <w:rPr>
                <w:rFonts w:ascii="Arial" w:hAnsi="Arial" w:cs="Arial"/>
                <w:b w:val="false"/>
                <w:bCs w:val="false"/>
                <w:sz w:val="20"/>
                <w:szCs w:val="20"/>
              </w:rPr>
            </w:pPr>
            <w:r>
              <w:rPr>
                <w:rFonts w:cs="Arial" w:ascii="Arial" w:hAnsi="Arial"/>
                <w:b w:val="false"/>
                <w:bCs w:val="false"/>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b w:val="false"/>
                <w:bCs w:val="false"/>
              </w:rPr>
            </w:pPr>
            <w:r>
              <w:rPr>
                <w:rFonts w:eastAsia="Arial" w:cs="Arial" w:ascii="Arial" w:hAnsi="Arial"/>
                <w:b w:val="false"/>
                <w:bCs w:val="false"/>
                <w:color w:val="000000"/>
                <w:sz w:val="20"/>
                <w:szCs w:val="20"/>
                <w:shd w:fill="FFFFFE" w:val="clear"/>
              </w:rPr>
              <w:t xml:space="preserve"> </w:t>
            </w:r>
            <w:r>
              <w:rPr>
                <w:rFonts w:eastAsia="Calibri" w:cs="Arial" w:ascii="Arial" w:hAnsi="Arial"/>
                <w:b w:val="false"/>
                <w:bCs w:val="false"/>
                <w:color w:val="000000"/>
                <w:sz w:val="20"/>
                <w:szCs w:val="20"/>
                <w:shd w:fill="FFFFFE" w:val="clear"/>
              </w:rPr>
              <w:t>450233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HANDEBOL, (MACIA) MATERIAL: POLIURETANO, PESO CHEIA:325 A 375 G, CARACTERÍSTICAS ADICIONAIS: COSTURADA EM PVC, CÂMARA BUTIL, MIOLO REMOVÍVEL, CIRCUNFERÊNCIA:54 A 56 CM, MODELO: FEMININO (TAMANHO 2).</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w:t>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Arial" w:cs="Arial"/>
                <w:b w:val="false"/>
                <w:bCs w:val="false"/>
                <w:color w:val="000000"/>
                <w:sz w:val="20"/>
                <w:szCs w:val="20"/>
                <w:shd w:fill="FFFFFE" w:val="clear"/>
              </w:rPr>
            </w:pPr>
            <w:r>
              <w:rPr>
                <w:rFonts w:eastAsia="Arial"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403733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FUTSAL, MATERIAL: PU, PESO CHEIA:410 A 440 G, CIRCUNFERÊNCIA:61 A 64 CM, VULCANIZADA OU TERMOCOLADA, MIOLO SUBSTITUÍVEL, CÂMARA AIRVILITY OU AIRBILITY. TIPO PENALTY, TOPPER, KAGIVA, UMBRO OU SUPERIOR. EM CASO DE DIVERGÊNCIA COM O CÓDIGO CATMAT, SERÁ LEVADO EM CONTA A DESCRIÇÃO DO PRODUTO NO EDITAL.</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b w:val="false"/>
                <w:bCs w:val="false"/>
              </w:rPr>
            </w:pPr>
            <w:r>
              <w:rPr>
                <w:rFonts w:eastAsia="Arial" w:cs="Arial" w:ascii="Arial" w:hAnsi="Arial"/>
                <w:b w:val="false"/>
                <w:bCs w:val="false"/>
                <w:color w:val="000000"/>
                <w:sz w:val="20"/>
                <w:szCs w:val="20"/>
                <w:shd w:fill="FFFFFE" w:val="clear"/>
              </w:rPr>
              <w:t xml:space="preserve"> </w:t>
            </w:r>
            <w:r>
              <w:rPr>
                <w:rFonts w:eastAsia="Calibri" w:cs="Arial" w:ascii="Arial" w:hAnsi="Arial"/>
                <w:b w:val="false"/>
                <w:bCs w:val="false"/>
                <w:color w:val="000000"/>
                <w:sz w:val="20"/>
                <w:szCs w:val="20"/>
                <w:shd w:fill="FFFFFE" w:val="clear"/>
              </w:rPr>
              <w:t>442687</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40"/>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FUTSAL ADULTO OFICIAL (PARA COMPETIÇÃO), DIÂMETRO 61 – 64 CM, PESO 410 – 440GR, CÂMARA AIRBILITY, TERMOTEC, PU ULTRA 100%, MIOLO SLIP SYSTEM REMOVÍVEL E LUBRIFICADO, COSTURADA, COM REGISTRO E APROVAÇÃO DA CBFS, FIFA QUALITY.</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5</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480256</w:t>
            </w:r>
          </w:p>
        </w:tc>
        <w:tc>
          <w:tcPr>
            <w:tcW w:w="85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200 UN</w:t>
            </w:r>
          </w:p>
        </w:tc>
        <w:tc>
          <w:tcPr>
            <w:tcW w:w="5038" w:type="dxa"/>
            <w:tcBorders>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FUTSAL INFANTIL PARA COMPETIÇÃO, DIÂMETRO 55 – 59 CM, PESO 350 – 380GR, CÂMARA AIRBILITY OU TERMOTEC, PU ULTRA 100%, MIOLO SLIP SYSTEM REMOVÍVEL E LUBRIFICADO. TIPO PENALTY RX 200 OU SUPERIOR</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403837</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VOLEIBOL ADULTO OFICIAL DE COMPETIÇÃO, DIÂMETRO 65 – 67 CM, PESO 260 – 280GR, CÂMARA AIRBILITY, MATRIZADA, MICROFIBRA, MIOLO SLIP SYSTEM REMOVÍVEL E LUBRIFICADO, APROVADO E CHANCELADA PELA FIVB. TIPO MIKASA V200W, PENALTY 8.0 PRÓ OU SUPERIOR</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7</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335432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VOLEIBOL, CIRCUNFERÊNCIA:65 A 67 CM, CARACTERÍSTICAS ADICIONAIS: CONFECCIONADA EM PU, CÂMARA BUTIL, AIRBILITY, AIRVILITY OU EVACEL, MIOLO REMOVÍVEL, VULCANIZADA OU COLADA. TIPO KAGIVA PRO, PENALTY 6.0, RAINHA, PENALTY VP 5000 OU SUPERIOR.</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8</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258982</w:t>
            </w:r>
          </w:p>
        </w:tc>
        <w:tc>
          <w:tcPr>
            <w:tcW w:w="85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20 UN</w:t>
            </w:r>
          </w:p>
        </w:tc>
        <w:tc>
          <w:tcPr>
            <w:tcW w:w="5038" w:type="dxa"/>
            <w:tcBorders>
              <w:left w:val="single" w:sz="4" w:space="0" w:color="000000"/>
              <w:bottom w:val="single" w:sz="4" w:space="0" w:color="000000"/>
              <w:right w:val="single" w:sz="4" w:space="0" w:color="000000"/>
            </w:tcBorders>
            <w:vAlign w:val="center"/>
          </w:tcPr>
          <w:p>
            <w:pPr>
              <w:pStyle w:val="Normal"/>
              <w:widowControl w:val="false"/>
              <w:rPr>
                <w:b w:val="false"/>
                <w:bCs w:val="false"/>
              </w:rPr>
            </w:pPr>
            <w:r>
              <w:rPr>
                <w:rFonts w:eastAsia="Calibri" w:cs="Arial" w:ascii="Arial" w:hAnsi="Arial"/>
                <w:b w:val="false"/>
                <w:bCs w:val="false"/>
                <w:color w:val="000000"/>
                <w:sz w:val="19"/>
                <w:szCs w:val="20"/>
              </w:rPr>
              <w:t xml:space="preserve">BOLA VOLEIBOL DE </w:t>
            </w:r>
            <w:r>
              <w:rPr>
                <w:rFonts w:eastAsia="Calibri" w:cs="Arial" w:ascii="Arial" w:hAnsi="Arial"/>
                <w:b w:val="false"/>
                <w:bCs w:val="false"/>
                <w:i/>
                <w:iCs/>
                <w:color w:val="000000"/>
                <w:sz w:val="19"/>
                <w:szCs w:val="20"/>
                <w:u w:val="single"/>
              </w:rPr>
              <w:t>PRAIA</w:t>
            </w:r>
            <w:r>
              <w:rPr>
                <w:rFonts w:eastAsia="Calibri" w:cs="Arial" w:ascii="Arial" w:hAnsi="Arial"/>
                <w:b w:val="false"/>
                <w:bCs w:val="false"/>
                <w:color w:val="000000"/>
                <w:sz w:val="19"/>
                <w:szCs w:val="20"/>
              </w:rPr>
              <w:t xml:space="preserve"> OFICIAL ADULTO PARA COMPETIÇÃO: MATERIAL: MICROFIBRA, PESO CHEIA:260 A 280 G, CIRCUNFERÊNCIA:65 A 67 CM, TIPO USO: ADULTO (CHANCELADA E APROVADA PELA FIVB), PRESSÃO:03 – 04 LB, APLICAÇÃO: VOLEI DE PRAIA, MODELO: PRO, CARACTERíSTICAS ADICIONAIS: COLORIDA. TIPO PENALTY OU MIKASA</w:t>
            </w:r>
          </w:p>
          <w:p>
            <w:pPr>
              <w:pStyle w:val="Normal"/>
              <w:widowControl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9</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14832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500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DE VÔLEI EM EVA VULCANIZADO. MATERIAL EXTERNO – EVA – PESO MÍNIMO 70GR, CIRCUNFERÊNCIA – 65 – 67CM, PESO MÍNIMO DA BOLA PRONTA 160GR</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10</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14836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BASQUETE ADULTO MASCULINO OFICIAL, DIÂMETRO 75 – 78 CM, PESO 600 – 650GR, MICROLINE, MATRIZADA, BORRACHA, MIOLO REMOVÍVEL. TIPO VOLLO POKER OU SUPERIOR</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11</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305575</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40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DE BASQUETEBOL PARA COMPETIÇÃO – BOLA BASQUETE ADULTO MASCULINO OFICIAL, DIÂMETRO 75 – 78 CM, PESO 600 – 650GR, CÂMARA AIRBILITY, MATRIZADA, MICROFIBRA, MIOLO SLIP SYSTEM REMOVÍVEL E LUBRIFICADO, COM APROVAÇÃO E CHANCELA NBB E FIBA, TIPO PENALTY/ 7.8 CROSSOVER OU SUPERIOR</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12</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472016</w:t>
            </w:r>
          </w:p>
        </w:tc>
        <w:tc>
          <w:tcPr>
            <w:tcW w:w="85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150 UN</w:t>
            </w:r>
          </w:p>
        </w:tc>
        <w:tc>
          <w:tcPr>
            <w:tcW w:w="5038" w:type="dxa"/>
            <w:tcBorders>
              <w:left w:val="single" w:sz="4" w:space="0" w:color="000000"/>
              <w:bottom w:val="single" w:sz="4" w:space="0" w:color="000000"/>
              <w:right w:val="single" w:sz="4" w:space="0" w:color="000000"/>
            </w:tcBorders>
            <w:vAlign w:val="center"/>
          </w:tcPr>
          <w:p>
            <w:pPr>
              <w:pStyle w:val="Normal"/>
              <w:widowControl w:val="false"/>
              <w:bidi w:val="0"/>
              <w:jc w:val="left"/>
              <w:rPr>
                <w:rFonts w:ascii="Arial" w:hAnsi="Arial" w:eastAsia="Calibri" w:cs="Arial"/>
                <w:b w:val="false"/>
                <w:bCs w:val="false"/>
                <w:i w:val="false"/>
                <w:i w:val="false"/>
                <w:strike w:val="false"/>
                <w:dstrike w:val="false"/>
                <w:outline w:val="false"/>
                <w:shadow w:val="false"/>
                <w:color w:val="000000"/>
                <w:sz w:val="19"/>
                <w:szCs w:val="20"/>
                <w:u w:val="none"/>
                <w:em w:val="none"/>
              </w:rPr>
            </w:pPr>
            <w:r>
              <w:rPr>
                <w:rFonts w:eastAsia="Calibri" w:cs="Arial" w:ascii="Arial" w:hAnsi="Arial"/>
                <w:b w:val="false"/>
                <w:bCs w:val="false"/>
                <w:i w:val="false"/>
                <w:strike w:val="false"/>
                <w:dstrike w:val="false"/>
                <w:outline w:val="false"/>
                <w:shadow w:val="false"/>
                <w:color w:val="000000"/>
                <w:sz w:val="19"/>
                <w:szCs w:val="20"/>
                <w:u w:val="none"/>
                <w:em w:val="none"/>
              </w:rPr>
              <w:t>BOLA FUTEBOL, MATERIAL:100% TERMOPLÁSTICO POLIURETANO, PESO CHEIA: 420 A 435 G, CIRCUNFERÊNCIA: 66,5 A 67,5 CM, MODELO: FUTEBOL SOCIETY. BOLA ADULTO OFICIAL PARA COMPETIÇÃO CHANCELADA PELA FIFA E CBF. TIPO PENALTY 8X, SE7E PRÓ OU SUPERIOR.</w:t>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bidi w:val="0"/>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bidi w:val="0"/>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13</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480257</w:t>
            </w:r>
          </w:p>
        </w:tc>
        <w:tc>
          <w:tcPr>
            <w:tcW w:w="85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150 UN</w:t>
            </w:r>
          </w:p>
        </w:tc>
        <w:tc>
          <w:tcPr>
            <w:tcW w:w="5038" w:type="dxa"/>
            <w:tcBorders>
              <w:left w:val="single" w:sz="4" w:space="0" w:color="000000"/>
              <w:bottom w:val="single" w:sz="4" w:space="0" w:color="000000"/>
              <w:right w:val="single" w:sz="4" w:space="0" w:color="000000"/>
            </w:tcBorders>
            <w:vAlign w:val="center"/>
          </w:tcPr>
          <w:p>
            <w:pPr>
              <w:pStyle w:val="Normal"/>
              <w:widowControl w:val="false"/>
              <w:bidi w:val="0"/>
              <w:jc w:val="left"/>
              <w:rPr>
                <w:rFonts w:ascii="Arial" w:hAnsi="Arial" w:eastAsia="Calibri" w:cs="Arial"/>
                <w:b w:val="false"/>
                <w:bCs w:val="false"/>
                <w:i w:val="false"/>
                <w:i w:val="false"/>
                <w:strike w:val="false"/>
                <w:dstrike w:val="false"/>
                <w:outline w:val="false"/>
                <w:shadow w:val="false"/>
                <w:color w:val="000000"/>
                <w:sz w:val="19"/>
                <w:szCs w:val="20"/>
                <w:u w:val="none"/>
                <w:em w:val="none"/>
              </w:rPr>
            </w:pPr>
            <w:r>
              <w:rPr>
                <w:rFonts w:eastAsia="Calibri" w:cs="Arial" w:ascii="Arial" w:hAnsi="Arial"/>
                <w:b w:val="false"/>
                <w:bCs w:val="false"/>
                <w:i w:val="false"/>
                <w:strike w:val="false"/>
                <w:dstrike w:val="false"/>
                <w:outline w:val="false"/>
                <w:shadow w:val="false"/>
                <w:color w:val="000000"/>
                <w:sz w:val="19"/>
                <w:szCs w:val="20"/>
                <w:u w:val="none"/>
                <w:em w:val="none"/>
              </w:rPr>
              <w:t>BOLA FUTEBOL DE CAMPO ADULTA, MATERIAL: POLIURETANO, PESO CHEIA: 410 A 450 G, CARACTERÍSTICAS ADICIONAIS: MIOLO REMOVÍVEL E LUBRIFICADO, CIRCUNFERÊNCIA:68 A 70 CM, MODELO: FUTEBOL DE CAMPO OFICIAL, PARA COMPETIÇÃO CHANCELADA PELA FIFA. TIPO PENALTY 8 FIFA, PENALTY S11 ECOKNIT XXV FIFA OU SUPERIOR.</w:t>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bidi w:val="0"/>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14</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274322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08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PARA CESTA DE BASQUETEBOL (PAR): REDE PARA BASQUETEBOL 12 ALÇAS, NO MÍNIMO FIO 5 MM (SEDA – SEM ALMA), TRANÇADO ENTRE NÓS 7X7 CM, 45 CM DE DIÂMETRO X 50 CM DE COMPRIMENTO.</w:t>
            </w:r>
          </w:p>
          <w:p>
            <w:pPr>
              <w:pStyle w:val="Normal"/>
              <w:widowControl w:val="false"/>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15</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251693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12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DE VOLEIBOL OFICIAL: CONFECCIONADA EM FIO 2,0 MM, SEM ALMA, EM SEDA (PRETO) COM TRATAMENTO UV – MALHA 10 CM ENTRE NÓS, E TAMANHO MÍNIMO DE 9,75 METROS DE COMPRIMENTO E NO 1 METRO DE LARGURA, COM AS 4 FAIXAS EM ALGODÃO (BRANCAS), COM AS SEGUINTES MEDIDAS: SUPERIOR 7 CM – INFERIOR E LATERAIS 5 CM, TODAS CONFECCIONADAS EM 100% ALGODÃO, COM ILHOSES NAS PONTAS E CORDA GUIA.</w:t>
            </w:r>
          </w:p>
          <w:p>
            <w:pPr>
              <w:pStyle w:val="Normal"/>
              <w:widowControl w:val="false"/>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16</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211571</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DE FUTSAL (PAR): REDE PARA GOLEIRA DE FUTSAL, POPULARMENTE CONHECIDA COMO “VÉU DE NOIVA”. CONFECCIONADA EM FIO DE SEDA DE NO MÍNIMO 5 MM (SEM ALMA) E MALHA MÁXIMA DE 12 CM X 12 CM ENTRE NÓS, CONFECCIONADA A MÃO (COM NÓ), COM ALTURA DE MÍNIMA DE 2,10 METROS, COMPRIMENTO MÍNIMO DE 3,00 METROS, FUNDO SUPERIOR MÍNIMO DE 0,50 METRO E FUNDO INFERIOR MÍNIMO DE 1,00 METRO, COM PROTEÇÃO/TRATAMENTO ULTRAVIOLETA. EM CASO DE DIVERGÊNCIA COM O CÓDIGO CATMAT, SERÁ LEVADO EM CONTA A DESCRIÇÃO DO PRODUTO NO EDITAL.</w:t>
            </w:r>
          </w:p>
          <w:p>
            <w:pPr>
              <w:pStyle w:val="Normal"/>
              <w:widowControl w:val="false"/>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17</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MULTIUSO PARA BEACH TÊNIS, VOLEIBOL DE AREIA E FUTVÔLEI. CONFECCIONADA EM POLIETILENO DE ALTA DENSIDADE, 100% VIRGEM COM TRATAMENTO ANTI-UV (PARA USO EXTERNO), E COM UM ILHÓS EM METAL GALVANIZADO EM CADA EXTREMIDADE. MEDIDA DA REDE: 1,00M DE ALTURA X 9,50M DE COMPRIMENTO, COM 4 FAIXAS DE BORDA EM NYLON NA COR LARANJA (PARA FACILITAR A VISUALIZAÇÃO AO SOL). MALHA: 5CM X 5CM NA COR DA PRETA CONFECCIONADA COM FIO 2MM TORCIDO.</w:t>
            </w:r>
          </w:p>
          <w:p>
            <w:pPr>
              <w:pStyle w:val="Normal"/>
              <w:widowControl w:val="false"/>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18</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602799</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40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ESPORTE, MATERIAL: NÁILON, APLICAÇÃO: TÊNIS DE MESA, CARACTERÍSTICAS ADICIONAIS: TAMANHO OFICIAL, COM SUPORTE (QUE PRENDA NA MESA COM SISTEMA DE ATARRAXAR – PARAFUSO OU BORBOLETA)</w:t>
            </w:r>
          </w:p>
          <w:p>
            <w:pPr>
              <w:pStyle w:val="Normal"/>
              <w:widowControl w:val="false"/>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19</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466312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snapToGrid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EQUIPAMENTO PARA CONDICIONAMENTO FÍSICO, TIPO: PELOTA, MATERIAL: COURO, APLICAÇÃO: CONDICIONAMENTO FÍSICO, CARACTERÍSTICAS ADICIONAIS: PESO: 250G, DIMENSÕES:6,5CM A 7,5CM CM</w:t>
            </w:r>
          </w:p>
          <w:p>
            <w:pPr>
              <w:pStyle w:val="Normal"/>
              <w:widowControl w:val="false"/>
              <w:snapToGrid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20</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447896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DARDO PEÇAS E ACESSÓRIOS, TIPO: DARDO, MATERIAL: ALUMÍNIO, CARACTERÍSTICAS ADICIONAIS: PESO: 800 G, CABEÇA DE AÇO, EMPUNHADURA DE CORDA, APLICAÇÃO: ATLETISMO PARA LANÇAMENTO</w:t>
            </w:r>
          </w:p>
          <w:p>
            <w:pPr>
              <w:pStyle w:val="Normal"/>
              <w:widowControl w:val="false"/>
              <w:snapToGrid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21</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288039</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DARDO PEÇAS E ACESSÓRIOS, TIPO: DARDO, MATERIAL: FIBRA DE AÇO CARBONO, CARACTERÍSTICAS ADICIONAIS: PESO: 600G, CABEÇA DE AÇO ULTRAFINA, APLICAÇÃO: ATLETISMO PARA LANÇAMENTO</w:t>
            </w:r>
          </w:p>
          <w:p>
            <w:pPr>
              <w:pStyle w:val="Normal"/>
              <w:widowControl w:val="false"/>
              <w:snapToGrid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22</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237593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snapToGrid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BASTÃO PARA REVEZAMENTO (ATLETISMO), MATERIAL: ALUMÍNIO, TAMANHO: OFICIAL (IAAF)</w:t>
            </w:r>
          </w:p>
          <w:p>
            <w:pPr>
              <w:pStyle w:val="Normal"/>
              <w:widowControl w:val="false"/>
              <w:snapToGrid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23</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604846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rFonts w:ascii="Arial" w:hAnsi="Arial" w:eastAsia="Calibri" w:cs="Arial"/>
                <w:b w:val="false"/>
                <w:bCs w:val="false"/>
                <w:i w:val="false"/>
                <w:i w:val="false"/>
                <w:strike w:val="false"/>
                <w:dstrike w:val="false"/>
                <w:outline w:val="false"/>
                <w:shadow w:val="false"/>
                <w:color w:val="000000"/>
                <w:sz w:val="19"/>
                <w:szCs w:val="20"/>
                <w:u w:val="none"/>
                <w:em w:val="none"/>
              </w:rPr>
            </w:pPr>
            <w:r>
              <w:rPr>
                <w:rFonts w:eastAsia="Calibri" w:cs="Arial" w:ascii="Arial" w:hAnsi="Arial"/>
                <w:b w:val="false"/>
                <w:bCs w:val="false"/>
                <w:i w:val="false"/>
                <w:strike w:val="false"/>
                <w:dstrike w:val="false"/>
                <w:outline w:val="false"/>
                <w:shadow w:val="false"/>
                <w:color w:val="000000"/>
                <w:sz w:val="19"/>
                <w:szCs w:val="20"/>
                <w:u w:val="none"/>
                <w:em w:val="none"/>
              </w:rPr>
              <w:t>PESO DE ATLETISMO PARA ARREMESSO DE 5,00KG, COM NO MÁXIMO 115 MM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24</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604847</w:t>
            </w:r>
          </w:p>
        </w:tc>
        <w:tc>
          <w:tcPr>
            <w:tcW w:w="85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UN</w:t>
            </w:r>
          </w:p>
        </w:tc>
        <w:tc>
          <w:tcPr>
            <w:tcW w:w="5038" w:type="dxa"/>
            <w:tcBorders>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PESO DE ATLETISMO PARA ARREMESSO DE 4,00KG, COM NO MÁXIMO 103MM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25</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604847</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PESO DE ATLETISMO PARA ARREMESSO DE 3,00KG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26</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604823</w:t>
            </w:r>
          </w:p>
        </w:tc>
        <w:tc>
          <w:tcPr>
            <w:tcW w:w="851"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10 UN</w:t>
            </w:r>
          </w:p>
        </w:tc>
        <w:tc>
          <w:tcPr>
            <w:tcW w:w="5038" w:type="dxa"/>
            <w:tcBorders>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DISCO PARA LANÇAMENTO DE DISCO DE ATLETISMO. OFICIAL DE AÇO/ABS 2,00 KG. INDICADO PARA COMPETIÇÕES OU TREINAMENTO. 70~75% DE PESO NAS BORDAS. CENTRO E BORDAS DE AÇO GALVANIZADO, PRATOS DE PLÁSTICO ABS DE ALTA RESISTÊNCIA REFORÇADOS COM FIBRA DE VIDRO. CERTIFICADO PELA IAAF. TIPO VINEX OU SUPERIOR. EM CASO DE DIVERGÊNCIA COM O CÓDIGO CATMAT, SERÁ LEVADO EM CONTA A DESCRIÇÃO DO PRODUTO NO EDITAL.</w:t>
            </w:r>
          </w:p>
          <w:p>
            <w:pPr>
              <w:pStyle w:val="Normal"/>
              <w:widowControl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27</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604824</w:t>
            </w:r>
          </w:p>
        </w:tc>
        <w:tc>
          <w:tcPr>
            <w:tcW w:w="85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10 UN</w:t>
            </w:r>
          </w:p>
        </w:tc>
        <w:tc>
          <w:tcPr>
            <w:tcW w:w="5038"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DISCO PARA LANÇAMENTO DE DISCO DE ATLETISMO. OFICIAL DE AÇO/ABS 1,00 KG. INDICADO PARA COMPETIÇÕES OU TREINAMENTO. 70~75% DE PESO NAS BORDAS. CENTRO E BORDAS DE AÇO GALVANIZADO, PRATOS DE PLÁSTICO ABS DE ALTA RESISTÊNCIA REFORÇADOS COM FIBRA DE VIDRO. CERTIFICADO PELA IAAF. TIPO VINEX OU SUPERIOR. EM CASO DE DIVERGÊNCIA COM O CÓDIGO CATMAT, SERÁ LEVADO EM CONTA A DESCRIÇÃO DO PRODUTO NO EDITAL.</w:t>
            </w:r>
          </w:p>
          <w:p>
            <w:pPr>
              <w:pStyle w:val="Normal"/>
              <w:widowControl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28</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471988</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40 UN</w:t>
            </w:r>
          </w:p>
        </w:tc>
        <w:tc>
          <w:tcPr>
            <w:tcW w:w="5038"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MESA TÊNIS DE MESA: MATERIAL TAMPO: MDF, MATERIAL ESTRUTURA: TUBO DE AÇO, TIPO: DOBRÁVEL, ACABAMENTO TAMPO: PINTADO, ACABAMENTO ESTRUTURA: PINTURA, ESPESSURA TAMPO:25 MM, COR: AZUL, CARACTERÍSTICAS: COM MEDIDAS OFICIAIS PADRÃO ITTF (INTERNATIONAL).</w:t>
            </w:r>
          </w:p>
          <w:p>
            <w:pPr>
              <w:pStyle w:val="Normal"/>
              <w:widowControl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29</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450272</w:t>
            </w:r>
          </w:p>
        </w:tc>
        <w:tc>
          <w:tcPr>
            <w:tcW w:w="851"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b w:val="false"/>
                <w:bCs w:val="false"/>
              </w:rPr>
            </w:pPr>
            <w:r>
              <w:rPr>
                <w:rFonts w:eastAsia="Calibri" w:cs="Arial" w:ascii="Arial" w:hAnsi="Arial"/>
                <w:b w:val="false"/>
                <w:bCs w:val="false"/>
                <w:color w:val="000000"/>
                <w:sz w:val="20"/>
                <w:szCs w:val="20"/>
                <w:shd w:fill="FFFFFE" w:val="clear"/>
              </w:rPr>
              <w:t xml:space="preserve">50 </w:t>
            </w:r>
            <w:r>
              <w:rPr>
                <w:rFonts w:eastAsia="Calibri" w:cs="Arial" w:ascii="Arial" w:hAnsi="Arial"/>
                <w:b w:val="false"/>
                <w:bCs w:val="false"/>
                <w:color w:val="000000"/>
                <w:sz w:val="18"/>
                <w:szCs w:val="18"/>
                <w:shd w:fill="FFFFFE" w:val="clear"/>
              </w:rPr>
              <w:t>EMBAL.</w:t>
            </w:r>
          </w:p>
        </w:tc>
        <w:tc>
          <w:tcPr>
            <w:tcW w:w="5038" w:type="dxa"/>
            <w:tcBorders>
              <w:left w:val="single" w:sz="4" w:space="0" w:color="000000"/>
              <w:bottom w:val="single" w:sz="4" w:space="0" w:color="000000"/>
              <w:right w:val="single" w:sz="4" w:space="0" w:color="000000"/>
            </w:tcBorders>
          </w:tcPr>
          <w:p>
            <w:pPr>
              <w:pStyle w:val="Normal"/>
              <w:widowControl w:val="false"/>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DE TÊNIS DE MESA COM NO MÍNIMO TRÊS ESTRELAS, MATERIAL ABS; DIÂMETRO 40 MM. COR LARANJA. EMBALAGEM (DE FÁBRICA) COM 6 UNIDADES. TIPO VOLLO, PISTA E CAMPO OU SUPERIOR. EM CASO DE DIVERGÊNCIA COM O CÓDIGO CATMAT, SERÁ LEVADO EM CONTA A DESCRIÇÃO DO PRODUTO NO EDITAL.</w:t>
            </w:r>
          </w:p>
          <w:p>
            <w:pPr>
              <w:pStyle w:val="Normal"/>
              <w:widowControl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30</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288785</w:t>
            </w:r>
          </w:p>
        </w:tc>
        <w:tc>
          <w:tcPr>
            <w:tcW w:w="851"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140 UN</w:t>
            </w:r>
          </w:p>
        </w:tc>
        <w:tc>
          <w:tcPr>
            <w:tcW w:w="5038" w:type="dxa"/>
            <w:tcBorders>
              <w:left w:val="single" w:sz="4" w:space="0" w:color="000000"/>
              <w:bottom w:val="single" w:sz="4" w:space="0" w:color="000000"/>
              <w:right w:val="single" w:sz="4" w:space="0" w:color="000000"/>
            </w:tcBorders>
          </w:tcPr>
          <w:p>
            <w:pPr>
              <w:pStyle w:val="Normal"/>
              <w:widowControl w:val="false"/>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RAQUETE ESPORTIVA, MATERIAL CORPO: MADEIRA, REVESTIMENTO CORPO: BORRACHA, TAMANHO:ÚNICO, COR: PRETA, APLICAÇÃO: TÊNIS DE MESA, CARACTERÍSTICAS ADICIONAIS:2 LADOS REVESTIDOS DE BORRACHA, SENDO UMA VERMELHA E A OUTRA PRETA, SEGUINDO AS REGRAS DA FEDERAÇÃO INTERNACIONAL DE TÊNIS DE MESA (ITTF), SEU CABO CLÁSSICO POSSIBILITA QUE O JOGADOR SEGURE A RAQUETE PELO CABO COM O INDICADOR SOBRE AS BORRACHAS</w:t>
            </w:r>
          </w:p>
          <w:p>
            <w:pPr>
              <w:pStyle w:val="Normal"/>
              <w:widowControl w:val="false"/>
              <w:spacing w:lineRule="auto" w:line="360"/>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31</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350636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JOGOS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JOGO DE FITA MARCAÇÃO ESPORTIVA, MATERIAL: NÁILON, LARGURA: 8 CM, APLICAÇÃO: VÔLEI DE PRAIA COM ILHÓS E ACOMPANHA FIXADORES EM AÇO ZINCADO. NAS EXTREMIDADES PONTAS DE CADA FITA POSSUI ILHÓS EM ALUMÍNIO PRA PASSAR O FIXADORES. CADA JOGO DEVE CONTER 06 FAIXAS DE 8M DE METROS, 06 PRESILHAS DE FIXAÇÃO (FIXADORES).</w:t>
            </w:r>
          </w:p>
          <w:p>
            <w:pPr>
              <w:pStyle w:val="Normal"/>
              <w:widowControl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32</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433198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03 JOGOS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b w:val="false"/>
                <w:bCs w:val="false"/>
              </w:rPr>
            </w:pPr>
            <w:r>
              <w:rPr>
                <w:rFonts w:eastAsia="Calibri" w:cs="Arial" w:ascii="Arial" w:hAnsi="Arial"/>
                <w:b w:val="false"/>
                <w:bCs w:val="false"/>
                <w:color w:val="000000"/>
                <w:sz w:val="19"/>
                <w:szCs w:val="20"/>
              </w:rPr>
              <w:t>JOGO DE FITA MARCA</w:t>
            </w:r>
            <w:r>
              <w:rPr>
                <w:rFonts w:cs="Arial" w:ascii="Arial" w:hAnsi="Arial"/>
                <w:b w:val="false"/>
                <w:bCs w:val="false"/>
                <w:sz w:val="19"/>
              </w:rPr>
              <w:t>ÇÃO ESPORTIVA, MATERIAL: PVC, COMPRIMENTO:160 M (DIVIDIDO EM QUATRO PARTES, DE ACORDO COM MEDIDAS PARA QUADRA OFICIAL DE FUTEBOL DE AREIA), LARGURA:6 CM, APLICAÇÃO: FUTEBOL DE AREIA, COM ILHÓS E ACOMPANHA FIXADORES EM AÇO ZINCADO, CARACTERÍSTICAS ADICIONAIS:4 SUPORTES METÁLICOS PARA FIXAÇÃO. EM CASO DE DIVERGÊNCIA COM O CÓDIGO CATMAT, SERÁ LEVADO EM CONTA A DESCRIÇÃO DO PRODUTO NO EDITAL.</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33</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444228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rFonts w:ascii="Arial" w:hAnsi="Arial" w:cs="Arial"/>
                <w:b w:val="false"/>
                <w:bCs w:val="false"/>
                <w:sz w:val="19"/>
              </w:rPr>
            </w:pPr>
            <w:r>
              <w:rPr>
                <w:rFonts w:cs="Arial" w:ascii="Arial" w:hAnsi="Arial"/>
                <w:b w:val="false"/>
                <w:bCs w:val="false"/>
                <w:sz w:val="19"/>
              </w:rPr>
              <w:t>CONE, MATERIAL: PVC FLEXÍVEL, ALTURA:4 CM, APLICAÇÃO: ATIVIDADE FÍSICA, CARACTERÍSTICAS ADICIONAIS: MINI CONE, CHAPÉU CHINÊS, DEMARCATÓRIO, VERMELHA</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34</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444230</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rFonts w:ascii="Arial" w:hAnsi="Arial" w:cs="Arial"/>
                <w:b w:val="false"/>
                <w:bCs w:val="false"/>
                <w:sz w:val="19"/>
              </w:rPr>
            </w:pPr>
            <w:r>
              <w:rPr>
                <w:rFonts w:cs="Arial" w:ascii="Arial" w:hAnsi="Arial"/>
                <w:b w:val="false"/>
                <w:bCs w:val="false"/>
                <w:sz w:val="19"/>
              </w:rPr>
              <w:t>CONE, MATERIAL: PVC FLEXÍVEL, ALTURA:4 CM, APLICAÇÃO: ATIVIDADE FÍSICA, CARACTERÍSTICAS ADICIONAIS: MINI CONE, CHAPÉU CHINÊS, DEMARCATÓRIO, AZUL.</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35</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444229</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rFonts w:ascii="Arial" w:hAnsi="Arial" w:cs="Arial"/>
                <w:b w:val="false"/>
                <w:bCs w:val="false"/>
                <w:sz w:val="19"/>
              </w:rPr>
            </w:pPr>
            <w:r>
              <w:rPr>
                <w:rFonts w:cs="Arial" w:ascii="Arial" w:hAnsi="Arial"/>
                <w:b w:val="false"/>
                <w:bCs w:val="false"/>
                <w:sz w:val="19"/>
              </w:rPr>
              <w:t>CONE, MATERIAL: PVC FLEXÍVEL, ALTURA:4 CM, APLICAÇÃO: ATIVIDADE FÍSICA, CARACTERÍSTICAS ADICIONAIS: MINI CONE, CHAPÉU CHINÊS, DEMARCATÓRIO, AMARELA.</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36</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471372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rFonts w:ascii="Arial" w:hAnsi="Arial" w:cs="Arial"/>
                <w:b w:val="false"/>
                <w:bCs w:val="false"/>
                <w:sz w:val="19"/>
              </w:rPr>
            </w:pPr>
            <w:r>
              <w:rPr>
                <w:rFonts w:cs="Arial" w:ascii="Arial" w:hAnsi="Arial"/>
                <w:b w:val="false"/>
                <w:bCs w:val="false"/>
                <w:sz w:val="19"/>
              </w:rPr>
              <w:t>CONE, MATERIAL: PLÁSTICO FLEXÍVEL, ALTURA:23 CM, APLICAÇÃO: ATIVIDADE FÍSICA, CARACTERÍSTICAS ADICIONAIS: BASE 13 X 13 (CORES A ESCOLHER)</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37</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04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b w:val="false"/>
                <w:bCs w:val="false"/>
              </w:rPr>
            </w:pPr>
            <w:r>
              <w:rPr>
                <w:rFonts w:eastAsia="Calibri" w:cs="Arial" w:ascii="Arial" w:hAnsi="Arial"/>
                <w:b w:val="false"/>
                <w:bCs w:val="false"/>
                <w:color w:val="000000"/>
                <w:sz w:val="19"/>
                <w:szCs w:val="20"/>
              </w:rPr>
              <w:t>TABELA DE BASQUETE M</w:t>
            </w:r>
            <w:r>
              <w:rPr>
                <w:rFonts w:cs="Arial" w:ascii="Arial" w:hAnsi="Arial"/>
                <w:b w:val="false"/>
                <w:bCs w:val="false"/>
                <w:sz w:val="19"/>
              </w:rPr>
              <w:t>ÓVEL: MECANISMO DE AJUSTE (similar ao modelo padrão, mas com ajuste de altura  por alavanca e molas) DA ALTURA DO POSTE DE AJUSTE ENTRE 1,90 METROS A 3,05 METROS, BASE COM ESPAÇO PAR INCLUSÃO DE AREIA OU ÁGUA PARA MAIOR ESTABILIDADE, ARO OFICIAL STANDART, DIÂMETRO DO POSTE EM AÇO-CARBONO E NO MÍNIMO 7,62CM RODA NA BASE. CERTIFICADA PELO INMETRO. TIPO PISTA E CAMPO OU SUPERIOR.</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38</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251593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04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b w:val="false"/>
                <w:bCs w:val="false"/>
              </w:rPr>
            </w:pPr>
            <w:r>
              <w:rPr>
                <w:rFonts w:eastAsia="Calibri" w:cs="Arial" w:ascii="Arial" w:hAnsi="Arial"/>
                <w:b w:val="false"/>
                <w:bCs w:val="false"/>
                <w:color w:val="000000"/>
                <w:sz w:val="19"/>
                <w:szCs w:val="20"/>
              </w:rPr>
              <w:t xml:space="preserve">POSTE PARA VOLEIBOL: POSTE PARA REDE DE VOLEIBOL, MATERIAL: </w:t>
            </w:r>
            <w:r>
              <w:rPr>
                <w:rFonts w:cs="Arial" w:ascii="Arial" w:hAnsi="Arial"/>
                <w:b w:val="false"/>
                <w:bCs w:val="false"/>
                <w:sz w:val="19"/>
              </w:rPr>
              <w:t>FERRO GALVANIZADO, TAMANHO: OFICIAL, CARACTERÍSTICAS ADICIONAIS: COM GUINCHO, ROLDANA E REGULAGEM DE ALTURA (ALÉM DOS GANCHOS PARA PRENDER CORDA/CABOS).</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39</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304848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b w:val="false"/>
                <w:bCs w:val="false"/>
              </w:rPr>
            </w:pPr>
            <w:r>
              <w:rPr>
                <w:rFonts w:eastAsia="Calibri" w:cs="Arial" w:ascii="Arial" w:hAnsi="Arial"/>
                <w:b w:val="false"/>
                <w:bCs w:val="false"/>
                <w:color w:val="000000"/>
                <w:sz w:val="19"/>
                <w:szCs w:val="20"/>
              </w:rPr>
              <w:t xml:space="preserve">ANTENA REDE VOLEIBOL, MATERIAL: FIBRA DE VIDRO, TAMANHO: OFICIAL, </w:t>
            </w:r>
            <w:r>
              <w:rPr>
                <w:rFonts w:cs="Arial" w:ascii="Arial" w:hAnsi="Arial"/>
                <w:b w:val="false"/>
                <w:bCs w:val="false"/>
                <w:sz w:val="19"/>
              </w:rPr>
              <w:t>COR: VERMELHA E BRANCA</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40</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450366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rFonts w:ascii="Arial" w:hAnsi="Arial" w:cs="Arial"/>
                <w:b w:val="false"/>
                <w:bCs w:val="false"/>
                <w:sz w:val="19"/>
              </w:rPr>
            </w:pPr>
            <w:r>
              <w:rPr>
                <w:rFonts w:cs="Arial" w:ascii="Arial" w:hAnsi="Arial"/>
                <w:b w:val="false"/>
                <w:bCs w:val="false"/>
                <w:sz w:val="19"/>
              </w:rPr>
              <w:t>EQUIPAMENTO / ACESSÓRIOS DESPORTO, MATERIAL: ALGODÃO, TIPO: SUPORTE PARA ANTENA DE VÔLEI, USO: FIXAÇÃO DAS ANTENAS DA REDE, CARACTERÍSTICAS ADICIONAIS:1 METRO DE ALTURA POR 5 CENTÍMETROS DE COMPRIMENTO</w:t>
            </w:r>
          </w:p>
          <w:p>
            <w:pPr>
              <w:pStyle w:val="Normal"/>
              <w:widowControl w:val="false"/>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41</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480265</w:t>
            </w:r>
          </w:p>
        </w:tc>
        <w:tc>
          <w:tcPr>
            <w:tcW w:w="85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60 UN</w:t>
            </w:r>
          </w:p>
        </w:tc>
        <w:tc>
          <w:tcPr>
            <w:tcW w:w="5038"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b w:val="false"/>
                <w:bCs w:val="false"/>
              </w:rPr>
            </w:pPr>
            <w:r>
              <w:rPr>
                <w:rFonts w:eastAsia="Calibri" w:cs="Arial" w:ascii="Arial" w:hAnsi="Arial"/>
                <w:b w:val="false"/>
                <w:bCs w:val="false"/>
                <w:color w:val="000000"/>
                <w:sz w:val="19"/>
                <w:szCs w:val="20"/>
              </w:rPr>
              <w:t>BOMBA DE AR COM DUPLA A</w:t>
            </w:r>
            <w:r>
              <w:rPr>
                <w:rFonts w:cs="Arial" w:ascii="Arial" w:hAnsi="Arial"/>
                <w:b w:val="false"/>
                <w:bCs w:val="false"/>
                <w:sz w:val="19"/>
              </w:rPr>
              <w:t>ÇÃO (funciona tanto empurrando o ar como puxando) DE INFLAR BOLA. CORPO EM PLÁSTICO RÍGIDO (ACRÍLICO), COM MANGUEIRA (PROLONGADOR), DUAS AGULHAS. TIPO PENALTY, VOLLO OU SUPERIOR.</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42</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450328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20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40"/>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EQUIPAMENTO / ACESSÓRIOS DESPORTO, TIPO: CALIBRADOR DE BOLAS, USO: REGULAGEM DE PRESSÃO DE AR, CARACTERÍSTICAS ADICIONAIS: SISTEMA DIGITAL COM DUAS AGULHAS</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43</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480258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16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Arial" w:hAnsi="Arial" w:cs="Arial"/>
                <w:b w:val="false"/>
                <w:bCs w:val="false"/>
                <w:sz w:val="19"/>
              </w:rPr>
            </w:pPr>
            <w:r>
              <w:rPr>
                <w:rFonts w:cs="Arial" w:ascii="Arial" w:hAnsi="Arial"/>
                <w:b w:val="false"/>
                <w:bCs w:val="false"/>
                <w:sz w:val="19"/>
              </w:rPr>
              <w:t>PLACAR POLIESPORTIVO PORTÁTIL DE MESA. MATERIAL: PVC RÍGIDO, TIPO: MANUAL, CARACTERÍSTICAS ADICIONAIS: PLAQUETAS EM PVC RÍGIDO DE MESA COM MEDIDAS APROXIMADAS (ABERTO) DE: ALTURA: 21 CM LARGURA: 20 CM COMPRIMENTO: 38 CM, COM MARCAÇÃO DE ATÉ 31 PONTOS/GOLS E 7 SETS/FALTAS. OS NÚMEROS DEVEM SER GRANDES E FÁCEIS DE LER. BASTA VIRAR OS NÚMEROS PARA CIMA PARA ATUALIZAR A PONTUAÇÃO/GOLS INSTANTANEAMENTE. A PLACA PARA PONTOS/GOLS DEVE CONTER DOIS NÚMEROS NA MESMA PLACA. TIPO: VOLLO, LORBEN, DALEBOL OU SUPERIOR.</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303808</w:t>
            </w:r>
          </w:p>
        </w:tc>
        <w:tc>
          <w:tcPr>
            <w:tcW w:w="85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600 UN</w:t>
            </w:r>
          </w:p>
        </w:tc>
        <w:tc>
          <w:tcPr>
            <w:tcW w:w="5038"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rFonts w:ascii="Arial" w:hAnsi="Arial" w:cs="Arial"/>
                <w:b w:val="false"/>
                <w:bCs w:val="false"/>
                <w:sz w:val="19"/>
              </w:rPr>
            </w:pPr>
            <w:r>
              <w:rPr>
                <w:rFonts w:cs="Arial" w:ascii="Arial" w:hAnsi="Arial"/>
                <w:b w:val="false"/>
                <w:bCs w:val="false"/>
                <w:sz w:val="19"/>
              </w:rPr>
              <w:t>COLETE TIPO JALECO REGATA, CONFECCIONADO EM POLIÉSTER LISO, COM VIÉS, EM TAMANHOS “M” E “G”, OPÇÃO MÍNIMA EM 3 CORES. (COR E TAMANHO A ESCOLHER).</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450364</w:t>
            </w:r>
          </w:p>
        </w:tc>
        <w:tc>
          <w:tcPr>
            <w:tcW w:w="85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200 UN</w:t>
            </w:r>
          </w:p>
        </w:tc>
        <w:tc>
          <w:tcPr>
            <w:tcW w:w="5038"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cs="Arial"/>
                <w:b w:val="false"/>
                <w:bCs w:val="false"/>
              </w:rPr>
            </w:pPr>
            <w:r>
              <w:rPr>
                <w:rFonts w:cs="Arial" w:ascii="Arial" w:hAnsi="Arial"/>
                <w:b w:val="false"/>
                <w:bCs w:val="false"/>
              </w:rPr>
            </w:r>
          </w:p>
          <w:p>
            <w:pPr>
              <w:pStyle w:val="Normal"/>
              <w:widowControl w:val="false"/>
              <w:rPr>
                <w:rFonts w:ascii="Arial" w:hAnsi="Arial" w:cs="Arial"/>
                <w:b w:val="false"/>
                <w:bCs w:val="false"/>
                <w:sz w:val="19"/>
              </w:rPr>
            </w:pPr>
            <w:r>
              <w:rPr>
                <w:rFonts w:cs="Arial" w:ascii="Arial" w:hAnsi="Arial"/>
                <w:b w:val="false"/>
                <w:bCs w:val="false"/>
                <w:sz w:val="19"/>
              </w:rPr>
              <w:t>JOGO XADREZ, MATERIAL: PLÁSTICO, FORMATO: QUADRADO, APLICAÇÃO: LAZER E ENTRETENIMENTO, CARACTERÍSTICAS ADICIONAIS: TABULEIRO EM COURO SINTÉTICO COM DIMENSÕES MÍNIMAS DE 50 X 50 CM, COM PEÇAS GRANDES. BRANCAS E PRETAS, EMBALAGEM PARA ACONDICIONAR O JOGO. EM CASO DE DIVERGÊNCIA COM O CÓDIGO CATMAT, SERÁ LEVADO EM CONTA A DESCRIÇÃO DO PRODUTO NO EDITAL.</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46</w:t>
            </w:r>
          </w:p>
        </w:tc>
        <w:tc>
          <w:tcPr>
            <w:tcW w:w="1026" w:type="dxa"/>
            <w:tcBorders>
              <w:left w:val="single" w:sz="4" w:space="0" w:color="000000"/>
              <w:bottom w:val="single" w:sz="4" w:space="0" w:color="000000"/>
              <w:right w:val="single" w:sz="4" w:space="0" w:color="000000"/>
            </w:tcBorders>
          </w:tcPr>
          <w:p>
            <w:pPr>
              <w:pStyle w:val="Normal"/>
              <w:widowControl w:val="false"/>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604821</w:t>
            </w:r>
          </w:p>
        </w:tc>
        <w:tc>
          <w:tcPr>
            <w:tcW w:w="85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jc w:val="cente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10 JOGOS (CONJUNTOS) DE 12 BOLAS + BALIN</w:t>
            </w:r>
          </w:p>
          <w:p>
            <w:pPr>
              <w:pStyle w:val="Normal"/>
              <w:widowControl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5038" w:type="dxa"/>
            <w:tcBorders>
              <w:left w:val="single" w:sz="4" w:space="0" w:color="000000"/>
              <w:bottom w:val="single" w:sz="4" w:space="0" w:color="000000"/>
              <w:right w:val="single" w:sz="4" w:space="0" w:color="000000"/>
            </w:tcBorders>
            <w:vAlign w:val="center"/>
          </w:tcPr>
          <w:p>
            <w:pPr>
              <w:pStyle w:val="Normal"/>
              <w:widowControl w:val="false"/>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rPr>
                <w:rFonts w:ascii="Arial" w:hAnsi="Arial" w:cs="Arial"/>
                <w:b w:val="false"/>
                <w:bCs w:val="false"/>
                <w:sz w:val="19"/>
              </w:rPr>
            </w:pPr>
            <w:r>
              <w:rPr>
                <w:rFonts w:cs="Arial" w:ascii="Arial" w:hAnsi="Arial"/>
                <w:b w:val="false"/>
                <w:bCs w:val="false"/>
                <w:sz w:val="19"/>
              </w:rPr>
              <w:t>JOGO DE 12 BOCHAS, DIVERSAS CORES (A SER ESCOLHIDO NO EMPENHO) COM BALIM, EM MATERIAL SINTÉTICO DE ALTA RESISTÊNCIA, DIÂMETRO 116MM, PESO APROXIMADO: 1,180GR E BALIM 40MM. TIPO: FAISCA, CARLITO OU SUPERIOR.</w:t>
            </w:r>
          </w:p>
          <w:p>
            <w:pPr>
              <w:pStyle w:val="Normal"/>
              <w:widowControl w:val="false"/>
              <w:jc w:val="both"/>
              <w:rPr>
                <w:rFonts w:ascii="Arial" w:hAnsi="Arial" w:cs="Arial"/>
                <w:b w:val="false"/>
                <w:bCs w:val="false"/>
              </w:rPr>
            </w:pPr>
            <w:r>
              <w:rPr>
                <w:rFonts w:cs="Arial" w:ascii="Arial" w:hAnsi="Arial"/>
                <w:b w:val="false"/>
                <w:bCs w:val="false"/>
              </w:rPr>
            </w:r>
          </w:p>
        </w:tc>
        <w:tc>
          <w:tcPr>
            <w:tcW w:w="1311"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bl>
    <w:p>
      <w:pPr>
        <w:pStyle w:val="Normal"/>
        <w:tabs>
          <w:tab w:val="clear" w:pos="408"/>
          <w:tab w:val="left" w:pos="1134" w:leader="none"/>
        </w:tabs>
        <w:spacing w:lineRule="auto" w:line="276"/>
        <w:jc w:val="both"/>
        <w:rPr>
          <w:rFonts w:ascii="Arial" w:hAnsi="Arial"/>
          <w:sz w:val="22"/>
          <w:szCs w:val="22"/>
        </w:rPr>
      </w:pPr>
      <w:r>
        <w:rPr>
          <w:rFonts w:cs="Arial" w:ascii="Arial" w:hAnsi="Arial"/>
          <w:color w:val="000000"/>
          <w:sz w:val="22"/>
          <w:szCs w:val="22"/>
        </w:rPr>
        <w:t>Validade da Proposta: 60 dias</w:t>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bookmarkEnd w:id="0"/>
      <w:bookmarkEnd w:id="1"/>
      <w:bookmarkEnd w:id="2"/>
      <w:bookmarkEnd w:id="3"/>
      <w:r>
        <w:rPr>
          <w:rFonts w:cs="Arial" w:ascii="Arial" w:hAnsi="Arial"/>
          <w:color w:val="000000"/>
          <w:sz w:val="22"/>
          <w:szCs w:val="22"/>
        </w:rPr>
        <w:t>Local: __________________________, ____ de ______________________ de _______.</w:t>
      </w:r>
      <w:r>
        <w:br w:type="page"/>
      </w:r>
    </w:p>
    <w:p>
      <w:pPr>
        <w:pStyle w:val="Normal"/>
        <w:numPr>
          <w:ilvl w:val="0"/>
          <w:numId w:val="12"/>
        </w:numPr>
        <w:spacing w:lineRule="auto" w:line="276" w:before="0" w:after="0"/>
        <w:jc w:val="center"/>
        <w:rPr>
          <w:rFonts w:ascii="Arial" w:hAnsi="Arial"/>
          <w:sz w:val="22"/>
          <w:szCs w:val="22"/>
        </w:rPr>
      </w:pPr>
      <w:r>
        <w:rPr>
          <w:rFonts w:cs="Arial" w:ascii="Arial" w:hAnsi="Arial"/>
          <w:b/>
          <w:bCs/>
          <w:iCs/>
          <w:color w:val="000000"/>
          <w:sz w:val="22"/>
          <w:szCs w:val="22"/>
          <w:shd w:fill="auto" w:val="clear"/>
        </w:rPr>
        <w:t xml:space="preserve">ANEXO </w:t>
      </w:r>
      <w:r>
        <w:rPr>
          <w:rFonts w:eastAsia="Times New Roman" w:cs="Arial" w:ascii="Arial" w:hAnsi="Arial"/>
          <w:b/>
          <w:bCs/>
          <w:iCs/>
          <w:color w:val="000000"/>
          <w:sz w:val="22"/>
          <w:szCs w:val="22"/>
          <w:shd w:fill="auto" w:val="clear"/>
          <w:lang w:eastAsia="zh-CN"/>
        </w:rPr>
        <w:t xml:space="preserve">V - </w:t>
      </w:r>
      <w:r>
        <w:rPr>
          <w:rFonts w:cs="Arial" w:ascii="Arial" w:hAnsi="Arial"/>
          <w:b/>
          <w:bCs/>
          <w:iCs/>
          <w:color w:val="000000"/>
          <w:sz w:val="22"/>
          <w:szCs w:val="22"/>
          <w:shd w:fill="auto" w:val="clear"/>
        </w:rPr>
        <w:t>MINUTA DE ATA DE REGISTRO DE PREÇOS</w:t>
      </w:r>
    </w:p>
    <w:p>
      <w:pPr>
        <w:pStyle w:val="Normal"/>
        <w:numPr>
          <w:ilvl w:val="0"/>
          <w:numId w:val="1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12"/>
        </w:numPr>
        <w:spacing w:lineRule="auto" w:line="360"/>
        <w:ind w:left="0" w:right="-15" w:hanging="0"/>
        <w:jc w:val="both"/>
        <w:rPr>
          <w:rFonts w:ascii="Arial" w:hAnsi="Arial"/>
          <w:sz w:val="22"/>
          <w:szCs w:val="22"/>
        </w:rPr>
      </w:pPr>
      <w:r>
        <w:rPr>
          <w:rFonts w:cs="Arial" w:ascii="Arial" w:hAnsi="Arial"/>
          <w:color w:val="000000"/>
          <w:sz w:val="22"/>
          <w:szCs w:val="22"/>
          <w:shd w:fill="auto" w:val="clear"/>
        </w:rPr>
        <w:t>MUNICÍPIO DE VERA CRUZ / RS</w:t>
      </w:r>
    </w:p>
    <w:p>
      <w:pPr>
        <w:pStyle w:val="Normal"/>
        <w:widowControl w:val="false"/>
        <w:numPr>
          <w:ilvl w:val="0"/>
          <w:numId w:val="12"/>
        </w:numPr>
        <w:spacing w:lineRule="auto" w:line="360"/>
        <w:ind w:left="0" w:right="-30" w:hanging="0"/>
        <w:jc w:val="both"/>
        <w:rPr>
          <w:rFonts w:ascii="Arial" w:hAnsi="Arial"/>
          <w:sz w:val="22"/>
          <w:szCs w:val="22"/>
        </w:rPr>
      </w:pPr>
      <w:r>
        <w:rPr>
          <w:rFonts w:cs="Arial" w:ascii="Arial" w:hAnsi="Arial"/>
          <w:color w:val="000000"/>
          <w:sz w:val="22"/>
          <w:szCs w:val="22"/>
          <w:shd w:fill="auto" w:val="clear"/>
        </w:rPr>
        <w:t xml:space="preserve">ATA DE REGISTRO DE PREÇOS </w:t>
      </w:r>
    </w:p>
    <w:p>
      <w:pPr>
        <w:pStyle w:val="Normal"/>
        <w:widowControl w:val="false"/>
        <w:numPr>
          <w:ilvl w:val="0"/>
          <w:numId w:val="12"/>
        </w:numPr>
        <w:spacing w:lineRule="auto" w:line="360"/>
        <w:ind w:left="0" w:right="-30" w:hanging="0"/>
        <w:jc w:val="both"/>
        <w:rPr>
          <w:rFonts w:ascii="Arial" w:hAnsi="Arial"/>
          <w:sz w:val="22"/>
          <w:szCs w:val="22"/>
        </w:rPr>
      </w:pPr>
      <w:r>
        <w:rPr>
          <w:rFonts w:cs="Arial" w:ascii="Arial" w:hAnsi="Arial"/>
          <w:bCs/>
          <w:color w:val="000000"/>
          <w:sz w:val="22"/>
          <w:szCs w:val="22"/>
          <w:shd w:fill="auto" w:val="clear"/>
        </w:rPr>
        <w:t>N.º .........</w:t>
      </w:r>
    </w:p>
    <w:p>
      <w:pPr>
        <w:pStyle w:val="Normal"/>
        <w:widowControl w:val="false"/>
        <w:numPr>
          <w:ilvl w:val="0"/>
          <w:numId w:val="12"/>
        </w:numPr>
        <w:spacing w:lineRule="auto" w:line="360"/>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2"/>
        </w:numPr>
        <w:tabs>
          <w:tab w:val="clear" w:pos="408"/>
          <w:tab w:val="left" w:pos="9475" w:leader="none"/>
        </w:tabs>
        <w:spacing w:lineRule="auto" w:line="360"/>
        <w:jc w:val="both"/>
        <w:rPr>
          <w:rFonts w:ascii="Arial" w:hAnsi="Arial"/>
          <w:sz w:val="22"/>
          <w:szCs w:val="22"/>
        </w:rPr>
      </w:pPr>
      <w:r>
        <w:rPr>
          <w:rFonts w:cs="Arial" w:ascii="Arial" w:hAnsi="Arial"/>
          <w:color w:val="000000"/>
          <w:sz w:val="22"/>
          <w:szCs w:val="22"/>
          <w:shd w:fill="auto" w:val="clear"/>
        </w:rPr>
        <w:t xml:space="preserve">Aos XXXXX dias do mês de XXXXXX de dois mil e vinte e quatro, o </w:t>
      </w:r>
      <w:r>
        <w:rPr>
          <w:rFonts w:cs="Arial" w:ascii="Arial" w:hAnsi="Arial"/>
          <w:b/>
          <w:bCs/>
          <w:color w:val="000000"/>
          <w:sz w:val="22"/>
          <w:szCs w:val="22"/>
          <w:shd w:fill="auto" w:val="clear"/>
        </w:rPr>
        <w:t>MUNICÍPIO DE VERA CRUZ</w:t>
      </w:r>
      <w:r>
        <w:rPr>
          <w:rFonts w:cs="Arial" w:ascii="Arial" w:hAnsi="Arial"/>
          <w:color w:val="000000"/>
          <w:sz w:val="22"/>
          <w:szCs w:val="22"/>
          <w:shd w:fill="auto" w:val="clear"/>
        </w:rPr>
        <w:t xml:space="preserve">, pessoa jurídica de direito público interno, inscrito no CNPJ sob o n° 98.661.366/0001-06 e com sede à Av. Nestor Frederico Henn, 1645, nesta cidade, neste ato representado pelo seu Prefeito Municipal, Sr. </w:t>
      </w:r>
      <w:r>
        <w:rPr>
          <w:rFonts w:cs="Arial" w:ascii="Arial" w:hAnsi="Arial"/>
          <w:b/>
          <w:color w:val="000000"/>
          <w:sz w:val="22"/>
          <w:szCs w:val="22"/>
          <w:shd w:fill="auto" w:val="clear"/>
        </w:rPr>
        <w:t>GILSON A. BECKER</w:t>
      </w:r>
      <w:r>
        <w:rPr>
          <w:rFonts w:cs="Arial" w:ascii="Arial" w:hAnsi="Arial"/>
          <w:color w:val="000000"/>
          <w:sz w:val="22"/>
          <w:szCs w:val="22"/>
          <w:shd w:fill="auto" w:val="clear"/>
        </w:rPr>
        <w:t xml:space="preserve">, e de outro lado a(s) empresa(s) </w:t>
      </w:r>
      <w:r>
        <w:rPr>
          <w:rFonts w:cs="Arial" w:ascii="Arial" w:hAnsi="Arial"/>
          <w:b/>
          <w:bCs/>
          <w:color w:val="000000"/>
          <w:sz w:val="22"/>
          <w:szCs w:val="22"/>
          <w:shd w:fill="auto" w:val="clear"/>
        </w:rPr>
        <w:t>XXXXXXX</w:t>
      </w:r>
      <w:r>
        <w:rPr>
          <w:rFonts w:cs="Arial" w:ascii="Arial" w:hAnsi="Arial"/>
          <w:color w:val="000000"/>
          <w:sz w:val="22"/>
          <w:szCs w:val="22"/>
          <w:shd w:fill="auto" w:val="clear"/>
        </w:rPr>
        <w:t xml:space="preserve">, pessoa jurídica de direito privado, estabelecida na XXXXXXXXXXXXXXXXX, CEP XXXXXX, fone (XX) XXXXXXX, e-mail: XXXXXXXXXXXXXXXXXXX, inscrita no CNPJ sob nº XXXXXXXXXXXXXXXXX, legalmente representada por XXXXXXXXXXXX, brasileiro (a), inscrito no CPF sob o n° XXXXXXXXXXX, de acordo com a classificação por ela(s) alcançada(s) e na(s) quantidade(s) cotada(s), atendendo as condições previstas no </w:t>
      </w:r>
      <w:r>
        <w:rPr>
          <w:rFonts w:cs="Arial" w:ascii="Arial" w:hAnsi="Arial"/>
          <w:b/>
          <w:bCs/>
          <w:color w:val="000000"/>
          <w:sz w:val="22"/>
          <w:szCs w:val="22"/>
          <w:shd w:fill="auto" w:val="clear"/>
        </w:rPr>
        <w:t xml:space="preserve">PREGÃO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102</w:t>
      </w:r>
      <w:r>
        <w:rPr>
          <w:sz w:val="22"/>
          <w:b/>
          <w:shd w:fill="auto" w:val="clear"/>
          <w:szCs w:val="22"/>
          <w:bCs/>
          <w:rFonts w:cs="Arial" w:ascii="Arial" w:hAnsi="Arial"/>
          <w:color w:val="000000"/>
        </w:rPr>
        <w:fldChar w:fldCharType="end"/>
      </w:r>
      <w:r>
        <w:rPr>
          <w:rFonts w:cs="Arial" w:ascii="Arial" w:hAnsi="Arial"/>
          <w:b/>
          <w:bCs/>
          <w:color w:val="000000"/>
          <w:spacing w:val="14"/>
          <w:sz w:val="22"/>
          <w:szCs w:val="22"/>
          <w:shd w:fill="auto" w:val="clear"/>
          <w:lang w:eastAsia="pt-BR"/>
        </w:rPr>
        <w:t>/2024</w:t>
      </w:r>
      <w:r>
        <w:rPr>
          <w:rFonts w:cs="Arial" w:ascii="Arial" w:hAnsi="Arial"/>
          <w:color w:val="000000"/>
          <w:sz w:val="22"/>
          <w:szCs w:val="22"/>
          <w:shd w:fill="auto" w:val="clear"/>
        </w:rPr>
        <w:t>, sujeitando-se as partes às normas constantes na Lei nº 14.133, de 1º de abril de 2021, no Decreto n.º 11.462, de 31 de março de 2023, e em conformidade com as disposições a seguir:</w:t>
      </w:r>
    </w:p>
    <w:p>
      <w:pPr>
        <w:pStyle w:val="Default"/>
        <w:numPr>
          <w:ilvl w:val="0"/>
          <w:numId w:val="1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12"/>
        </w:numPr>
        <w:spacing w:lineRule="auto" w:line="360" w:before="0" w:after="0"/>
        <w:ind w:left="0" w:right="0" w:hanging="0"/>
        <w:jc w:val="both"/>
        <w:rPr>
          <w:rFonts w:ascii="Arial" w:hAnsi="Arial"/>
          <w:sz w:val="22"/>
          <w:szCs w:val="22"/>
        </w:rPr>
      </w:pPr>
      <w:r>
        <w:rPr>
          <w:rFonts w:cs="Arial"/>
          <w:color w:val="000000"/>
          <w:sz w:val="22"/>
          <w:szCs w:val="22"/>
          <w:shd w:fill="auto" w:val="clear"/>
        </w:rPr>
        <w:t>1. DO OBJETO</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 xml:space="preserve">1.1 </w:t>
      </w:r>
      <w:r>
        <w:rPr>
          <w:rFonts w:cs="Arial" w:ascii="Arial" w:hAnsi="Arial"/>
          <w:color w:val="000000"/>
          <w:sz w:val="22"/>
          <w:szCs w:val="22"/>
          <w:shd w:fill="auto" w:val="clear"/>
        </w:rPr>
        <w:t xml:space="preserve">O objeto da </w:t>
      </w:r>
      <w:r>
        <w:rPr>
          <w:rFonts w:cs="Arial" w:ascii="Arial" w:hAnsi="Arial"/>
          <w:b w:val="false"/>
          <w:bCs w:val="false"/>
          <w:color w:val="000000"/>
          <w:sz w:val="22"/>
          <w:szCs w:val="22"/>
          <w:shd w:fill="auto" w:val="clear"/>
        </w:rPr>
        <w:t xml:space="preserve">presente Ata é o Registro dos Preços visando a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DE MATERIAL ESPORTIVO</w:t>
      </w:r>
      <w:r>
        <w:rPr>
          <w:sz w:val="22"/>
          <w:b/>
          <w:shd w:fill="auto" w:val="clear"/>
          <w:szCs w:val="22"/>
          <w:bCs/>
          <w:rFonts w:cs="Arial" w:ascii="Arial" w:hAnsi="Arial"/>
          <w:color w:val="000000"/>
        </w:rPr>
        <w:fldChar w:fldCharType="end"/>
      </w:r>
      <w:r>
        <w:rPr>
          <w:rFonts w:cs="Arial" w:ascii="Arial" w:hAnsi="Arial"/>
          <w:b w:val="false"/>
          <w:bCs w:val="false"/>
          <w:color w:val="000000"/>
          <w:sz w:val="22"/>
          <w:szCs w:val="22"/>
          <w:shd w:fill="auto" w:val="clear"/>
        </w:rPr>
        <w:t xml:space="preserve">, conforme nas Requisições de Compras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Nreq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1338</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/2024, conforme descrição, marcas e preços constantes da Proposta, parte integrante do Pregão Eletrônico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102</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/2024, para Registro de Preços.</w:t>
      </w:r>
    </w:p>
    <w:p>
      <w:pPr>
        <w:pStyle w:val="Nivel2"/>
        <w:numPr>
          <w:ilvl w:val="0"/>
          <w:numId w:val="12"/>
        </w:numPr>
        <w:spacing w:lineRule="auto" w:line="360" w:before="0" w:after="0"/>
        <w:ind w:left="1283" w:right="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12"/>
        </w:numPr>
        <w:spacing w:lineRule="auto" w:line="360" w:before="0" w:after="0"/>
        <w:ind w:left="0" w:right="0" w:hanging="0"/>
        <w:jc w:val="both"/>
        <w:rPr>
          <w:rFonts w:ascii="Arial" w:hAnsi="Arial"/>
          <w:sz w:val="22"/>
          <w:szCs w:val="22"/>
        </w:rPr>
      </w:pPr>
      <w:r>
        <w:rPr>
          <w:rFonts w:cs="Arial"/>
          <w:color w:val="000000"/>
          <w:sz w:val="22"/>
          <w:szCs w:val="22"/>
          <w:shd w:fill="auto" w:val="clear"/>
        </w:rPr>
        <w:t>2. DOS PREÇOS, ESPECIFICAÇÕES E QUANTITATIVOS</w:t>
      </w:r>
    </w:p>
    <w:p>
      <w:pPr>
        <w:pStyle w:val="Nivel2"/>
        <w:numPr>
          <w:ilvl w:val="0"/>
          <w:numId w:val="12"/>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 xml:space="preserve">2.1 </w:t>
      </w:r>
      <w:r>
        <w:rPr>
          <w:rFonts w:cs="Arial" w:ascii="Arial" w:hAnsi="Arial"/>
          <w:color w:val="000000"/>
          <w:sz w:val="22"/>
          <w:szCs w:val="22"/>
          <w:shd w:fill="auto" w:val="clear"/>
        </w:rPr>
        <w:t xml:space="preserve">O preço registrado, as especificações do objeto, as quantidades mínimas e máximas de cada item, fornecedor(es) e as demais condições ofertadas na(s) proposta(s) são as que seguem: </w:t>
      </w:r>
    </w:p>
    <w:tbl>
      <w:tblPr>
        <w:tblW w:w="10200" w:type="dxa"/>
        <w:jc w:val="left"/>
        <w:tblInd w:w="144" w:type="dxa"/>
        <w:tblLayout w:type="fixed"/>
        <w:tblCellMar>
          <w:top w:w="0" w:type="dxa"/>
          <w:left w:w="108" w:type="dxa"/>
          <w:bottom w:w="0" w:type="dxa"/>
          <w:right w:w="108" w:type="dxa"/>
        </w:tblCellMar>
      </w:tblPr>
      <w:tblGrid>
        <w:gridCol w:w="616"/>
        <w:gridCol w:w="1026"/>
        <w:gridCol w:w="851"/>
        <w:gridCol w:w="5038"/>
        <w:gridCol w:w="1311"/>
        <w:gridCol w:w="1357"/>
      </w:tblGrid>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b w:val="false"/>
                <w:bCs w:val="false"/>
                <w:sz w:val="20"/>
                <w:szCs w:val="20"/>
              </w:rPr>
            </w:pPr>
            <w:r>
              <w:rPr>
                <w:rFonts w:eastAsia="Calibri" w:cs="Arial" w:ascii="Arial" w:hAnsi="Arial"/>
                <w:b w:val="false"/>
                <w:bCs w:val="false"/>
                <w:sz w:val="20"/>
                <w:szCs w:val="20"/>
              </w:rPr>
              <w:t>Item</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b w:val="false"/>
                <w:bCs w:val="false"/>
              </w:rPr>
            </w:pPr>
            <w:r>
              <w:rPr>
                <w:rFonts w:eastAsia="Calibri" w:cs="Arial" w:ascii="Arial" w:hAnsi="Arial"/>
                <w:b w:val="false"/>
                <w:bCs w:val="false"/>
                <w:sz w:val="20"/>
                <w:szCs w:val="20"/>
              </w:rPr>
              <w:t xml:space="preserve">Código </w:t>
            </w:r>
            <w:r>
              <w:rPr>
                <w:rFonts w:eastAsia="Calibri" w:cs="Arial" w:ascii="Arial" w:hAnsi="Arial"/>
                <w:b w:val="false"/>
                <w:bCs w:val="false"/>
                <w:sz w:val="18"/>
                <w:szCs w:val="18"/>
              </w:rPr>
              <w:t>CATMAT</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b w:val="false"/>
                <w:bCs w:val="false"/>
                <w:sz w:val="20"/>
                <w:szCs w:val="20"/>
              </w:rPr>
            </w:pPr>
            <w:r>
              <w:rPr>
                <w:rFonts w:eastAsia="Calibri" w:cs="Arial" w:ascii="Arial" w:hAnsi="Arial"/>
                <w:b w:val="false"/>
                <w:bCs w:val="false"/>
                <w:sz w:val="20"/>
                <w:szCs w:val="20"/>
              </w:rPr>
              <w:t>Quant</w:t>
            </w:r>
          </w:p>
        </w:tc>
        <w:tc>
          <w:tcPr>
            <w:tcW w:w="5038"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b w:val="false"/>
                <w:bCs w:val="false"/>
                <w:sz w:val="20"/>
                <w:szCs w:val="20"/>
              </w:rPr>
            </w:pPr>
            <w:r>
              <w:rPr>
                <w:rFonts w:eastAsia="Calibri" w:cs="Arial" w:ascii="Arial" w:hAnsi="Arial"/>
                <w:b w:val="false"/>
                <w:bCs w:val="false"/>
                <w:sz w:val="20"/>
                <w:szCs w:val="20"/>
              </w:rPr>
              <w:t>Objeto</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b w:val="false"/>
                <w:bCs w:val="false"/>
                <w:sz w:val="20"/>
                <w:szCs w:val="20"/>
              </w:rPr>
            </w:pPr>
            <w:r>
              <w:rPr>
                <w:rFonts w:eastAsia="Calibri" w:cs="Arial" w:ascii="Arial" w:hAnsi="Arial"/>
                <w:b w:val="false"/>
                <w:bCs w:val="false"/>
                <w:sz w:val="20"/>
                <w:szCs w:val="20"/>
              </w:rPr>
              <w:t>Valor unit. R$</w:t>
            </w:r>
          </w:p>
        </w:tc>
        <w:tc>
          <w:tcPr>
            <w:tcW w:w="1357"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jc w:val="center"/>
              <w:rPr>
                <w:rFonts w:ascii="Arial" w:hAnsi="Arial" w:eastAsia="Calibri" w:cs="Arial"/>
                <w:b w:val="false"/>
                <w:bCs w:val="false"/>
                <w:sz w:val="20"/>
                <w:szCs w:val="20"/>
              </w:rPr>
            </w:pPr>
            <w:r>
              <w:rPr>
                <w:rFonts w:eastAsia="Calibri" w:cs="Arial" w:ascii="Arial" w:hAnsi="Arial"/>
                <w:b w:val="false"/>
                <w:bCs w:val="false"/>
                <w:sz w:val="20"/>
                <w:szCs w:val="20"/>
              </w:rPr>
              <w:t>Valor total R$</w:t>
            </w:r>
          </w:p>
        </w:tc>
      </w:tr>
      <w:tr>
        <w:trPr/>
        <w:tc>
          <w:tcPr>
            <w:tcW w:w="10199"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pacing w:lineRule="auto" w:line="360"/>
              <w:jc w:val="center"/>
              <w:rPr>
                <w:b w:val="false"/>
                <w:bCs w:val="false"/>
              </w:rPr>
            </w:pPr>
            <w:r>
              <w:rPr>
                <w:rFonts w:eastAsia="Calibri" w:cs="Arial" w:ascii="Arial" w:hAnsi="Arial"/>
                <w:b w:val="false"/>
                <w:bCs w:val="false"/>
              </w:rPr>
              <w:t>GRUPO I – MATERIAL EDUCATIVO E ESPORTIVO</w:t>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450234</w:t>
            </w:r>
          </w:p>
          <w:p>
            <w:pPr>
              <w:pStyle w:val="Normal"/>
              <w:widowControl w:val="false"/>
              <w:numPr>
                <w:ilvl w:val="0"/>
                <w:numId w:val="12"/>
              </w:numPr>
              <w:snapToGrid w:val="false"/>
              <w:spacing w:lineRule="auto" w:line="360"/>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cs="Arial"/>
                <w:b w:val="false"/>
                <w:bCs w:val="false"/>
                <w:sz w:val="20"/>
                <w:szCs w:val="20"/>
              </w:rPr>
            </w:pPr>
            <w:r>
              <w:rPr>
                <w:rFonts w:cs="Arial" w:ascii="Arial" w:hAnsi="Arial"/>
                <w:b w:val="false"/>
                <w:bCs w:val="false"/>
                <w:sz w:val="20"/>
                <w:szCs w:val="20"/>
              </w:rPr>
              <w:t>BOLA HANDEBOL, (MACIA) MATERIAL: POLIURETANO, PESO CHEIA:290 A 330 G, CARACTERÍSTICAS ADICIONAIS: COSTURADA EM PVC, CÂMARA BUTIL, MIOLO REMOVÍVEL, CIRCUNFERÊNCIA:50 A 52 CM, MODELO: MIRIM (TAMANHO 1).</w:t>
            </w:r>
          </w:p>
          <w:p>
            <w:pPr>
              <w:pStyle w:val="Normal"/>
              <w:widowControl w:val="false"/>
              <w:numPr>
                <w:ilvl w:val="0"/>
                <w:numId w:val="12"/>
              </w:numPr>
              <w:rPr>
                <w:rFonts w:ascii="Arial" w:hAnsi="Arial" w:cs="Arial"/>
                <w:b w:val="false"/>
                <w:bCs w:val="false"/>
                <w:sz w:val="20"/>
                <w:szCs w:val="20"/>
              </w:rPr>
            </w:pPr>
            <w:r>
              <w:rPr>
                <w:rFonts w:cs="Arial" w:ascii="Arial" w:hAnsi="Arial"/>
                <w:b w:val="false"/>
                <w:bCs w:val="false"/>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b w:val="false"/>
                <w:bCs w:val="false"/>
              </w:rPr>
            </w:pPr>
            <w:r>
              <w:rPr>
                <w:rFonts w:eastAsia="Arial" w:cs="Arial" w:ascii="Arial" w:hAnsi="Arial"/>
                <w:b w:val="false"/>
                <w:bCs w:val="false"/>
                <w:color w:val="000000"/>
                <w:sz w:val="20"/>
                <w:szCs w:val="20"/>
                <w:shd w:fill="FFFFFE" w:val="clear"/>
              </w:rPr>
              <w:t xml:space="preserve"> </w:t>
            </w:r>
            <w:r>
              <w:rPr>
                <w:rFonts w:eastAsia="Calibri" w:cs="Arial" w:ascii="Arial" w:hAnsi="Arial"/>
                <w:b w:val="false"/>
                <w:bCs w:val="false"/>
                <w:color w:val="000000"/>
                <w:sz w:val="20"/>
                <w:szCs w:val="20"/>
                <w:shd w:fill="FFFFFE" w:val="clear"/>
              </w:rPr>
              <w:t>450233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HANDEBOL, (MACIA) MATERIAL: POLIURETANO, PESO CHEIA:325 A 375 G, CARACTERÍSTICAS ADICIONAIS: COSTURADA EM PVC, CÂMARA BUTIL, MIOLO REMOVÍVEL, CIRCUNFERÊNCIA:54 A 56 CM, MODELO: FEMININO (TAMANHO 2).</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w:t>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Arial" w:cs="Arial"/>
                <w:b w:val="false"/>
                <w:bCs w:val="false"/>
                <w:color w:val="000000"/>
                <w:sz w:val="20"/>
                <w:szCs w:val="20"/>
                <w:shd w:fill="FFFFFE" w:val="clear"/>
              </w:rPr>
            </w:pPr>
            <w:r>
              <w:rPr>
                <w:rFonts w:eastAsia="Arial"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403733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FUTSAL, MATERIAL: PU, PESO CHEIA:410 A 440 G, CIRCUNFERÊNCIA:61 A 64 CM, VULCANIZADA OU TERMOCOLADA, MIOLO SUBSTITUÍVEL, CÂMARA AIRVILITY OU AIRBILITY. TIPO PENALTY, TOPPER, KAGIVA, UMBRO OU SUPERIOR. EM CASO DE DIVERGÊNCIA COM O CÓDIGO CATMAT, SERÁ LEVADO EM CONTA A DESCRIÇÃO DO PRODUTO NO EDITAL.</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b w:val="false"/>
                <w:bCs w:val="false"/>
              </w:rPr>
            </w:pPr>
            <w:r>
              <w:rPr>
                <w:rFonts w:eastAsia="Arial" w:cs="Arial" w:ascii="Arial" w:hAnsi="Arial"/>
                <w:b w:val="false"/>
                <w:bCs w:val="false"/>
                <w:color w:val="000000"/>
                <w:sz w:val="20"/>
                <w:szCs w:val="20"/>
                <w:shd w:fill="FFFFFE" w:val="clear"/>
              </w:rPr>
              <w:t xml:space="preserve"> </w:t>
            </w:r>
            <w:r>
              <w:rPr>
                <w:rFonts w:eastAsia="Calibri" w:cs="Arial" w:ascii="Arial" w:hAnsi="Arial"/>
                <w:b w:val="false"/>
                <w:bCs w:val="false"/>
                <w:color w:val="000000"/>
                <w:sz w:val="20"/>
                <w:szCs w:val="20"/>
                <w:shd w:fill="FFFFFE" w:val="clear"/>
              </w:rPr>
              <w:t>442687</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pacing w:before="0" w:after="240"/>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FUTSAL ADULTO OFICIAL (PARA COMPETIÇÃO), DIÂMETRO 61 – 64 CM, PESO 410 – 440GR, CÂMARA AIRBILITY, TERMOTEC, PU ULTRA 100%, MIOLO SLIP SYSTEM REMOVÍVEL E LUBRIFICADO, COSTURADA, COM REGISTRO E APROVAÇÃO DA CBFS, FIFA QUALITY.</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5</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480256</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200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FUTSAL INFANTIL PARA COMPETIÇÃO, DIÂMETRO 55 – 59 CM, PESO 350 – 380GR, CÂMARA AIRBILITY OU TERMOTEC, PU ULTRA 100%, MIOLO SLIP SYSTEM REMOVÍVEL E LUBRIFICADO. TIPO PENALTY RX 200 OU SUPERIOR</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403837</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VOLEIBOL ADULTO OFICIAL DE COMPETIÇÃO, DIÂMETRO 65 – 67 CM, PESO 260 – 280GR, CÂMARA AIRBILITY, MATRIZADA, MICROFIBRA, MIOLO SLIP SYSTEM REMOVÍVEL E LUBRIFICADO, APROVADO E CHANCELADA PELA FIVB. TIPO MIKASA V200W, PENALTY 8.0 PRÓ OU SUPERIOR</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7</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335432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VOLEIBOL, CIRCUNFERÊNCIA:65 A 67 CM, CARACTERÍSTICAS ADICIONAIS: CONFECCIONADA EM PU, CÂMARA BUTIL, AIRBILITY, AIRVILITY OU EVACEL, MIOLO REMOVÍVEL, VULCANIZADA OU COLADA. TIPO KAGIVA PRO, PENALTY 6.0, RAINHA, PENALTY VP 5000 OU SUPERIOR.</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8</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258982</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20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rPr>
                <w:b w:val="false"/>
                <w:bCs w:val="false"/>
              </w:rPr>
            </w:pPr>
            <w:r>
              <w:rPr>
                <w:rFonts w:eastAsia="Calibri" w:cs="Arial" w:ascii="Arial" w:hAnsi="Arial"/>
                <w:b w:val="false"/>
                <w:bCs w:val="false"/>
                <w:color w:val="000000"/>
                <w:sz w:val="19"/>
                <w:szCs w:val="20"/>
              </w:rPr>
              <w:t xml:space="preserve">BOLA VOLEIBOL DE </w:t>
            </w:r>
            <w:r>
              <w:rPr>
                <w:rFonts w:eastAsia="Calibri" w:cs="Arial" w:ascii="Arial" w:hAnsi="Arial"/>
                <w:b w:val="false"/>
                <w:bCs w:val="false"/>
                <w:i/>
                <w:iCs/>
                <w:color w:val="000000"/>
                <w:sz w:val="19"/>
                <w:szCs w:val="20"/>
                <w:u w:val="single"/>
              </w:rPr>
              <w:t>PRAIA</w:t>
            </w:r>
            <w:r>
              <w:rPr>
                <w:rFonts w:eastAsia="Calibri" w:cs="Arial" w:ascii="Arial" w:hAnsi="Arial"/>
                <w:b w:val="false"/>
                <w:bCs w:val="false"/>
                <w:color w:val="000000"/>
                <w:sz w:val="19"/>
                <w:szCs w:val="20"/>
              </w:rPr>
              <w:t xml:space="preserve"> OFICIAL ADULTO PARA COMPETIÇÃO: MATERIAL: MICROFIBRA, PESO CHEIA:260 A 280 G, CIRCUNFERÊNCIA:65 A 67 CM, TIPO USO: ADULTO (CHANCELADA E APROVADA PELA FIVB), PRESSÃO:03 – 04 LB, APLICAÇÃO: VOLEI DE PRAIA, MODELO: PRO, CARACTERíSTICAS ADICIONAIS: COLORIDA. TIPO PENALTY OU MIKASA</w:t>
            </w:r>
          </w:p>
          <w:p>
            <w:pPr>
              <w:pStyle w:val="Normal"/>
              <w:widowControl w:val="false"/>
              <w:numPr>
                <w:ilvl w:val="0"/>
                <w:numId w:val="12"/>
              </w:numP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9</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14832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500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DE VÔLEI EM EVA VULCANIZADO. MATERIAL EXTERNO – EVA – PESO MÍNIMO 70GR, CIRCUNFERÊNCIA – 65 – 67CM, PESO MÍNIMO DA BOLA PRONTA 160GR</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10</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14836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BASQUETE ADULTO MASCULINO OFICIAL, DIÂMETRO 75 – 78 CM, PESO 600 – 650GR, MICROLINE, MATRIZADA, BORRACHA, MIOLO REMOVÍVEL. TIPO VOLLO POKER OU SUPERIOR</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11</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305575</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40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DE BASQUETEBOL PARA COMPETIÇÃO – BOLA BASQUETE ADULTO MASCULINO OFICIAL, DIÂMETRO 75 – 78 CM, PESO 600 – 650GR, CÂMARA AIRBILITY, MATRIZADA, MICROFIBRA, MIOLO SLIP SYSTEM REMOVÍVEL E LUBRIFICADO, COM APROVAÇÃO E CHANCELA NBB E FIBA, TIPO PENALTY/ 7.8 CROSSOVER OU SUPERIOR</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12</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472016</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left"/>
              <w:rPr>
                <w:rFonts w:ascii="Arial" w:hAnsi="Arial" w:eastAsia="Calibri" w:cs="Arial"/>
                <w:b w:val="false"/>
                <w:bCs w:val="false"/>
                <w:i w:val="false"/>
                <w:i w:val="false"/>
                <w:strike w:val="false"/>
                <w:dstrike w:val="false"/>
                <w:outline w:val="false"/>
                <w:shadow w:val="false"/>
                <w:color w:val="000000"/>
                <w:sz w:val="19"/>
                <w:szCs w:val="20"/>
                <w:u w:val="none"/>
                <w:em w:val="none"/>
              </w:rPr>
            </w:pPr>
            <w:r>
              <w:rPr>
                <w:rFonts w:eastAsia="Calibri" w:cs="Arial" w:ascii="Arial" w:hAnsi="Arial"/>
                <w:b w:val="false"/>
                <w:bCs w:val="false"/>
                <w:i w:val="false"/>
                <w:strike w:val="false"/>
                <w:dstrike w:val="false"/>
                <w:outline w:val="false"/>
                <w:shadow w:val="false"/>
                <w:color w:val="000000"/>
                <w:sz w:val="19"/>
                <w:szCs w:val="20"/>
                <w:u w:val="none"/>
                <w:em w:val="none"/>
              </w:rPr>
              <w:t>BOLA FUTEBOL, MATERIAL:100% TERMOPLÁSTICO POLIURETANO, PESO CHEIA: 420 A 435 G, CIRCUNFERÊNCIA: 66,5 A 67,5 CM, MODELO: FUTEBOL SOCIETY. BOLA ADULTO OFICIAL PARA COMPETIÇÃO CHANCELADA PELA FIFA E CBF. TIPO PENALTY 8X, SE7E PRÓ OU SUPERIOR.</w:t>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13</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480257</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left"/>
              <w:rPr>
                <w:rFonts w:ascii="Arial" w:hAnsi="Arial" w:eastAsia="Calibri" w:cs="Arial"/>
                <w:b w:val="false"/>
                <w:bCs w:val="false"/>
                <w:i w:val="false"/>
                <w:i w:val="false"/>
                <w:strike w:val="false"/>
                <w:dstrike w:val="false"/>
                <w:outline w:val="false"/>
                <w:shadow w:val="false"/>
                <w:color w:val="000000"/>
                <w:sz w:val="19"/>
                <w:szCs w:val="20"/>
                <w:u w:val="none"/>
                <w:em w:val="none"/>
              </w:rPr>
            </w:pPr>
            <w:r>
              <w:rPr>
                <w:rFonts w:eastAsia="Calibri" w:cs="Arial" w:ascii="Arial" w:hAnsi="Arial"/>
                <w:b w:val="false"/>
                <w:bCs w:val="false"/>
                <w:i w:val="false"/>
                <w:strike w:val="false"/>
                <w:dstrike w:val="false"/>
                <w:outline w:val="false"/>
                <w:shadow w:val="false"/>
                <w:color w:val="000000"/>
                <w:sz w:val="19"/>
                <w:szCs w:val="20"/>
                <w:u w:val="none"/>
                <w:em w:val="none"/>
              </w:rPr>
              <w:t>BOLA FUTEBOL DE CAMPO ADULTA, MATERIAL: POLIURETANO, PESO CHEIA: 410 A 450 G, CARACTERÍSTICAS ADICIONAIS: MIOLO REMOVÍVEL E LUBRIFICADO, CIRCUNFERÊNCIA:68 A 70 CM, MODELO: FUTEBOL DE CAMPO OFICIAL, PARA COMPETIÇÃO CHANCELADA PELA FIFA. TIPO PENALTY 8 FIFA, PENALTY S11 ECOKNIT XXV FIFA OU SUPERIOR.</w:t>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14</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274322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08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PARA CESTA DE BASQUETEBOL (PAR): REDE PARA BASQUETEBOL 12 ALÇAS, NO MÍNIMO FIO 5 MM (SEDA – SEM ALMA), TRANÇADO ENTRE NÓS 7X7 CM, 45 CM DE DIÂMETRO X 50 CM DE COMPRIMENTO.</w:t>
            </w:r>
          </w:p>
          <w:p>
            <w:pPr>
              <w:pStyle w:val="Normal"/>
              <w:widowControl w:val="false"/>
              <w:numPr>
                <w:ilvl w:val="0"/>
                <w:numId w:val="12"/>
              </w:numPr>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15</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251693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12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DE VOLEIBOL OFICIAL: CONFECCIONADA EM FIO 2,0 MM, SEM ALMA, EM SEDA (PRETO) COM TRATAMENTO UV – MALHA 10 CM ENTRE NÓS, E TAMANHO MÍNIMO DE 9,75 METROS DE COMPRIMENTO E NO 1 METRO DE LARGURA, COM AS 4 FAIXAS EM ALGODÃO (BRANCAS), COM AS SEGUINTES MEDIDAS: SUPERIOR 7 CM – INFERIOR E LATERAIS 5 CM, TODAS CONFECCIONADAS EM 100% ALGODÃO, COM ILHOSES NAS PONTAS E CORDA GUIA.</w:t>
            </w:r>
          </w:p>
          <w:p>
            <w:pPr>
              <w:pStyle w:val="Normal"/>
              <w:widowControl w:val="false"/>
              <w:numPr>
                <w:ilvl w:val="0"/>
                <w:numId w:val="12"/>
              </w:numPr>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16</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211571</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DE FUTSAL (PAR): REDE PARA GOLEIRA DE FUTSAL, POPULARMENTE CONHECIDA COMO “VÉU DE NOIVA”. CONFECCIONADA EM FIO DE SEDA DE NO MÍNIMO 5 MM (SEM ALMA) E MALHA MÁXIMA DE 12 CM X 12 CM ENTRE NÓS, CONFECCIONADA A MÃO (COM NÓ), COM ALTURA DE MÍNIMA DE 2,10 METROS, COMPRIMENTO MÍNIMO DE 3,00 METROS, FUNDO SUPERIOR MÍNIMO DE 0,50 METRO E FUNDO INFERIOR MÍNIMO DE 1,00 METRO, COM PROTEÇÃO/TRATAMENTO ULTRAVIOLETA. EM CASO DE DIVERGÊNCIA COM O CÓDIGO CATMAT, SERÁ LEVADO EM CONTA A DESCRIÇÃO DO PRODUTO NO EDITAL.</w:t>
            </w:r>
          </w:p>
          <w:p>
            <w:pPr>
              <w:pStyle w:val="Normal"/>
              <w:widowControl w:val="false"/>
              <w:numPr>
                <w:ilvl w:val="0"/>
                <w:numId w:val="12"/>
              </w:numPr>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17</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MULTIUSO PARA BEACH TÊNIS, VOLEIBOL DE AREIA E FUTVÔLEI. CONFECCIONADA EM POLIETILENO DE ALTA DENSIDADE, 100% VIRGEM COM TRATAMENTO ANTI-UV (PARA USO EXTERNO), E COM UM ILHÓS EM METAL GALVANIZADO EM CADA EXTREMIDADE. MEDIDA DA REDE: 1,00M DE ALTURA X 9,50M DE COMPRIMENTO, COM 4 FAIXAS DE BORDA EM NYLON NA COR LARANJA (PARA FACILITAR A VISUALIZAÇÃO AO SOL). MALHA: 5CM X 5CM NA COR DA PRETA CONFECCIONADA COM FIO 2MM TORCIDO.</w:t>
            </w:r>
          </w:p>
          <w:p>
            <w:pPr>
              <w:pStyle w:val="Normal"/>
              <w:widowControl w:val="false"/>
              <w:numPr>
                <w:ilvl w:val="0"/>
                <w:numId w:val="12"/>
              </w:numPr>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18</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602799</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40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REDE ESPORTE, MATERIAL: NÁILON, APLICAÇÃO: TÊNIS DE MESA, CARACTERÍSTICAS ADICIONAIS: TAMANHO OFICIAL, COM SUPORTE (QUE PRENDA NA MESA COM SISTEMA DE ATARRAXAR – PARAFUSO OU BORBOLETA)</w:t>
            </w:r>
          </w:p>
          <w:p>
            <w:pPr>
              <w:pStyle w:val="Normal"/>
              <w:widowControl w:val="false"/>
              <w:numPr>
                <w:ilvl w:val="0"/>
                <w:numId w:val="12"/>
              </w:numPr>
              <w:jc w:val="both"/>
              <w:rPr>
                <w:rFonts w:ascii="Calibri" w:hAnsi="Calibri" w:eastAsia="Calibri" w:cs="Calibri"/>
                <w:b w:val="false"/>
                <w:bCs w:val="false"/>
                <w:color w:val="000000"/>
                <w:sz w:val="20"/>
                <w:szCs w:val="20"/>
              </w:rPr>
            </w:pPr>
            <w:r>
              <w:rPr>
                <w:rFonts w:eastAsia="Calibri" w:cs="Calibri" w:ascii="Calibri" w:hAnsi="Calibri"/>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19</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466312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snapToGrid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EQUIPAMENTO PARA CONDICIONAMENTO FÍSICO, TIPO: PELOTA, MATERIAL: COURO, APLICAÇÃO: CONDICIONAMENTO FÍSICO, CARACTERÍSTICAS ADICIONAIS: PESO: 250G, DIMENSÕES:6,5CM A 7,5CM CM</w:t>
            </w:r>
          </w:p>
          <w:p>
            <w:pPr>
              <w:pStyle w:val="Normal"/>
              <w:widowControl w:val="false"/>
              <w:numPr>
                <w:ilvl w:val="0"/>
                <w:numId w:val="12"/>
              </w:numPr>
              <w:snapToGrid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20</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447896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DARDO PEÇAS E ACESSÓRIOS, TIPO: DARDO, MATERIAL: ALUMÍNIO, CARACTERÍSTICAS ADICIONAIS: PESO: 800 G, CABEÇA DE AÇO, EMPUNHADURA DE CORDA, APLICAÇÃO: ATLETISMO PARA LANÇAMENTO</w:t>
            </w:r>
          </w:p>
          <w:p>
            <w:pPr>
              <w:pStyle w:val="Normal"/>
              <w:widowControl w:val="false"/>
              <w:numPr>
                <w:ilvl w:val="0"/>
                <w:numId w:val="12"/>
              </w:numPr>
              <w:snapToGrid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21</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288039</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15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DARDO PEÇAS E ACESSÓRIOS, TIPO: DARDO, MATERIAL: FIBRA DE AÇO CARBONO, CARACTERÍSTICAS ADICIONAIS: PESO: 600G, CABEÇA DE AÇO ULTRAFINA, APLICAÇÃO: ATLETISMO PARA LANÇAMENTO</w:t>
            </w:r>
          </w:p>
          <w:p>
            <w:pPr>
              <w:pStyle w:val="Normal"/>
              <w:widowControl w:val="false"/>
              <w:numPr>
                <w:ilvl w:val="0"/>
                <w:numId w:val="12"/>
              </w:numPr>
              <w:snapToGrid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22</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237593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snapToGrid w:val="false"/>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BASTÃO PARA REVEZAMENTO (ATLETISMO), MATERIAL: ALUMÍNIO, TAMANHO: OFICIAL (IAAF)</w:t>
            </w:r>
          </w:p>
          <w:p>
            <w:pPr>
              <w:pStyle w:val="Normal"/>
              <w:widowControl w:val="false"/>
              <w:numPr>
                <w:ilvl w:val="0"/>
                <w:numId w:val="12"/>
              </w:numPr>
              <w:snapToGrid w:val="false"/>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23</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604846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bidi w:val="0"/>
              <w:jc w:val="left"/>
              <w:rPr>
                <w:rFonts w:ascii="Arial" w:hAnsi="Arial" w:eastAsia="Calibri" w:cs="Arial"/>
                <w:b w:val="false"/>
                <w:bCs w:val="false"/>
                <w:i w:val="false"/>
                <w:i w:val="false"/>
                <w:strike w:val="false"/>
                <w:dstrike w:val="false"/>
                <w:outline w:val="false"/>
                <w:shadow w:val="false"/>
                <w:color w:val="000000"/>
                <w:sz w:val="19"/>
                <w:szCs w:val="20"/>
                <w:u w:val="none"/>
                <w:em w:val="none"/>
              </w:rPr>
            </w:pPr>
            <w:r>
              <w:rPr>
                <w:rFonts w:eastAsia="Calibri" w:cs="Arial" w:ascii="Arial" w:hAnsi="Arial"/>
                <w:b w:val="false"/>
                <w:bCs w:val="false"/>
                <w:i w:val="false"/>
                <w:strike w:val="false"/>
                <w:dstrike w:val="false"/>
                <w:outline w:val="false"/>
                <w:shadow w:val="false"/>
                <w:color w:val="000000"/>
                <w:sz w:val="19"/>
                <w:szCs w:val="20"/>
                <w:u w:val="none"/>
                <w:em w:val="none"/>
              </w:rPr>
              <w:t>PESO DE ATLETISMO PARA ARREMESSO DE 5,00KG, COM NO MÁXIMO 115 MM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bidi w:val="0"/>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bidi w:val="0"/>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24</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604847</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PESO DE ATLETISMO PARA ARREMESSO DE 4,00KG, COM NO MÁXIMO 103MM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25</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604847</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PESO DE ATLETISMO PARA ARREMESSO DE 3,00KG  - CERTIFICADO WA-IAAF. ACABAMENTO RÍGIDO DE AÇO GALVANIZADO E PINTADO. NÚCLEO DE CHUMBO. PESO E DIÂMETRO PRECISOS, FORMATO ESFÉRICO E EQUILÍBRIO PERFEITOS. SUPERFÍCIE TOTALMENTE LISA. PRODUTO OFICIAL. TIPO VINEX OU SUPERIOR. EM CASO DE DIVERGÊNCIA COM O CÓDIGO CATMAT, SERÁ LEVADO EM CONTA A DESCRIÇÃO DO PRODUTO NO EDITAL.</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26</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604823</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DISCO PARA LANÇAMENTO DE DISCO DE ATLETISMO. OFICIAL DE AÇO/ABS 2,00 KG. INDICADO PARA COMPETIÇÕES OU TREINAMENTO. 70~75% DE PESO NAS BORDAS. CENTRO E BORDAS DE AÇO GALVANIZADO, PRATOS DE PLÁSTICO ABS DE ALTA RESISTÊNCIA REFORÇADOS COM FIBRA DE VIDRO. CERTIFICADO PELA IAAF. TIPO VINEX OU SUPERIOR. EM CASO DE DIVERGÊNCIA COM O CÓDIGO CATMAT, SERÁ LEVADO EM CONTA A DESCRIÇÃO DO PRODUTO NO EDITAL.</w:t>
            </w:r>
          </w:p>
          <w:p>
            <w:pPr>
              <w:pStyle w:val="Normal"/>
              <w:widowControl w:val="false"/>
              <w:numPr>
                <w:ilvl w:val="0"/>
                <w:numId w:val="12"/>
              </w:numP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27</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604824</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DISCO PARA LANÇAMENTO DE DISCO DE ATLETISMO. OFICIAL DE AÇO/ABS 1,00 KG. INDICADO PARA COMPETIÇÕES OU TREINAMENTO. 70~75% DE PESO NAS BORDAS. CENTRO E BORDAS DE AÇO GALVANIZADO, PRATOS DE PLÁSTICO ABS DE ALTA RESISTÊNCIA REFORÇADOS COM FIBRA DE VIDRO. CERTIFICADO PELA IAAF. TIPO VINEX OU SUPERIOR. EM CASO DE DIVERGÊNCIA COM O CÓDIGO CATMAT, SERÁ LEVADO EM CONTA A DESCRIÇÃO DO PRODUTO NO EDITAL.</w:t>
            </w:r>
          </w:p>
          <w:p>
            <w:pPr>
              <w:pStyle w:val="Normal"/>
              <w:widowControl w:val="false"/>
              <w:numPr>
                <w:ilvl w:val="0"/>
                <w:numId w:val="12"/>
              </w:numP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28</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471988</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40 UN</w:t>
            </w:r>
          </w:p>
        </w:tc>
        <w:tc>
          <w:tcPr>
            <w:tcW w:w="5038"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MESA TÊNIS DE MESA: MATERIAL TAMPO: MDF, MATERIAL ESTRUTURA: TUBO DE AÇO, TIPO: DOBRÁVEL, ACABAMENTO TAMPO: PINTADO, ACABAMENTO ESTRUTURA: PINTURA, ESPESSURA TAMPO:25 MM, COR: AZUL, CARACTERÍSTICAS: COM MEDIDAS OFICIAIS PADRÃO ITTF (INTERNATIONAL).</w:t>
            </w:r>
          </w:p>
          <w:p>
            <w:pPr>
              <w:pStyle w:val="Normal"/>
              <w:widowControl w:val="false"/>
              <w:numPr>
                <w:ilvl w:val="0"/>
                <w:numId w:val="12"/>
              </w:numP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29</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450272</w:t>
            </w:r>
          </w:p>
        </w:tc>
        <w:tc>
          <w:tcPr>
            <w:tcW w:w="851"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b w:val="false"/>
                <w:bCs w:val="false"/>
              </w:rPr>
            </w:pPr>
            <w:r>
              <w:rPr>
                <w:rFonts w:eastAsia="Calibri" w:cs="Arial" w:ascii="Arial" w:hAnsi="Arial"/>
                <w:b w:val="false"/>
                <w:bCs w:val="false"/>
                <w:color w:val="000000"/>
                <w:sz w:val="20"/>
                <w:szCs w:val="20"/>
                <w:shd w:fill="FFFFFE" w:val="clear"/>
              </w:rPr>
              <w:t xml:space="preserve">50 </w:t>
            </w:r>
            <w:r>
              <w:rPr>
                <w:rFonts w:eastAsia="Calibri" w:cs="Arial" w:ascii="Arial" w:hAnsi="Arial"/>
                <w:b w:val="false"/>
                <w:bCs w:val="false"/>
                <w:color w:val="000000"/>
                <w:sz w:val="18"/>
                <w:szCs w:val="18"/>
                <w:shd w:fill="FFFFFE" w:val="clear"/>
              </w:rPr>
              <w:t>EMBAL.</w:t>
            </w:r>
          </w:p>
        </w:tc>
        <w:tc>
          <w:tcPr>
            <w:tcW w:w="5038"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BOLA DE TÊNIS DE MESA COM NO MÍNIMO TRÊS ESTRELAS, MATERIAL ABS; DIÂMETRO 40 MM. COR LARANJA. EMBALAGEM (DE FÁBRICA) COM 6 UNIDADES. TIPO VOLLO, PISTA E CAMPO OU SUPERIOR. EM CASO DE DIVERGÊNCIA COM O CÓDIGO CATMAT, SERÁ LEVADO EM CONTA A DESCRIÇÃO DO PRODUTO NO EDITAL.</w:t>
            </w:r>
          </w:p>
          <w:p>
            <w:pPr>
              <w:pStyle w:val="Normal"/>
              <w:widowControl w:val="false"/>
              <w:numPr>
                <w:ilvl w:val="0"/>
                <w:numId w:val="12"/>
              </w:numPr>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30</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288785</w:t>
            </w:r>
          </w:p>
        </w:tc>
        <w:tc>
          <w:tcPr>
            <w:tcW w:w="851"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140 UN</w:t>
            </w:r>
          </w:p>
        </w:tc>
        <w:tc>
          <w:tcPr>
            <w:tcW w:w="5038"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RAQUETE ESPORTIVA, MATERIAL CORPO: MADEIRA, REVESTIMENTO CORPO: BORRACHA, TAMANHO:ÚNICO, COR: PRETA, APLICAÇÃO: TÊNIS DE MESA, CARACTERÍSTICAS ADICIONAIS:2 LADOS REVESTIDOS DE BORRACHA, SENDO UMA VERMELHA E A OUTRA PRETA, SEGUINDO AS REGRAS DA FEDERAÇÃO INTERNACIONAL DE TÊNIS DE MESA (ITTF), SEU CABO CLÁSSICO POSSIBILITA QUE O JOGADOR SEGURE A RAQUETE PELO CABO COM O INDICADOR SOBRE AS BORRACHAS</w:t>
            </w:r>
          </w:p>
          <w:p>
            <w:pPr>
              <w:pStyle w:val="Normal"/>
              <w:widowControl w:val="false"/>
              <w:numPr>
                <w:ilvl w:val="0"/>
                <w:numId w:val="12"/>
              </w:numPr>
              <w:spacing w:lineRule="auto" w:line="360"/>
              <w:jc w:val="both"/>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31</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350636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JOGOS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JOGO DE FITA MARCAÇÃO ESPORTIVA, MATERIAL: NÁILON, LARGURA: 8 CM, APLICAÇÃO: VÔLEI DE PRAIA COM ILHÓS E ACOMPANHA FIXADORES EM AÇO ZINCADO. NAS EXTREMIDADES PONTAS DE CADA FITA POSSUI ILHÓS EM ALUMÍNIO PRA PASSAR O FIXADORES. CADA JOGO DEVE CONTER 06 FAIXAS DE 8M DE METROS, 06 PRESILHAS DE FIXAÇÃO (FIXADORES).</w:t>
            </w:r>
          </w:p>
          <w:p>
            <w:pPr>
              <w:pStyle w:val="Normal"/>
              <w:widowControl w:val="false"/>
              <w:numPr>
                <w:ilvl w:val="0"/>
                <w:numId w:val="12"/>
              </w:numP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32</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433198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03 JOGOS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b w:val="false"/>
                <w:bCs w:val="false"/>
              </w:rPr>
            </w:pPr>
            <w:r>
              <w:rPr>
                <w:rFonts w:eastAsia="Calibri" w:cs="Arial" w:ascii="Arial" w:hAnsi="Arial"/>
                <w:b w:val="false"/>
                <w:bCs w:val="false"/>
                <w:color w:val="000000"/>
                <w:sz w:val="19"/>
                <w:szCs w:val="20"/>
              </w:rPr>
              <w:t>JOGO DE FITA MARCA</w:t>
            </w:r>
            <w:r>
              <w:rPr>
                <w:rFonts w:cs="Arial" w:ascii="Arial" w:hAnsi="Arial"/>
                <w:b w:val="false"/>
                <w:bCs w:val="false"/>
                <w:sz w:val="19"/>
              </w:rPr>
              <w:t>ÇÃO ESPORTIVA, MATERIAL: PVC, COMPRIMENTO:160 M (DIVIDIDO EM QUATRO PARTES, DE ACORDO COM MEDIDAS PARA QUADRA OFICIAL DE FUTEBOL DE AREIA), LARGURA:6 CM, APLICAÇÃO: FUTEBOL DE AREIA, COM ILHÓS E ACOMPANHA FIXADORES EM AÇO ZINCADO, CARACTERÍSTICAS ADICIONAIS:4 SUPORTES METÁLICOS PARA FIXAÇÃO. EM CASO DE DIVERGÊNCIA COM O CÓDIGO CATMAT, SERÁ LEVADO EM CONTA A DESCRIÇÃO DO PRODUTO NO EDITAL.</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33</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444228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CONE, MATERIAL: PVC FLEXÍVEL, ALTURA:4 CM, APLICAÇÃO: ATIVIDADE FÍSICA, CARACTERÍSTICAS ADICIONAIS: MINI CONE, CHAPÉU CHINÊS, DEMARCATÓRIO, VERMELHA</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34</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444230</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CONE, MATERIAL: PVC FLEXÍVEL, ALTURA:4 CM, APLICAÇÃO: ATIVIDADE FÍSICA, CARACTERÍSTICAS ADICIONAIS: MINI CONE, CHAPÉU CHINÊS, DEMARCATÓRIO, AZUL.</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35</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444229</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CONE, MATERIAL: PVC FLEXÍVEL, ALTURA:4 CM, APLICAÇÃO: ATIVIDADE FÍSICA, CARACTERÍSTICAS ADICIONAIS: MINI CONE, CHAPÉU CHINÊS, DEMARCATÓRIO, AMARELA.</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36</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471372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300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CONE, MATERIAL: PLÁSTICO FLEXÍVEL, ALTURA:23 CM, APLICAÇÃO: ATIVIDADE FÍSICA, CARACTERÍSTICAS ADICIONAIS: BASE 13 X 13 (CORES A ESCOLHER)</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37</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04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b w:val="false"/>
                <w:bCs w:val="false"/>
              </w:rPr>
            </w:pPr>
            <w:r>
              <w:rPr>
                <w:rFonts w:eastAsia="Calibri" w:cs="Arial" w:ascii="Arial" w:hAnsi="Arial"/>
                <w:b w:val="false"/>
                <w:bCs w:val="false"/>
                <w:color w:val="000000"/>
                <w:sz w:val="19"/>
                <w:szCs w:val="20"/>
              </w:rPr>
              <w:t>TABELA DE BASQUETE M</w:t>
            </w:r>
            <w:r>
              <w:rPr>
                <w:rFonts w:cs="Arial" w:ascii="Arial" w:hAnsi="Arial"/>
                <w:b w:val="false"/>
                <w:bCs w:val="false"/>
                <w:sz w:val="19"/>
              </w:rPr>
              <w:t>ÓVEL: MECANISMO DE AJUSTE (similar ao modelo padrão, mas com ajuste de altura  por alavanca e molas) DA ALTURA DO POSTE DE AJUSTE ENTRE 1,90 METROS A 3,05 METROS, BASE COM ESPAÇO PAR INCLUSÃO DE AREIA OU ÁGUA PARA MAIOR ESTABILIDADE, ARO OFICIAL STANDART, DIÂMETRO DO POSTE EM AÇO-CARBONO E NO MÍNIMO 7,62CM RODA NA BASE. CERTIFICADA PELO INMETRO. TIPO PISTA E CAMPO OU SUPERIOR.</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38</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251593</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04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b w:val="false"/>
                <w:bCs w:val="false"/>
              </w:rPr>
            </w:pPr>
            <w:r>
              <w:rPr>
                <w:rFonts w:eastAsia="Calibri" w:cs="Arial" w:ascii="Arial" w:hAnsi="Arial"/>
                <w:b w:val="false"/>
                <w:bCs w:val="false"/>
                <w:color w:val="000000"/>
                <w:sz w:val="19"/>
                <w:szCs w:val="20"/>
              </w:rPr>
              <w:t xml:space="preserve">POSTE PARA VOLEIBOL: POSTE PARA REDE DE VOLEIBOL, MATERIAL: </w:t>
            </w:r>
            <w:r>
              <w:rPr>
                <w:rFonts w:cs="Arial" w:ascii="Arial" w:hAnsi="Arial"/>
                <w:b w:val="false"/>
                <w:bCs w:val="false"/>
                <w:sz w:val="19"/>
              </w:rPr>
              <w:t>FERRO GALVANIZADO, TAMANHO: OFICIAL, CARACTERÍSTICAS ADICIONAIS: COM GUINCHO, ROLDANA E REGULAGEM DE ALTURA (ALÉM DOS GANCHOS PARA PRENDER CORDA/CABOS).</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39</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304848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b w:val="false"/>
                <w:bCs w:val="false"/>
              </w:rPr>
            </w:pPr>
            <w:r>
              <w:rPr>
                <w:rFonts w:eastAsia="Calibri" w:cs="Arial" w:ascii="Arial" w:hAnsi="Arial"/>
                <w:b w:val="false"/>
                <w:bCs w:val="false"/>
                <w:color w:val="000000"/>
                <w:sz w:val="19"/>
                <w:szCs w:val="20"/>
              </w:rPr>
              <w:t xml:space="preserve">ANTENA REDE VOLEIBOL, MATERIAL: FIBRA DE VIDRO, TAMANHO: OFICIAL, </w:t>
            </w:r>
            <w:r>
              <w:rPr>
                <w:rFonts w:cs="Arial" w:ascii="Arial" w:hAnsi="Arial"/>
                <w:b w:val="false"/>
                <w:bCs w:val="false"/>
                <w:sz w:val="19"/>
              </w:rPr>
              <w:t>COR: VERMELHA E BRANCA</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40</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450366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10 PARES</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EQUIPAMENTO / ACESSÓRIOS DESPORTO, MATERIAL: ALGODÃO, TIPO: SUPORTE PARA ANTENA DE VÔLEI, USO: FIXAÇÃO DAS ANTENAS DA REDE, CARACTERÍSTICAS ADICIONAIS:1 METRO DE ALTURA POR 5 CENTÍMETROS DE COMPRIMENTO</w:t>
            </w:r>
          </w:p>
          <w:p>
            <w:pPr>
              <w:pStyle w:val="Normal"/>
              <w:widowControl w:val="false"/>
              <w:numPr>
                <w:ilvl w:val="0"/>
                <w:numId w:val="12"/>
              </w:numPr>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41</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480265</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60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b w:val="false"/>
                <w:bCs w:val="false"/>
              </w:rPr>
            </w:pPr>
            <w:r>
              <w:rPr>
                <w:rFonts w:eastAsia="Calibri" w:cs="Arial" w:ascii="Arial" w:hAnsi="Arial"/>
                <w:b w:val="false"/>
                <w:bCs w:val="false"/>
                <w:color w:val="000000"/>
                <w:sz w:val="19"/>
                <w:szCs w:val="20"/>
              </w:rPr>
              <w:t>BOMBA DE AR COM DUPLA A</w:t>
            </w:r>
            <w:r>
              <w:rPr>
                <w:rFonts w:cs="Arial" w:ascii="Arial" w:hAnsi="Arial"/>
                <w:b w:val="false"/>
                <w:bCs w:val="false"/>
                <w:sz w:val="19"/>
              </w:rPr>
              <w:t>ÇÃO (funciona tanto empurrando o ar como puxando) DE INFLAR BOLA. CORPO EM PLÁSTICO RÍGIDO (ACRÍLICO), COM MANGUEIRA (PROLONGADOR), DUAS AGULHAS. TIPO PENALTY, VOLLO OU SUPERIOR.</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42</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450328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20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spacing w:before="0" w:after="240"/>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EQUIPAMENTO / ACESSÓRIOS DESPORTO, TIPO: CALIBRADOR DE BOLAS, USO: REGULAGEM DE PRESSÃO DE AR, CARACTERÍSTICAS ADICIONAIS: SISTEMA DIGITAL COM DUAS AGULHAS</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43</w:t>
            </w:r>
          </w:p>
        </w:tc>
        <w:tc>
          <w:tcPr>
            <w:tcW w:w="102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480258</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16 UN</w:t>
            </w:r>
          </w:p>
        </w:tc>
        <w:tc>
          <w:tcPr>
            <w:tcW w:w="50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PLACAR POLIESPORTIVO PORTÁTIL DE MESA. MATERIAL: PVC RÍGIDO, TIPO: MANUAL, CARACTERÍSTICAS ADICIONAIS: PLAQUETAS EM PVC RÍGIDO DE MESA COM MEDIDAS APROXIMADAS (ABERTO) DE: ALTURA: 21 CM LARGURA: 20 CM COMPRIMENTO: 38 CM, COM MARCAÇÃO DE ATÉ 31 PONTOS/GOLS E 7 SETS/FALTAS. OS NÚMEROS DEVEM SER GRANDES E FÁCEIS DE LER. BASTA VIRAR OS NÚMEROS PARA CIMA PARA ATUALIZAR A PONTUAÇÃO/GOLS INSTANTANEAMENTE. A PLACA PARA PONTOS/GOLS DEVE CONTER DOIS NÚMEROS NA MESMA PLACA. TIPO: VOLLO, LORBEN, DALEBOL OU SUPERIOR.</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44</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303808</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600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COLETE TIPO JALECO REGATA, CONFECCIONADO EM POLIÉSTER LISO, COM VIÉS, EM TAMANHOS “M” E “G”, OPÇÃO MÍNIMA EM 3 CORES. (COR E TAMANHO A ESCOLHER).</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450364</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t>200 UN</w:t>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cs="Arial"/>
                <w:b w:val="false"/>
                <w:bCs w:val="false"/>
              </w:rPr>
            </w:pPr>
            <w:r>
              <w:rPr>
                <w:rFonts w:cs="Arial" w:ascii="Arial" w:hAnsi="Arial"/>
                <w:b w:val="false"/>
                <w:bCs w:val="false"/>
              </w:rPr>
            </w:r>
          </w:p>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JOGO XADREZ, MATERIAL: PLÁSTICO, FORMATO: QUADRADO, APLICAÇÃO: LAZER E ENTRETENIMENTO, CARACTERÍSTICAS ADICIONAIS: TABULEIRO EM COURO SINTÉTICO COM DIMENSÕES MÍNIMAS DE 50 X 50 CM, COM PEÇAS GRANDES. BRANCAS E PRETAS, EMBALAGEM PARA ACONDICIONAR O JOGO. EM CASO DE DIVERGÊNCIA COM O CÓDIGO CATMAT, SERÁ LEVADO EM CONTA A DESCRIÇÃO DO PRODUTO NO EDITAL.</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r>
        <w:trPr/>
        <w:tc>
          <w:tcPr>
            <w:tcW w:w="61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46</w:t>
            </w:r>
          </w:p>
        </w:tc>
        <w:tc>
          <w:tcPr>
            <w:tcW w:w="1026" w:type="dxa"/>
            <w:tcBorders>
              <w:left w:val="single" w:sz="4" w:space="0" w:color="000000"/>
              <w:bottom w:val="single" w:sz="4" w:space="0" w:color="000000"/>
              <w:right w:val="single" w:sz="4" w:space="0" w:color="000000"/>
            </w:tcBorders>
          </w:tcPr>
          <w:p>
            <w:pPr>
              <w:pStyle w:val="Normal"/>
              <w:widowControl w:val="false"/>
              <w:numPr>
                <w:ilvl w:val="0"/>
                <w:numId w:val="12"/>
              </w:numPr>
              <w:snapToGrid w:val="false"/>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r>
          </w:p>
          <w:p>
            <w:pPr>
              <w:pStyle w:val="Normal"/>
              <w:widowControl w:val="false"/>
              <w:numPr>
                <w:ilvl w:val="0"/>
                <w:numId w:val="12"/>
              </w:numPr>
              <w:spacing w:lineRule="auto" w:line="360"/>
              <w:jc w:val="both"/>
              <w:rPr>
                <w:rFonts w:ascii="Arial" w:hAnsi="Arial" w:eastAsia="Calibri" w:cs="Arial"/>
                <w:b w:val="false"/>
                <w:bCs w:val="false"/>
                <w:color w:val="000000"/>
                <w:sz w:val="20"/>
                <w:szCs w:val="20"/>
                <w:shd w:fill="FFFFFE" w:val="clear"/>
              </w:rPr>
            </w:pPr>
            <w:r>
              <w:rPr>
                <w:rFonts w:eastAsia="Calibri" w:cs="Arial" w:ascii="Arial" w:hAnsi="Arial"/>
                <w:b w:val="false"/>
                <w:bCs w:val="false"/>
                <w:color w:val="000000"/>
                <w:sz w:val="20"/>
                <w:szCs w:val="20"/>
                <w:shd w:fill="FFFFFE" w:val="clear"/>
              </w:rPr>
              <w:t>604821</w:t>
            </w:r>
          </w:p>
        </w:tc>
        <w:tc>
          <w:tcPr>
            <w:tcW w:w="85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jc w:val="center"/>
              <w:rPr>
                <w:rFonts w:ascii="Arial" w:hAnsi="Arial" w:eastAsia="Calibri" w:cs="Arial"/>
                <w:b w:val="false"/>
                <w:bCs w:val="false"/>
                <w:color w:val="000000"/>
                <w:sz w:val="19"/>
                <w:szCs w:val="20"/>
              </w:rPr>
            </w:pPr>
            <w:r>
              <w:rPr>
                <w:rFonts w:eastAsia="Calibri" w:cs="Arial" w:ascii="Arial" w:hAnsi="Arial"/>
                <w:b w:val="false"/>
                <w:bCs w:val="false"/>
                <w:color w:val="000000"/>
                <w:sz w:val="19"/>
                <w:szCs w:val="20"/>
              </w:rPr>
              <w:t>10 JOGOS (CONJUNTOS) DE 12 BOLAS + BALIN</w:t>
            </w:r>
          </w:p>
          <w:p>
            <w:pPr>
              <w:pStyle w:val="Normal"/>
              <w:widowControl w:val="false"/>
              <w:numPr>
                <w:ilvl w:val="0"/>
                <w:numId w:val="12"/>
              </w:numPr>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5038"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p>
            <w:pPr>
              <w:pStyle w:val="Normal"/>
              <w:widowControl w:val="false"/>
              <w:numPr>
                <w:ilvl w:val="0"/>
                <w:numId w:val="12"/>
              </w:numPr>
              <w:rPr>
                <w:rFonts w:ascii="Arial" w:hAnsi="Arial" w:cs="Arial"/>
                <w:b w:val="false"/>
                <w:bCs w:val="false"/>
                <w:sz w:val="19"/>
              </w:rPr>
            </w:pPr>
            <w:r>
              <w:rPr>
                <w:rFonts w:cs="Arial" w:ascii="Arial" w:hAnsi="Arial"/>
                <w:b w:val="false"/>
                <w:bCs w:val="false"/>
                <w:sz w:val="19"/>
              </w:rPr>
              <w:t>JOGO DE 12 BOCHAS, DIVERSAS CORES (A SER ESCOLHIDO NO EMPENHO) COM BALIM, EM MATERIAL SINTÉTICO DE ALTA RESISTÊNCIA, DIÂMETRO 116MM, PESO APROXIMADO: 1,180GR E BALIM 40MM. TIPO: FAISCA, CARLITO OU SUPERIOR.</w:t>
            </w:r>
          </w:p>
          <w:p>
            <w:pPr>
              <w:pStyle w:val="Normal"/>
              <w:widowControl w:val="false"/>
              <w:numPr>
                <w:ilvl w:val="0"/>
                <w:numId w:val="12"/>
              </w:numPr>
              <w:jc w:val="both"/>
              <w:rPr>
                <w:rFonts w:ascii="Arial" w:hAnsi="Arial" w:cs="Arial"/>
                <w:b w:val="false"/>
                <w:bCs w:val="false"/>
              </w:rPr>
            </w:pPr>
            <w:r>
              <w:rPr>
                <w:rFonts w:cs="Arial" w:ascii="Arial" w:hAnsi="Arial"/>
                <w:b w:val="false"/>
                <w:bCs w:val="false"/>
              </w:rPr>
            </w:r>
          </w:p>
        </w:tc>
        <w:tc>
          <w:tcPr>
            <w:tcW w:w="1311"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c>
          <w:tcPr>
            <w:tcW w:w="1357" w:type="dxa"/>
            <w:tcBorders>
              <w:left w:val="single" w:sz="4" w:space="0" w:color="000000"/>
              <w:bottom w:val="single" w:sz="4" w:space="0" w:color="000000"/>
              <w:right w:val="single" w:sz="4" w:space="0" w:color="000000"/>
            </w:tcBorders>
            <w:vAlign w:val="center"/>
          </w:tcPr>
          <w:p>
            <w:pPr>
              <w:pStyle w:val="Normal"/>
              <w:widowControl w:val="false"/>
              <w:numPr>
                <w:ilvl w:val="0"/>
                <w:numId w:val="12"/>
              </w:numPr>
              <w:snapToGrid w:val="false"/>
              <w:jc w:val="center"/>
              <w:rPr>
                <w:rFonts w:ascii="Arial" w:hAnsi="Arial" w:eastAsia="Calibri" w:cs="Arial"/>
                <w:b w:val="false"/>
                <w:bCs w:val="false"/>
                <w:color w:val="000000"/>
                <w:sz w:val="20"/>
                <w:szCs w:val="20"/>
              </w:rPr>
            </w:pPr>
            <w:r>
              <w:rPr>
                <w:rFonts w:eastAsia="Calibri" w:cs="Arial" w:ascii="Arial" w:hAnsi="Arial"/>
                <w:b w:val="false"/>
                <w:bCs w:val="false"/>
                <w:color w:val="000000"/>
                <w:sz w:val="20"/>
                <w:szCs w:val="20"/>
              </w:rPr>
            </w:r>
          </w:p>
        </w:tc>
      </w:tr>
    </w:tbl>
    <w:p>
      <w:pPr>
        <w:pStyle w:val="Normal"/>
        <w:numPr>
          <w:ilvl w:val="0"/>
          <w:numId w:val="12"/>
        </w:numPr>
        <w:spacing w:lineRule="auto" w:line="360"/>
        <w:jc w:val="both"/>
        <w:rPr>
          <w:rFonts w:ascii="Arial" w:hAnsi="Arial"/>
          <w:sz w:val="22"/>
          <w:szCs w:val="22"/>
        </w:rPr>
      </w:pPr>
      <w:r>
        <w:rPr>
          <w:rFonts w:ascii="Arial" w:hAnsi="Arial"/>
          <w:sz w:val="22"/>
          <w:szCs w:val="22"/>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lang w:eastAsia="zh-CN"/>
        </w:rPr>
        <w:t xml:space="preserve">2.2 </w:t>
      </w:r>
      <w:r>
        <w:rPr>
          <w:rFonts w:cs="Arial" w:ascii="Arial" w:hAnsi="Arial"/>
          <w:color w:val="000000"/>
          <w:sz w:val="22"/>
          <w:szCs w:val="22"/>
          <w:shd w:fill="auto" w:val="clear"/>
        </w:rPr>
        <w:t>A empresa deverá fornecer a(s) quantidade(s) solicitada(s) pelo Município.</w:t>
      </w:r>
    </w:p>
    <w:p>
      <w:pPr>
        <w:pStyle w:val="Normal"/>
        <w:numPr>
          <w:ilvl w:val="0"/>
          <w:numId w:val="12"/>
        </w:numPr>
        <w:spacing w:lineRule="auto" w:line="360"/>
        <w:jc w:val="both"/>
        <w:rPr>
          <w:rFonts w:ascii="Arial" w:hAnsi="Arial"/>
          <w:sz w:val="22"/>
          <w:szCs w:val="22"/>
        </w:rPr>
      </w:pPr>
      <w:r>
        <w:rPr>
          <w:rFonts w:eastAsia="Times New Roman" w:cs="Arial" w:ascii="Arial" w:hAnsi="Arial"/>
          <w:b/>
          <w:color w:val="000000"/>
          <w:sz w:val="22"/>
          <w:szCs w:val="22"/>
          <w:shd w:fill="auto" w:val="clear"/>
          <w:lang w:eastAsia="zh-CN"/>
        </w:rPr>
        <w:t xml:space="preserve">2.3 </w:t>
      </w:r>
      <w:r>
        <w:rPr>
          <w:rFonts w:cs="Arial" w:ascii="Arial" w:hAnsi="Arial"/>
          <w:color w:val="000000"/>
          <w:sz w:val="22"/>
          <w:szCs w:val="22"/>
          <w:shd w:fill="auto" w:val="clear"/>
        </w:rPr>
        <w:t>A existência de preços registrados não obriga o Município a firmar as contratações que dele poderão advir, facultando-se a realização de licitação específica para a aquisição pretendida, sendo assegurado ao beneficiário do registro a preferência de prestação de serviço em igualdade de condições, nos termos da Lei Federal nº 14.133, de 2021.</w:t>
      </w:r>
    </w:p>
    <w:p>
      <w:pPr>
        <w:pStyle w:val="Normal"/>
        <w:numPr>
          <w:ilvl w:val="0"/>
          <w:numId w:val="1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3. DAS CONDIÇÕES DE PAGAMENTO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3.1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3.1.1 </w:t>
      </w:r>
      <w:r>
        <w:rPr>
          <w:rFonts w:cs="Arial" w:ascii="Arial" w:hAnsi="Arial"/>
          <w:color w:val="000000"/>
          <w:sz w:val="22"/>
          <w:szCs w:val="22"/>
          <w:shd w:fill="auto" w:val="clear"/>
        </w:rPr>
        <w:t xml:space="preserve">A licitante vencedora deverá emitir a nota fiscal tão logo ocorra o fornecimento dos produtos. Na nota fiscal deve ser especificado o ponto de entrega dos itens e CNPJ da licitante.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3.1.2 </w:t>
      </w:r>
      <w:r>
        <w:rPr>
          <w:rFonts w:cs="Arial" w:ascii="Arial" w:hAnsi="Arial"/>
          <w:color w:val="000000"/>
          <w:sz w:val="22"/>
          <w:szCs w:val="22"/>
          <w:shd w:fill="auto" w:val="clear"/>
        </w:rPr>
        <w:t xml:space="preserve">Em caso de rejeição da nota fiscal e/ou fatura, motivada por erro ou incorreção, o prazo de até 30 (trinta) dias passará a ser contado a partir da data da reapresentação.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3.2 </w:t>
      </w:r>
      <w:r>
        <w:rPr>
          <w:rFonts w:cs="Arial" w:ascii="Arial" w:hAnsi="Arial"/>
          <w:color w:val="000000"/>
          <w:sz w:val="22"/>
          <w:szCs w:val="22"/>
          <w:shd w:fill="auto" w:val="clear"/>
        </w:rPr>
        <w:t xml:space="preserve">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3.3 </w:t>
      </w:r>
      <w:r>
        <w:rPr>
          <w:rFonts w:cs="Arial" w:ascii="Arial" w:hAnsi="Arial"/>
          <w:color w:val="000000"/>
          <w:sz w:val="22"/>
          <w:szCs w:val="22"/>
          <w:shd w:fill="auto" w:val="clear"/>
        </w:rPr>
        <w:t xml:space="preserve">Não serão aceitos boletos bancários, somente serão efetuados depósitos em conta-corrente em nome da empresa licitante vencedora.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3.4 </w:t>
      </w:r>
      <w:r>
        <w:rPr>
          <w:rFonts w:cs="Arial" w:ascii="Arial" w:hAnsi="Arial"/>
          <w:color w:val="000000"/>
          <w:sz w:val="22"/>
          <w:szCs w:val="22"/>
          <w:shd w:fill="auto" w:val="clear"/>
        </w:rPr>
        <w:t xml:space="preserve">Deverão ser entregues sempre que necessário, as Certidões atualizadas (válidas) relativas ao Fundo de Garantia por Tempo de Serviço (FGTS) e de regularidade para com as Fazendas Municipal, Estadual e Federal.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3.5 </w:t>
      </w:r>
      <w:r>
        <w:rPr>
          <w:rFonts w:cs="Arial" w:ascii="Arial" w:hAnsi="Arial"/>
          <w:color w:val="000000"/>
          <w:sz w:val="22"/>
          <w:szCs w:val="22"/>
          <w:shd w:fill="auto" w:val="clear"/>
        </w:rPr>
        <w:t xml:space="preserve">Ocorrendo atraso no pagamento, os valores serão corrigidos monetariamente pelo índice IPCA – Índice Nacional de Preços ao Consumidor Amplo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12"/>
        </w:numPr>
        <w:spacing w:lineRule="auto" w:line="360"/>
        <w:jc w:val="both"/>
        <w:rPr>
          <w:rFonts w:ascii="Arial" w:hAnsi="Arial"/>
          <w:sz w:val="22"/>
          <w:szCs w:val="22"/>
        </w:rPr>
      </w:pPr>
      <w:r>
        <w:rPr>
          <w:rFonts w:ascii="Arial" w:hAnsi="Arial"/>
          <w:sz w:val="22"/>
          <w:szCs w:val="22"/>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4. DOS EMPENHOS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4.1 </w:t>
      </w:r>
      <w:r>
        <w:rPr>
          <w:rFonts w:cs="Arial" w:ascii="Arial" w:hAnsi="Arial"/>
          <w:color w:val="000000"/>
          <w:sz w:val="22"/>
          <w:szCs w:val="22"/>
          <w:shd w:fill="auto" w:val="clear"/>
        </w:rPr>
        <w:t xml:space="preserve">O compromisso de prestação de serviço estará caracterizado após o recebimento da nota de empenho, que será emitido de acordo com o valor constante na Ata de Registro de Preços.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4.2 </w:t>
      </w:r>
      <w:r>
        <w:rPr>
          <w:rFonts w:cs="Arial" w:ascii="Arial" w:hAnsi="Arial"/>
          <w:color w:val="000000"/>
          <w:sz w:val="22"/>
          <w:szCs w:val="22"/>
          <w:shd w:fill="auto" w:val="clear"/>
        </w:rPr>
        <w:t xml:space="preserve">A emissão do(s) empenho(s) será autorizada pelo titular da pasta à qual pertencer a unidade requisitante, ou pela autoridade por ele delegada.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4.3 </w:t>
      </w:r>
      <w:r>
        <w:rPr>
          <w:rFonts w:cs="Arial" w:ascii="Arial" w:hAnsi="Arial"/>
          <w:color w:val="000000"/>
          <w:sz w:val="22"/>
          <w:szCs w:val="22"/>
          <w:shd w:fill="auto" w:val="clear"/>
        </w:rPr>
        <w:t xml:space="preserve">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4.4 </w:t>
      </w:r>
      <w:r>
        <w:rPr>
          <w:rFonts w:cs="Arial" w:ascii="Arial" w:hAnsi="Arial"/>
          <w:color w:val="000000"/>
          <w:sz w:val="22"/>
          <w:szCs w:val="22"/>
          <w:shd w:fill="auto" w:val="clear"/>
        </w:rPr>
        <w:t xml:space="preserve">A cada solicitação de serviço/prestação de serviço, a nota de empenho ficará a disposição do fornecedor junto ao site do Município, contendo a indicação dos serviços, quantidades e locais. </w:t>
      </w:r>
    </w:p>
    <w:p>
      <w:pPr>
        <w:pStyle w:val="Normal"/>
        <w:numPr>
          <w:ilvl w:val="0"/>
          <w:numId w:val="1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 DO CONTROLE E ATUALIZAÇÃO DOS PREÇOS REGISTRADOS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5.1 </w:t>
      </w:r>
      <w:r>
        <w:rPr>
          <w:rFonts w:cs="Arial" w:ascii="Arial" w:hAnsi="Arial"/>
          <w:color w:val="000000"/>
          <w:sz w:val="22"/>
          <w:szCs w:val="22"/>
          <w:shd w:fill="auto" w:val="clear"/>
        </w:rPr>
        <w:t xml:space="preserve">Os preços registrados poderão ser alterados ou atualizados em decorrência de eventual redução dos preços praticados no mercado ou de fato que eleve o custo dos bens, das Saúde ou dos serviços registrados, nas seguintes situações: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124 da Lei nº 14.133, de 2021;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5.1.2 </w:t>
      </w:r>
      <w:r>
        <w:rPr>
          <w:rFonts w:cs="Arial" w:ascii="Arial" w:hAnsi="Arial"/>
          <w:color w:val="000000"/>
          <w:sz w:val="22"/>
          <w:szCs w:val="22"/>
          <w:shd w:fill="auto" w:val="clear"/>
        </w:rPr>
        <w:t xml:space="preserve">Em caso de criação, alteração ou extinção de quaisquer tributos ou encargos legais ou superveniência de disposições legais, com comprovada repercussão sobre os preços registrados;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5.1.3 </w:t>
      </w:r>
      <w:r>
        <w:rPr>
          <w:rFonts w:cs="Arial" w:ascii="Arial" w:hAnsi="Arial"/>
          <w:color w:val="000000"/>
          <w:sz w:val="22"/>
          <w:szCs w:val="22"/>
          <w:shd w:fill="auto" w:val="clear"/>
        </w:rPr>
        <w:t xml:space="preserve">Na hipótese de previsão no edital de cláusula de reajustamento ou repactuação sobre os preços registrados, nos termos do disposto na Lei nº 14.133, de 2021. </w:t>
      </w:r>
    </w:p>
    <w:p>
      <w:pPr>
        <w:pStyle w:val="Default"/>
        <w:numPr>
          <w:ilvl w:val="0"/>
          <w:numId w:val="12"/>
        </w:numPr>
        <w:spacing w:lineRule="auto" w:line="360"/>
        <w:jc w:val="both"/>
        <w:rPr/>
      </w:pPr>
      <w:r>
        <w:rPr>
          <w:rFonts w:cs="Arial" w:ascii="Arial" w:hAnsi="Arial"/>
          <w:b/>
          <w:color w:val="000000"/>
          <w:sz w:val="22"/>
          <w:szCs w:val="22"/>
          <w:shd w:fill="auto" w:val="clear"/>
        </w:rPr>
        <w:t xml:space="preserve">5.1.3.1 </w:t>
      </w:r>
      <w:r>
        <w:rPr>
          <w:rFonts w:cs="Arial" w:ascii="Arial" w:hAnsi="Arial"/>
          <w:color w:val="000000"/>
          <w:sz w:val="22"/>
          <w:szCs w:val="22"/>
          <w:shd w:fill="auto" w:val="clear"/>
        </w:rPr>
        <w:t xml:space="preserve">O valor da proposta será reajustado pelo índice </w:t>
      </w:r>
      <w:r>
        <w:rPr>
          <w:rStyle w:val="Nfase"/>
          <w:rFonts w:cs="Arial" w:ascii="Arial" w:hAnsi="Arial"/>
          <w:i w:val="false"/>
          <w:color w:val="000000"/>
          <w:sz w:val="22"/>
          <w:szCs w:val="22"/>
          <w:shd w:fill="auto" w:val="clear"/>
          <w:lang w:eastAsia="zh-CN"/>
        </w:rPr>
        <w:t xml:space="preserve">IPCA </w:t>
      </w:r>
      <w:r>
        <w:rPr>
          <w:rFonts w:cs="Arial" w:ascii="Arial" w:hAnsi="Arial"/>
          <w:color w:val="000000"/>
          <w:sz w:val="22"/>
          <w:szCs w:val="22"/>
          <w:shd w:fill="auto" w:val="clear"/>
          <w:lang w:eastAsia="zh-CN"/>
        </w:rPr>
        <w:t>- Índice Nacional de Preços ao Consumidor Amplo</w:t>
      </w:r>
      <w:r>
        <w:rPr>
          <w:rFonts w:cs="Arial" w:ascii="Arial" w:hAnsi="Arial"/>
          <w:color w:val="000000"/>
          <w:sz w:val="22"/>
          <w:szCs w:val="22"/>
          <w:shd w:fill="auto" w:val="clear"/>
        </w:rPr>
        <w:t xml:space="preserve">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5.2 </w:t>
      </w:r>
      <w:r>
        <w:rPr>
          <w:rFonts w:cs="Arial" w:ascii="Arial" w:hAnsi="Arial"/>
          <w:color w:val="000000"/>
          <w:sz w:val="22"/>
          <w:szCs w:val="22"/>
          <w:shd w:fill="auto" w:val="clear"/>
        </w:rPr>
        <w:t xml:space="preserve">Na hipótese de o preço registrado tornar-se superior ao preço praticado no mercado, por motivo superveniente, o Município convocará o fornecedor para negociar a redução do preço registrado.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5.2.1 </w:t>
      </w:r>
      <w:r>
        <w:rPr>
          <w:rFonts w:cs="Arial" w:ascii="Arial" w:hAnsi="Arial"/>
          <w:color w:val="000000"/>
          <w:sz w:val="22"/>
          <w:szCs w:val="22"/>
          <w:shd w:fill="auto" w:val="clear"/>
        </w:rPr>
        <w:t xml:space="preserve">Caso não aceite reduzir seu preço aos valores praticados pelo mercado, o fornecedor será liberado do compromisso assumido quanto ao item registrado, sem aplicação de penalidades administrativas.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5.2.2 </w:t>
      </w:r>
      <w:r>
        <w:rPr>
          <w:rFonts w:cs="Arial" w:ascii="Arial" w:hAnsi="Arial"/>
          <w:color w:val="000000"/>
          <w:sz w:val="22"/>
          <w:szCs w:val="22"/>
          <w:shd w:fill="auto" w:val="clear"/>
        </w:rPr>
        <w:t xml:space="preserve">Na hipótese prevista no subitem anterior, o Município convocará os fornecedores do cadastro de reserva, na ordem de classificação, para verificar se aceitam reduzir seus preços aos valores de mercado.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5.3.2 </w:t>
      </w:r>
      <w:r>
        <w:rPr>
          <w:rFonts w:cs="Arial" w:ascii="Arial" w:hAnsi="Arial"/>
          <w:color w:val="000000"/>
          <w:sz w:val="22"/>
          <w:szCs w:val="22"/>
          <w:shd w:fill="auto" w:val="clear"/>
        </w:rPr>
        <w:t xml:space="preserve">Se não obtiver êxito nas negociações, o Município procederá ao cancelamento da ata de registro de preços e adotará as medidas cabíveis para a obtenção de contratação mais vantajosa.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5.4 </w:t>
      </w:r>
      <w:r>
        <w:rPr>
          <w:rFonts w:cs="Arial" w:ascii="Arial" w:hAnsi="Arial"/>
          <w:color w:val="000000"/>
          <w:sz w:val="22"/>
          <w:szCs w:val="22"/>
          <w:shd w:fill="auto" w:val="clear"/>
        </w:rPr>
        <w:t xml:space="preserve">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5.4.1 </w:t>
      </w:r>
      <w:r>
        <w:rPr>
          <w:rFonts w:cs="Arial" w:ascii="Arial" w:hAnsi="Arial"/>
          <w:color w:val="000000"/>
          <w:sz w:val="22"/>
          <w:szCs w:val="22"/>
          <w:shd w:fill="auto" w:val="clear"/>
        </w:rPr>
        <w:t>Para fins do disposto no subitem anterior, o fornecedor encaminhará, com o pedido de alteração, a documentação comprobatória ou a planilha de custos que demonstre a inviabilidade do preço registrado em relação às condições inicialmente pactuadas.</w:t>
      </w:r>
    </w:p>
    <w:p>
      <w:pPr>
        <w:pStyle w:val="Default"/>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 xml:space="preserve">5.4.2 </w:t>
      </w:r>
      <w:r>
        <w:rPr>
          <w:rFonts w:cs="Arial" w:ascii="Arial" w:hAnsi="Arial"/>
          <w:color w:val="000000"/>
          <w:sz w:val="22"/>
          <w:szCs w:val="22"/>
          <w:shd w:fill="auto" w:val="clear"/>
        </w:rPr>
        <w:t>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5.4.3 </w:t>
      </w:r>
      <w:r>
        <w:rPr>
          <w:rFonts w:cs="Arial" w:ascii="Arial" w:hAnsi="Arial"/>
          <w:color w:val="000000"/>
          <w:sz w:val="22"/>
          <w:szCs w:val="22"/>
          <w:shd w:fill="auto" w:val="clear"/>
        </w:rPr>
        <w:t xml:space="preserve">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5.4.4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5.4.5 </w:t>
      </w:r>
      <w:r>
        <w:rPr>
          <w:rFonts w:cs="Arial" w:ascii="Arial" w:hAnsi="Arial"/>
          <w:color w:val="000000"/>
          <w:sz w:val="22"/>
          <w:szCs w:val="22"/>
          <w:shd w:fill="auto" w:val="clear"/>
        </w:rPr>
        <w:t xml:space="preserve">Na hipótese de comprovação de que o preço de mercado se tornou superior ao preço registrado, o Município atualizará o preço registrado, de acordo com a realidade dos valores praticados pelo mercado.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5.5 </w:t>
      </w:r>
      <w:r>
        <w:rPr>
          <w:rFonts w:cs="Arial" w:ascii="Arial" w:hAnsi="Arial"/>
          <w:color w:val="000000"/>
          <w:sz w:val="22"/>
          <w:szCs w:val="22"/>
          <w:shd w:fill="auto" w:val="clear"/>
        </w:rPr>
        <w:t>Fica vedado efetuar acréscimos nos quantitativos estabelecidos na ata de registro de preços.</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5.6 </w:t>
      </w:r>
      <w:r>
        <w:rPr>
          <w:rFonts w:cs="Arial" w:ascii="Arial" w:hAnsi="Arial"/>
          <w:color w:val="000000"/>
          <w:sz w:val="22"/>
          <w:szCs w:val="22"/>
          <w:shd w:fill="auto" w:val="clear"/>
        </w:rPr>
        <w:t>Os preços registrados poderão ser reequilibrados, desde que haja o convencimento do fiscal com base na documentação apresentada pela contratada, sob pena de indeferimento do pedido.</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5.7 </w:t>
      </w:r>
      <w:r>
        <w:rPr>
          <w:rFonts w:cs="Arial" w:ascii="Arial" w:hAnsi="Arial"/>
          <w:color w:val="000000"/>
          <w:sz w:val="22"/>
          <w:szCs w:val="22"/>
          <w:shd w:fill="auto" w:val="clear"/>
        </w:rPr>
        <w:t>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12"/>
        </w:numPr>
        <w:spacing w:lineRule="auto" w:line="360" w:before="0" w:after="0"/>
        <w:jc w:val="both"/>
        <w:rPr>
          <w:rFonts w:ascii="Arial" w:hAnsi="Arial"/>
          <w:sz w:val="22"/>
          <w:szCs w:val="22"/>
        </w:rPr>
      </w:pPr>
      <w:r>
        <w:rPr>
          <w:rFonts w:cs="Arial" w:ascii="Arial" w:hAnsi="Arial"/>
          <w:b/>
          <w:color w:val="000000"/>
          <w:sz w:val="22"/>
          <w:szCs w:val="22"/>
          <w:shd w:fill="auto" w:val="clear"/>
        </w:rPr>
        <w:t xml:space="preserve">6. DO CANCELAMENTO DO REGISTRO DO FORNECEDOR E DOS PREÇOS REGISTRADOS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 </w:t>
      </w:r>
      <w:r>
        <w:rPr>
          <w:rFonts w:cs="Arial" w:ascii="Arial" w:hAnsi="Arial"/>
          <w:color w:val="000000"/>
          <w:sz w:val="22"/>
          <w:szCs w:val="22"/>
          <w:shd w:fill="auto" w:val="clear"/>
        </w:rPr>
        <w:t xml:space="preserve">O registro do fornecedor poderá ser suspenso ou cancelado pelo Município, facultada a defesa prévia, no prazo de 5 (cinco) dias úteis, quando: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6.1.2 </w:t>
      </w:r>
      <w:r>
        <w:rPr>
          <w:rFonts w:cs="Arial" w:ascii="Arial" w:hAnsi="Arial"/>
          <w:color w:val="000000"/>
          <w:sz w:val="22"/>
          <w:szCs w:val="22"/>
          <w:shd w:fill="auto" w:val="clear"/>
        </w:rPr>
        <w:t xml:space="preserve">O fornecedor não retirar a nota de empenho, ou instrumento equivalente, no prazo estabelecido pela Administração, sem justificativa razoável;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6.1.3 </w:t>
      </w:r>
      <w:r>
        <w:rPr>
          <w:rFonts w:cs="Arial" w:ascii="Arial" w:hAnsi="Arial"/>
          <w:color w:val="000000"/>
          <w:sz w:val="22"/>
          <w:szCs w:val="22"/>
          <w:shd w:fill="auto" w:val="clear"/>
        </w:rPr>
        <w:t xml:space="preserve">O fornecedor não aceitar manter seu preço registrado;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156 da Lei nº 14.133, de 2021;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6.1.5 </w:t>
      </w:r>
      <w:r>
        <w:rPr>
          <w:rFonts w:cs="Arial" w:ascii="Arial" w:hAnsi="Arial"/>
          <w:color w:val="000000"/>
          <w:sz w:val="22"/>
          <w:szCs w:val="22"/>
          <w:shd w:fill="auto" w:val="clear"/>
        </w:rPr>
        <w:t xml:space="preserve">Em qualquer das hipóteses de inexecução total ou parcial do contrato decorrente do registro de preços;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6.1.6 </w:t>
      </w:r>
      <w:r>
        <w:rPr>
          <w:rFonts w:cs="Arial" w:ascii="Arial" w:hAnsi="Arial"/>
          <w:color w:val="000000"/>
          <w:sz w:val="22"/>
          <w:szCs w:val="22"/>
          <w:shd w:fill="auto" w:val="clear"/>
        </w:rPr>
        <w:t xml:space="preserve">Quando os preços registrados se apresentarem superiores aos praticados pelo mercado;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6.1.7 </w:t>
      </w:r>
      <w:r>
        <w:rPr>
          <w:rFonts w:cs="Arial" w:ascii="Arial" w:hAnsi="Arial"/>
          <w:color w:val="000000"/>
          <w:sz w:val="22"/>
          <w:szCs w:val="22"/>
          <w:shd w:fill="auto" w:val="clear"/>
        </w:rPr>
        <w:t xml:space="preserve">Por razões de interesse público, devidamente fundamentadas;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6.1.8 </w:t>
      </w:r>
      <w:r>
        <w:rPr>
          <w:rFonts w:cs="Arial" w:ascii="Arial" w:hAnsi="Arial"/>
          <w:color w:val="000000"/>
          <w:sz w:val="22"/>
          <w:szCs w:val="22"/>
          <w:shd w:fill="auto" w:val="clear"/>
        </w:rPr>
        <w:t xml:space="preserve">A pedido do fornecedor, decorrente de caso fortuito ou de força maior;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6.1.9 </w:t>
      </w:r>
      <w:r>
        <w:rPr>
          <w:rFonts w:cs="Arial" w:ascii="Arial" w:hAnsi="Arial"/>
          <w:color w:val="000000"/>
          <w:sz w:val="22"/>
          <w:szCs w:val="22"/>
          <w:shd w:fill="auto" w:val="clear"/>
        </w:rPr>
        <w:t xml:space="preserve">Se não houver êxito nas negociações.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6.2 </w:t>
      </w:r>
      <w:r>
        <w:rPr>
          <w:rFonts w:cs="Arial" w:ascii="Arial" w:hAnsi="Arial"/>
          <w:color w:val="000000"/>
          <w:sz w:val="22"/>
          <w:szCs w:val="22"/>
          <w:shd w:fill="auto" w:val="clear"/>
        </w:rPr>
        <w:t xml:space="preserve">O fornecedor poderá solicitar o cancelamento do preço registrado, mediante solicitação escrita, comprovando a impossibilidade de cumprir as exigências do instrumento convocatório que deu origem ao registro de preços.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6.3 </w:t>
      </w:r>
      <w:r>
        <w:rPr>
          <w:rFonts w:cs="Arial" w:ascii="Arial" w:hAnsi="Arial"/>
          <w:color w:val="000000"/>
          <w:sz w:val="22"/>
          <w:szCs w:val="22"/>
          <w:shd w:fill="auto" w:val="clear"/>
        </w:rPr>
        <w:t xml:space="preserve">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6.4 </w:t>
      </w:r>
      <w:r>
        <w:rPr>
          <w:rFonts w:cs="Arial" w:ascii="Arial" w:hAnsi="Arial"/>
          <w:color w:val="000000"/>
          <w:sz w:val="22"/>
          <w:szCs w:val="22"/>
          <w:shd w:fill="auto" w:val="clear"/>
        </w:rPr>
        <w:t xml:space="preserve">Na hipótese prevista no subitem 6.1.4,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6.5 </w:t>
      </w:r>
      <w:r>
        <w:rPr>
          <w:rFonts w:cs="Arial" w:ascii="Arial" w:hAnsi="Arial"/>
          <w:color w:val="000000"/>
          <w:sz w:val="22"/>
          <w:szCs w:val="22"/>
          <w:shd w:fill="auto" w:val="clear"/>
        </w:rPr>
        <w:t xml:space="preserve">O cancelamento do registro nas hipóteses previstas no subitem 6.1 será formalizado por despacho do Município, garantidos os princípios do contraditório e da ampla defesa.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6.6 </w:t>
      </w:r>
      <w:r>
        <w:rPr>
          <w:rFonts w:cs="Arial" w:ascii="Arial" w:hAnsi="Arial"/>
          <w:color w:val="000000"/>
          <w:sz w:val="22"/>
          <w:szCs w:val="22"/>
          <w:shd w:fill="auto" w:val="clear"/>
        </w:rPr>
        <w:t>Na hipótese de cancelamento do registro do fornecedor, o Município poderá convocar os licitantes que compõem o cadastro de reserva, observada a ordem de classificação.</w:t>
      </w:r>
    </w:p>
    <w:p>
      <w:pPr>
        <w:pStyle w:val="Normal"/>
        <w:numPr>
          <w:ilvl w:val="0"/>
          <w:numId w:val="12"/>
        </w:numPr>
        <w:spacing w:lineRule="auto" w:line="360"/>
        <w:jc w:val="both"/>
        <w:rPr>
          <w:rFonts w:cs="Arial"/>
          <w:b/>
          <w:color w:val="000000"/>
          <w:shd w:fill="auto" w:val="clear"/>
        </w:rPr>
      </w:pPr>
      <w:r>
        <w:rPr>
          <w:rFonts w:cs="Arial"/>
          <w:b/>
          <w:color w:val="000000"/>
          <w:shd w:fill="auto" w:val="clear"/>
        </w:rPr>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7. DOS PRAZOS DE VIGÊNCIA DA ATA DE REGISTRO DE PREÇOS E TERMO DE COMPROMISSO </w:t>
      </w:r>
    </w:p>
    <w:p>
      <w:pPr>
        <w:pStyle w:val="Normal"/>
        <w:numPr>
          <w:ilvl w:val="0"/>
          <w:numId w:val="12"/>
        </w:numPr>
        <w:spacing w:lineRule="auto" w:line="360"/>
        <w:jc w:val="both"/>
        <w:rPr/>
      </w:pPr>
      <w:r>
        <w:rPr>
          <w:rFonts w:cs="Arial" w:ascii="Arial" w:hAnsi="Arial"/>
          <w:b/>
          <w:bCs/>
          <w:color w:val="000000"/>
          <w:sz w:val="22"/>
          <w:szCs w:val="22"/>
          <w:shd w:fill="auto" w:val="clear"/>
        </w:rPr>
        <w:t xml:space="preserve">7.1 </w:t>
      </w:r>
      <w:r>
        <w:rPr>
          <w:rStyle w:val="Strong"/>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8. DA EXECUÇÃO/ E DO RECEBIMENTO</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 xml:space="preserve">Os produtos/serviços constantes na ata de registro de preços deverão ser executados mediante o recebimento de nota de empenho e ordem de serviço, e após a assinatura do contrato, nos termos do art. 95, da Lei Federal nº 14.133, de 2013, onde constará: dotação orçamentária, prazos, locais e servidor responsável pelo acompanhamento.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8.1.1 </w:t>
      </w:r>
      <w:r>
        <w:rPr>
          <w:rFonts w:cs="Arial" w:ascii="Arial" w:hAnsi="Arial"/>
          <w:b w:val="false"/>
          <w:bCs w:val="false"/>
          <w:color w:val="000000"/>
          <w:sz w:val="22"/>
          <w:szCs w:val="22"/>
          <w:shd w:fill="auto" w:val="clear"/>
        </w:rPr>
        <w:t xml:space="preserve">O fornecimento dos itens e a execução dos serviços deverão atender INTEGRALMENTE aos PRAZOS, LOCAIS, CONDIÇÕES, EXIGÊNCIAS E OBRIGAÇÕES dispostas no TERMO DE REFERÊNCIA, disponível em arquivo anexo a este edital (Anexo I).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8.1.2 </w:t>
      </w:r>
      <w:r>
        <w:rPr>
          <w:rFonts w:cs="Arial" w:ascii="Arial" w:hAnsi="Arial"/>
          <w:color w:val="000000"/>
          <w:sz w:val="22"/>
          <w:szCs w:val="22"/>
          <w:shd w:fill="auto" w:val="clear"/>
        </w:rPr>
        <w:t xml:space="preserve">As licitantes devem acompanhar a emissão dos empenhos pelo sistema da Prefeitura, por meio do Portal da Transparência.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No caso de execução/prestação de serviço estar em desacordo com o estabelecido neste edital e respectivo Termo de Referência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 xml:space="preserve">8.3 </w:t>
      </w:r>
      <w:r>
        <w:rPr>
          <w:rFonts w:cs="Arial" w:ascii="Arial" w:hAnsi="Arial"/>
          <w:b w:val="false"/>
          <w:bCs w:val="false"/>
          <w:color w:val="000000"/>
          <w:sz w:val="22"/>
          <w:szCs w:val="22"/>
          <w:shd w:fill="auto" w:val="clear"/>
        </w:rPr>
        <w:t xml:space="preserve">A entrega dos materiais será feita </w:t>
      </w:r>
      <w:r>
        <w:rPr>
          <w:rStyle w:val="Strong"/>
          <w:rFonts w:cs="Arial" w:ascii="Arial" w:hAnsi="Arial"/>
          <w:b w:val="false"/>
          <w:bCs w:val="false"/>
          <w:color w:val="000000"/>
          <w:sz w:val="22"/>
          <w:szCs w:val="22"/>
          <w:shd w:fill="auto" w:val="clear"/>
        </w:rPr>
        <w:t>conforme demanda</w:t>
      </w:r>
      <w:r>
        <w:rPr>
          <w:rFonts w:cs="Arial" w:ascii="Arial" w:hAnsi="Arial"/>
          <w:b w:val="false"/>
          <w:bCs w:val="false"/>
          <w:color w:val="000000"/>
          <w:sz w:val="22"/>
          <w:szCs w:val="22"/>
          <w:shd w:fill="auto" w:val="clear"/>
        </w:rPr>
        <w:t xml:space="preserve">, com vigência da ata de registro de preços de </w:t>
      </w:r>
      <w:r>
        <w:rPr>
          <w:rStyle w:val="Strong"/>
          <w:rFonts w:cs="Arial" w:ascii="Arial" w:hAnsi="Arial"/>
          <w:b w:val="false"/>
          <w:bCs w:val="false"/>
          <w:color w:val="000000"/>
          <w:sz w:val="22"/>
          <w:szCs w:val="22"/>
          <w:shd w:fill="auto" w:val="clear"/>
        </w:rPr>
        <w:t>12 (doze) meses</w:t>
      </w:r>
      <w:r>
        <w:rPr>
          <w:rFonts w:cs="Arial" w:ascii="Arial" w:hAnsi="Arial"/>
          <w:b w:val="false"/>
          <w:bCs w:val="false"/>
          <w:color w:val="000000"/>
          <w:sz w:val="22"/>
          <w:szCs w:val="22"/>
          <w:shd w:fill="auto" w:val="clear"/>
        </w:rPr>
        <w:t xml:space="preserve">, prorrogável nos termos do </w:t>
      </w:r>
      <w:r>
        <w:rPr>
          <w:rStyle w:val="Strong"/>
          <w:rFonts w:cs="Arial" w:ascii="Arial" w:hAnsi="Arial"/>
          <w:b w:val="false"/>
          <w:bCs w:val="false"/>
          <w:color w:val="000000"/>
          <w:sz w:val="22"/>
          <w:szCs w:val="22"/>
          <w:shd w:fill="auto" w:val="clear"/>
        </w:rPr>
        <w:t>art. 84 da Lei nº 14.133/2021</w:t>
      </w:r>
      <w:r>
        <w:rPr>
          <w:rFonts w:cs="Arial" w:ascii="Arial" w:hAnsi="Arial"/>
          <w:b w:val="false"/>
          <w:bCs w:val="false"/>
          <w:color w:val="000000"/>
          <w:sz w:val="22"/>
          <w:szCs w:val="22"/>
          <w:shd w:fill="auto" w:val="clear"/>
        </w:rPr>
        <w:t>. As medidas e quantidades exatas serão informadas no momento de cada requisição. A contratada deverá ofertar amostras para prova, quando solicitado.</w:t>
      </w:r>
    </w:p>
    <w:p>
      <w:pPr>
        <w:pStyle w:val="Normal"/>
        <w:numPr>
          <w:ilvl w:val="0"/>
          <w:numId w:val="12"/>
        </w:numPr>
        <w:spacing w:lineRule="auto" w:line="360"/>
        <w:jc w:val="both"/>
        <w:rPr>
          <w:rFonts w:ascii="Arial" w:hAnsi="Arial"/>
          <w:sz w:val="22"/>
          <w:szCs w:val="22"/>
        </w:rPr>
      </w:pPr>
      <w:r>
        <w:rPr>
          <w:rFonts w:cs="Arial" w:ascii="Arial" w:hAnsi="Arial"/>
          <w:b/>
          <w:bCs/>
          <w:color w:val="000000"/>
          <w:sz w:val="22"/>
          <w:szCs w:val="22"/>
          <w:shd w:fill="auto" w:val="clear"/>
        </w:rPr>
        <w:t>8.4</w:t>
      </w:r>
      <w:r>
        <w:rPr>
          <w:rFonts w:cs="Arial" w:ascii="Arial" w:hAnsi="Arial"/>
          <w:color w:val="000000"/>
          <w:sz w:val="22"/>
          <w:szCs w:val="22"/>
          <w:shd w:fill="auto" w:val="clear"/>
        </w:rPr>
        <w:t xml:space="preserve"> </w:t>
      </w:r>
      <w:r>
        <w:rPr>
          <w:rFonts w:cs="Arial" w:ascii="Arial" w:hAnsi="Arial"/>
          <w:b w:val="false"/>
          <w:bCs w:val="false"/>
          <w:color w:val="000000"/>
          <w:sz w:val="22"/>
          <w:szCs w:val="22"/>
          <w:shd w:fill="auto" w:val="clear"/>
        </w:rPr>
        <w:t>Os produtos deverão ser entregues na Secretaria de Educação ou de Esportes, cfe pedido</w:t>
      </w:r>
      <w:r>
        <w:rPr>
          <w:rStyle w:val="Strong"/>
          <w:rFonts w:cs="Arial" w:ascii="Arial" w:hAnsi="Arial"/>
          <w:b w:val="false"/>
          <w:bCs w:val="false"/>
          <w:color w:val="000000"/>
          <w:sz w:val="22"/>
          <w:szCs w:val="22"/>
          <w:shd w:fill="auto" w:val="clear"/>
        </w:rPr>
        <w:t>.</w:t>
      </w:r>
      <w:r>
        <w:rPr>
          <w:rFonts w:cs="Arial" w:ascii="Arial" w:hAnsi="Arial"/>
          <w:b w:val="false"/>
          <w:bCs w:val="false"/>
          <w:color w:val="000000"/>
          <w:sz w:val="22"/>
          <w:szCs w:val="22"/>
          <w:shd w:fill="auto" w:val="clear"/>
        </w:rPr>
        <w:t xml:space="preserve"> Contato: Ivan – (51) 3718-1700.</w:t>
      </w:r>
    </w:p>
    <w:p>
      <w:pPr>
        <w:pStyle w:val="Normal"/>
        <w:numPr>
          <w:ilvl w:val="0"/>
          <w:numId w:val="1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9. DAS OBRIGAÇÕES DA EMPRESA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9.1 </w:t>
      </w:r>
      <w:r>
        <w:rPr>
          <w:rFonts w:cs="Arial" w:ascii="Arial" w:hAnsi="Arial"/>
          <w:color w:val="000000"/>
          <w:sz w:val="22"/>
          <w:szCs w:val="22"/>
          <w:shd w:fill="auto" w:val="clear"/>
        </w:rPr>
        <w:t>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serviços e de qualquer tipo de demanda.</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 xml:space="preserve">A empresa será responsável por quaisquer danos materiais e/ou pessoais causados ao Município, ou a terceiros, provocados por seus empregados, ainda que por omissão involuntária.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 xml:space="preserve">Deverão ser prestados pela empresa, todos os esclarecimentos que forem solicitados pelo Município, e cujas reclamações se obriga a atender prontamente.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 xml:space="preserve">No valor registrado estão incluídas todas as despesas de fretes, taxas, impostos e seguros, bem como quaisquer outros encargos que incidam ou venham a incidir sobre o produto.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9.5 </w:t>
      </w:r>
      <w:r>
        <w:rPr>
          <w:rFonts w:cs="Arial" w:ascii="Arial" w:hAnsi="Arial"/>
          <w:b w:val="false"/>
          <w:bCs w:val="false"/>
          <w:color w:val="000000"/>
          <w:sz w:val="22"/>
          <w:szCs w:val="22"/>
          <w:shd w:fill="auto" w:val="clear"/>
        </w:rPr>
        <w:t>A</w:t>
      </w:r>
      <w:r>
        <w:rPr>
          <w:rFonts w:cs="Arial" w:ascii="Arial" w:hAnsi="Arial"/>
          <w:color w:val="000000"/>
          <w:sz w:val="22"/>
          <w:szCs w:val="22"/>
          <w:shd w:fill="auto" w:val="clear"/>
        </w:rPr>
        <w:t xml:space="preserve"> prestação de serviço será realizado conforme solicitação do Município (mediante empenho prévio) e de acordo com a sua necessidade. </w:t>
      </w:r>
    </w:p>
    <w:p>
      <w:pPr>
        <w:pStyle w:val="Default"/>
        <w:numPr>
          <w:ilvl w:val="0"/>
          <w:numId w:val="12"/>
        </w:numPr>
        <w:spacing w:lineRule="auto" w:line="360"/>
        <w:jc w:val="both"/>
        <w:rPr>
          <w:rFonts w:cs="Arial"/>
          <w:b/>
          <w:color w:val="000000"/>
          <w:shd w:fill="auto" w:val="clear"/>
        </w:rPr>
      </w:pPr>
      <w:r>
        <w:rPr>
          <w:rFonts w:cs="Arial"/>
          <w:b/>
          <w:color w:val="000000"/>
          <w:shd w:fill="auto" w:val="clear"/>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10. DAS SANÇÕES PARA O INADIMPLEMENTO </w:t>
      </w:r>
    </w:p>
    <w:p>
      <w:pPr>
        <w:pStyle w:val="Default"/>
        <w:numPr>
          <w:ilvl w:val="0"/>
          <w:numId w:val="12"/>
        </w:numPr>
        <w:spacing w:lineRule="auto" w:line="360"/>
        <w:jc w:val="both"/>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Comete infração administrativa, nos termos da </w:t>
      </w:r>
      <w:r>
        <w:rPr>
          <w:rStyle w:val="LinkdaInternet"/>
          <w:rFonts w:eastAsia="Arial" w:cs="Arial" w:ascii="Arial" w:hAnsi="Arial"/>
          <w:color w:val="000000"/>
          <w:sz w:val="22"/>
          <w:szCs w:val="22"/>
          <w:u w:val="none"/>
          <w:shd w:fill="auto" w:val="clear"/>
        </w:rPr>
        <w:t>Lei nº 14.133, de 2021</w:t>
      </w:r>
      <w:r>
        <w:rPr>
          <w:rFonts w:cs="Arial" w:ascii="Arial" w:hAnsi="Arial"/>
          <w:color w:val="000000"/>
          <w:sz w:val="22"/>
          <w:szCs w:val="22"/>
          <w:shd w:fill="auto" w:val="clear"/>
        </w:rPr>
        <w:t>, o contratado que</w:t>
      </w:r>
      <w:r>
        <w:rPr>
          <w:rFonts w:cs="Arial" w:ascii="Arial" w:hAnsi="Arial"/>
          <w:b/>
          <w:color w:val="000000"/>
          <w:sz w:val="22"/>
          <w:szCs w:val="22"/>
          <w:shd w:fill="auto" w:val="clear"/>
        </w:rPr>
        <w:t>:</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der causa à inexecução parcial do contrato;</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der causa à inexecução parcial do contrato que cause grave dano à Administração ou ao funcionamento dos serviços públicos ou ao interesse coletivo;</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der causa à inexecução total do contrato;</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ensejar o retardamento da execução ou da entrega do objeto da contratação sem motivo justificado;</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e) </w:t>
      </w:r>
      <w:r>
        <w:rPr>
          <w:rFonts w:eastAsia="Arial" w:cs="Arial" w:ascii="Arial" w:hAnsi="Arial"/>
          <w:color w:val="000000"/>
          <w:sz w:val="22"/>
          <w:szCs w:val="22"/>
          <w:shd w:fill="auto" w:val="clear"/>
        </w:rPr>
        <w:t>apresentar documentação falsa ou prestar declaração falsa durante a execução do contrato;</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praticar ato fraudulento na execução do contrato;</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g)</w:t>
      </w:r>
      <w:r>
        <w:rPr>
          <w:rFonts w:eastAsia="Arial" w:cs="Arial" w:ascii="Arial" w:hAnsi="Arial"/>
          <w:color w:val="000000"/>
          <w:sz w:val="22"/>
          <w:szCs w:val="22"/>
          <w:shd w:fill="auto" w:val="clear"/>
        </w:rPr>
        <w:t xml:space="preserve"> comportar-se de modo inidôneo ou cometer fraude de qualquer natureza;</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h)</w:t>
      </w:r>
      <w:r>
        <w:rPr>
          <w:rFonts w:eastAsia="Arial" w:cs="Arial" w:ascii="Arial" w:hAnsi="Arial"/>
          <w:color w:val="000000"/>
          <w:sz w:val="22"/>
          <w:szCs w:val="22"/>
          <w:shd w:fill="auto" w:val="clear"/>
        </w:rPr>
        <w:t xml:space="preserve"> praticar ato lesivo previsto no art. 5º da Lei nº 12.846, de 1º de agosto de 2013.</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shd w:fill="auto" w:val="clear"/>
        </w:rPr>
        <w:t>10.2</w:t>
      </w:r>
      <w:r>
        <w:rPr>
          <w:rFonts w:eastAsia="Arial" w:cs="Arial" w:ascii="Arial" w:hAnsi="Arial"/>
          <w:color w:val="000000"/>
          <w:sz w:val="22"/>
          <w:szCs w:val="22"/>
          <w:shd w:fill="auto" w:val="clear"/>
        </w:rPr>
        <w:t xml:space="preserve"> Serão aplicadas ao contratado que incorrer nas infrações acima descritas as seguintes sanções:</w:t>
      </w:r>
    </w:p>
    <w:p>
      <w:pPr>
        <w:pStyle w:val="Normal"/>
        <w:numPr>
          <w:ilvl w:val="0"/>
          <w:numId w:val="12"/>
        </w:numPr>
        <w:spacing w:lineRule="auto" w:line="360"/>
        <w:jc w:val="both"/>
        <w:rPr/>
      </w:pPr>
      <w:bookmarkStart w:id="7" w:name="_3znysh71"/>
      <w:bookmarkEnd w:id="7"/>
      <w:r>
        <w:rPr>
          <w:rFonts w:eastAsia="Arial" w:cs="Arial" w:ascii="Arial" w:hAnsi="Arial"/>
          <w:b/>
          <w:color w:val="000000"/>
          <w:sz w:val="22"/>
          <w:szCs w:val="22"/>
          <w:shd w:fill="auto" w:val="clear"/>
        </w:rPr>
        <w:t>10.2.1 Advertência</w:t>
      </w:r>
      <w:r>
        <w:rPr>
          <w:rFonts w:eastAsia="Arial" w:cs="Arial" w:ascii="Arial" w:hAnsi="Arial"/>
          <w:color w:val="000000"/>
          <w:sz w:val="22"/>
          <w:szCs w:val="22"/>
          <w:shd w:fill="auto" w:val="clear"/>
        </w:rPr>
        <w:t>, quando o contratado der causa à inexecução parcial do contrato, sempre que não se justificar a imposição de penalidade mais grave</w:t>
      </w:r>
      <w:r>
        <w:rPr>
          <w:rFonts w:eastAsia="Arial" w:cs="Arial" w:ascii="Arial" w:hAnsi="Arial"/>
          <w:color w:val="000000"/>
          <w:sz w:val="22"/>
          <w:szCs w:val="22"/>
          <w:u w:val="none"/>
          <w:shd w:fill="auto" w:val="clear"/>
        </w:rPr>
        <w:t xml:space="preserve"> (</w:t>
      </w:r>
      <w:r>
        <w:rPr>
          <w:rStyle w:val="LinkdaInternet"/>
          <w:rFonts w:eastAsia="Arial" w:cs="Arial" w:ascii="Arial" w:hAnsi="Arial"/>
          <w:color w:val="000000"/>
          <w:sz w:val="22"/>
          <w:szCs w:val="22"/>
          <w:u w:val="none"/>
          <w:shd w:fill="auto" w:val="clear"/>
        </w:rPr>
        <w:t>art. 156, §2º, da Lei nº 14.133, de 2021</w:t>
      </w:r>
      <w:r>
        <w:rPr>
          <w:rFonts w:eastAsia="Arial" w:cs="Arial" w:ascii="Arial" w:hAnsi="Arial"/>
          <w:color w:val="000000"/>
          <w:sz w:val="22"/>
          <w:szCs w:val="22"/>
          <w:u w:val="none"/>
          <w:shd w:fill="auto" w:val="clear"/>
        </w:rPr>
        <w:t>);</w:t>
      </w:r>
    </w:p>
    <w:p>
      <w:pPr>
        <w:pStyle w:val="Normal"/>
        <w:numPr>
          <w:ilvl w:val="2"/>
          <w:numId w:val="12"/>
        </w:numPr>
        <w:spacing w:lineRule="auto" w:line="360"/>
        <w:jc w:val="both"/>
        <w:rPr/>
      </w:pPr>
      <w:r>
        <w:rPr>
          <w:rFonts w:eastAsia="Arial" w:cs="Arial" w:ascii="Arial" w:hAnsi="Arial"/>
          <w:b/>
          <w:color w:val="000000"/>
          <w:sz w:val="22"/>
          <w:szCs w:val="22"/>
          <w:u w:val="none"/>
          <w:shd w:fill="auto" w:val="clear"/>
        </w:rPr>
        <w:t>10.2.2 Impedimento de licitar e contratar</w:t>
      </w:r>
      <w:r>
        <w:rPr>
          <w:rFonts w:eastAsia="Arial" w:cs="Arial" w:ascii="Arial" w:hAnsi="Arial"/>
          <w:color w:val="000000"/>
          <w:sz w:val="22"/>
          <w:szCs w:val="22"/>
          <w:u w:val="none"/>
          <w:shd w:fill="auto" w:val="clear"/>
        </w:rPr>
        <w:t>, quando praticadas as condutas descritas nas alíneas “b”, “c” e “d” do subitem acima deste Contrato, sempre que não se justificar a imposição de penalidade mais grave (</w:t>
      </w:r>
      <w:r>
        <w:rPr>
          <w:rStyle w:val="LinkdaInternet"/>
          <w:rFonts w:eastAsia="Arial" w:cs="Arial" w:ascii="Arial" w:hAnsi="Arial"/>
          <w:color w:val="000000"/>
          <w:sz w:val="22"/>
          <w:szCs w:val="22"/>
          <w:u w:val="none"/>
          <w:shd w:fill="auto" w:val="clear"/>
        </w:rPr>
        <w:t>art. 156, § 4º,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pPr>
      <w:r>
        <w:rPr>
          <w:rFonts w:eastAsia="Arial" w:cs="Arial" w:ascii="Arial" w:hAnsi="Arial"/>
          <w:b/>
          <w:color w:val="000000"/>
          <w:sz w:val="22"/>
          <w:szCs w:val="22"/>
          <w:u w:val="none"/>
          <w:shd w:fill="auto" w:val="clear"/>
        </w:rPr>
        <w:t>10.2.3 Declaração de inidoneidade para licitar e contratar</w:t>
      </w:r>
      <w:r>
        <w:rPr>
          <w:rFonts w:eastAsia="Arial" w:cs="Arial" w:ascii="Arial" w:hAnsi="Arial"/>
          <w:color w:val="000000"/>
          <w:sz w:val="22"/>
          <w:szCs w:val="22"/>
          <w:u w:val="none"/>
          <w:shd w:fill="auto" w:val="clear"/>
        </w:rPr>
        <w:t>, quando praticadas as condutas descritas nas alíneas “e”, “f”, “g” e “h” do subitem acima deste Contrato, bem como nas alíneas “b”, “c” e “d”, que justifiquem a imposição de penalidade mais grave (</w:t>
      </w:r>
      <w:r>
        <w:rPr>
          <w:rStyle w:val="LinkdaInternet"/>
          <w:rFonts w:eastAsia="Arial" w:cs="Arial" w:ascii="Arial" w:hAnsi="Arial"/>
          <w:color w:val="000000"/>
          <w:sz w:val="22"/>
          <w:szCs w:val="22"/>
          <w:u w:val="none"/>
          <w:shd w:fill="auto" w:val="clear"/>
        </w:rPr>
        <w:t>art. 156, §5º,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rFonts w:ascii="Arial" w:hAnsi="Arial" w:eastAsia="Arial" w:cs="Arial"/>
          <w:color w:val="000000"/>
          <w:sz w:val="22"/>
          <w:szCs w:val="22"/>
          <w:u w:val="none"/>
          <w:shd w:fill="auto" w:val="clear"/>
        </w:rPr>
      </w:pPr>
      <w:r>
        <w:rPr>
          <w:rFonts w:eastAsia="Arial" w:cs="Arial" w:ascii="Arial" w:hAnsi="Arial"/>
          <w:color w:val="000000"/>
          <w:sz w:val="22"/>
          <w:szCs w:val="22"/>
          <w:u w:val="none"/>
          <w:shd w:fill="auto" w:val="clear"/>
        </w:rPr>
      </w:r>
    </w:p>
    <w:p>
      <w:pPr>
        <w:pStyle w:val="Normal"/>
        <w:numPr>
          <w:ilvl w:val="2"/>
          <w:numId w:val="12"/>
        </w:numPr>
        <w:spacing w:lineRule="auto" w:line="360"/>
        <w:jc w:val="both"/>
        <w:rPr>
          <w:rFonts w:ascii="Arial" w:hAnsi="Arial"/>
          <w:sz w:val="22"/>
          <w:szCs w:val="22"/>
        </w:rPr>
      </w:pPr>
      <w:r>
        <w:rPr>
          <w:rFonts w:eastAsia="Arial" w:cs="Arial" w:ascii="Arial" w:hAnsi="Arial"/>
          <w:b/>
          <w:color w:val="000000"/>
          <w:sz w:val="22"/>
          <w:szCs w:val="22"/>
          <w:u w:val="none"/>
          <w:shd w:fill="auto" w:val="clear"/>
        </w:rPr>
        <w:t>10.2.4 Multa:</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a) </w:t>
      </w:r>
      <w:r>
        <w:rPr>
          <w:rFonts w:eastAsia="Arial" w:cs="Arial" w:ascii="Arial" w:hAnsi="Arial"/>
          <w:color w:val="000000"/>
          <w:sz w:val="22"/>
          <w:szCs w:val="22"/>
          <w:u w:val="none"/>
          <w:shd w:fill="auto" w:val="clear"/>
        </w:rPr>
        <w:t>moratória de 1% (um por cento) por dia de atraso injustificado sobre o valor da parcela inadimplida, até o limite de 15 (quinze) dias;</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compensatória de 15% (quinze por cento) sobre o valor total do contrato, no caso de inexecução total do objeto;</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 xml:space="preserve">10.3 </w:t>
      </w:r>
      <w:r>
        <w:rPr>
          <w:rFonts w:eastAsia="Arial" w:cs="Arial" w:ascii="Arial" w:hAnsi="Arial"/>
          <w:color w:val="000000"/>
          <w:sz w:val="22"/>
          <w:szCs w:val="22"/>
          <w:u w:val="none"/>
          <w:shd w:fill="auto" w:val="clear"/>
        </w:rPr>
        <w:t>A aplicação das sanções previstas neste Contrato não exclui, em hipótese alguma, a obrigação de reparação integral do dano causado ao Contratante (</w:t>
      </w:r>
      <w:r>
        <w:rPr>
          <w:rStyle w:val="LinkdaInternet"/>
          <w:rFonts w:eastAsia="Arial" w:cs="Arial" w:ascii="Arial" w:hAnsi="Arial"/>
          <w:color w:val="000000"/>
          <w:sz w:val="22"/>
          <w:szCs w:val="22"/>
          <w:u w:val="none"/>
          <w:shd w:fill="auto" w:val="clear"/>
        </w:rPr>
        <w:t>art. 156, §9º,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10.4</w:t>
      </w:r>
      <w:r>
        <w:rPr>
          <w:rFonts w:eastAsia="Arial" w:cs="Arial" w:ascii="Arial" w:hAnsi="Arial"/>
          <w:color w:val="000000"/>
          <w:sz w:val="22"/>
          <w:szCs w:val="22"/>
          <w:u w:val="none"/>
          <w:shd w:fill="auto" w:val="clear"/>
        </w:rPr>
        <w:t xml:space="preserve"> Todas as sanções previstas neste Contrato poderão ser aplicadas cumulativamente com a multa (</w:t>
      </w:r>
      <w:r>
        <w:rPr>
          <w:rStyle w:val="LinkdaInternet"/>
          <w:rFonts w:eastAsia="Arial" w:cs="Arial" w:ascii="Arial" w:hAnsi="Arial"/>
          <w:color w:val="000000"/>
          <w:sz w:val="22"/>
          <w:szCs w:val="22"/>
          <w:u w:val="none"/>
          <w:shd w:fill="auto" w:val="clear"/>
        </w:rPr>
        <w:t>art. 156, §7º,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10.5</w:t>
      </w:r>
      <w:r>
        <w:rPr>
          <w:rFonts w:eastAsia="Arial" w:cs="Arial" w:ascii="Arial" w:hAnsi="Arial"/>
          <w:color w:val="000000"/>
          <w:sz w:val="22"/>
          <w:szCs w:val="22"/>
          <w:u w:val="none"/>
          <w:shd w:fill="auto" w:val="clear"/>
        </w:rPr>
        <w:t xml:space="preserve"> Antes da aplicação da multa será facultada a defesa do interessado no prazo de 15 (quinze) dias úteis, contado da data de sua intimação (</w:t>
      </w:r>
      <w:r>
        <w:rPr>
          <w:rStyle w:val="LinkdaInternet"/>
          <w:rFonts w:eastAsia="Arial" w:cs="Arial" w:ascii="Arial" w:hAnsi="Arial"/>
          <w:color w:val="000000"/>
          <w:sz w:val="22"/>
          <w:szCs w:val="22"/>
          <w:u w:val="none"/>
          <w:shd w:fill="auto" w:val="clear"/>
        </w:rPr>
        <w:t>art. 157,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10.6</w:t>
      </w:r>
      <w:r>
        <w:rPr>
          <w:rFonts w:eastAsia="Arial" w:cs="Arial" w:ascii="Arial" w:hAnsi="Arial"/>
          <w:color w:val="000000"/>
          <w:sz w:val="22"/>
          <w:szCs w:val="22"/>
          <w:u w:val="none"/>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r>
        <w:rPr>
          <w:rStyle w:val="LinkdaInternet"/>
          <w:rFonts w:eastAsia="Arial" w:cs="Arial" w:ascii="Arial" w:hAnsi="Arial"/>
          <w:color w:val="000000"/>
          <w:sz w:val="22"/>
          <w:szCs w:val="22"/>
          <w:u w:val="none"/>
          <w:shd w:fill="auto" w:val="clear"/>
        </w:rPr>
        <w:t>art. 156, §8º,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rFonts w:ascii="Arial" w:hAnsi="Arial"/>
          <w:sz w:val="22"/>
          <w:szCs w:val="22"/>
        </w:rPr>
      </w:pPr>
      <w:bookmarkStart w:id="8" w:name="_2et92p01"/>
      <w:bookmarkEnd w:id="8"/>
      <w:r>
        <w:rPr>
          <w:rFonts w:eastAsia="Arial" w:cs="Arial" w:ascii="Arial" w:hAnsi="Arial"/>
          <w:b/>
          <w:bCs/>
          <w:color w:val="000000"/>
          <w:sz w:val="22"/>
          <w:szCs w:val="22"/>
          <w:u w:val="none"/>
          <w:shd w:fill="auto" w:val="clear"/>
        </w:rPr>
        <w:t>10.7</w:t>
      </w:r>
      <w:r>
        <w:rPr>
          <w:rFonts w:eastAsia="Arial" w:cs="Arial" w:ascii="Arial" w:hAnsi="Arial"/>
          <w:color w:val="000000"/>
          <w:sz w:val="22"/>
          <w:szCs w:val="22"/>
          <w:u w:val="none"/>
          <w:shd w:fill="auto" w:val="clear"/>
        </w:rPr>
        <w:t xml:space="preserve"> Previamente ao encaminhamento à cobrança judicial, a multa poderá ser recolhida administrativamente no prazo máximo de 30 (trinta) dias, a contar da data do recebimento da comunicação enviada pela autoridade competente.</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10.8</w:t>
      </w:r>
      <w:r>
        <w:rPr>
          <w:rFonts w:eastAsia="Arial" w:cs="Arial" w:ascii="Arial" w:hAnsi="Arial"/>
          <w:color w:val="000000"/>
          <w:sz w:val="22"/>
          <w:szCs w:val="22"/>
          <w:u w:val="none"/>
          <w:shd w:fill="auto" w:val="clear"/>
        </w:rPr>
        <w:t xml:space="preserve"> A aplicação das sanções realizar-se-á em processo administrativo que assegure o contraditório e a ampla defesa ao Contratado, observando-se o procedimento previsto no </w:t>
      </w:r>
      <w:r>
        <w:rPr>
          <w:rFonts w:eastAsia="Arial" w:cs="Arial" w:ascii="Arial" w:hAnsi="Arial"/>
          <w:b/>
          <w:color w:val="000000"/>
          <w:sz w:val="22"/>
          <w:szCs w:val="22"/>
          <w:u w:val="none"/>
          <w:shd w:fill="auto" w:val="clear"/>
        </w:rPr>
        <w:t xml:space="preserve">caput </w:t>
      </w:r>
      <w:r>
        <w:rPr>
          <w:rFonts w:eastAsia="Arial" w:cs="Arial" w:ascii="Arial" w:hAnsi="Arial"/>
          <w:color w:val="000000"/>
          <w:sz w:val="22"/>
          <w:szCs w:val="22"/>
          <w:u w:val="none"/>
          <w:shd w:fill="auto" w:val="clear"/>
        </w:rPr>
        <w:t xml:space="preserve">e parágrafos do </w:t>
      </w:r>
      <w:r>
        <w:rPr>
          <w:rStyle w:val="LinkdaInternet"/>
          <w:rFonts w:eastAsia="Arial" w:cs="Arial" w:ascii="Arial" w:hAnsi="Arial"/>
          <w:color w:val="000000"/>
          <w:sz w:val="22"/>
          <w:szCs w:val="22"/>
          <w:u w:val="none"/>
          <w:shd w:fill="auto" w:val="clear"/>
        </w:rPr>
        <w:t>art. 158 da Lei nº 14.133, de 2021</w:t>
      </w:r>
      <w:r>
        <w:rPr>
          <w:rFonts w:eastAsia="Arial" w:cs="Arial" w:ascii="Arial" w:hAnsi="Arial"/>
          <w:color w:val="000000"/>
          <w:sz w:val="22"/>
          <w:szCs w:val="22"/>
          <w:u w:val="none"/>
          <w:shd w:fill="auto" w:val="clear"/>
        </w:rPr>
        <w:t>, para as penalidades de impedimento de licitar e contratar e de declaração de inidoneidade para licitar ou contratar.</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10.9</w:t>
      </w:r>
      <w:r>
        <w:rPr>
          <w:rFonts w:eastAsia="Arial" w:cs="Arial" w:ascii="Arial" w:hAnsi="Arial"/>
          <w:color w:val="000000"/>
          <w:sz w:val="22"/>
          <w:szCs w:val="22"/>
          <w:u w:val="none"/>
          <w:shd w:fill="auto" w:val="clear"/>
        </w:rPr>
        <w:t xml:space="preserve"> Na aplicação das sanções serão considerados (</w:t>
      </w:r>
      <w:r>
        <w:rPr>
          <w:rStyle w:val="LinkdaInternet"/>
          <w:rFonts w:eastAsia="Arial" w:cs="Arial" w:ascii="Arial" w:hAnsi="Arial"/>
          <w:color w:val="000000"/>
          <w:sz w:val="22"/>
          <w:szCs w:val="22"/>
          <w:u w:val="none"/>
          <w:shd w:fill="auto" w:val="clear"/>
        </w:rPr>
        <w:t>art. 156, §1º,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a)</w:t>
      </w:r>
      <w:r>
        <w:rPr>
          <w:rFonts w:eastAsia="Arial" w:cs="Arial" w:ascii="Arial" w:hAnsi="Arial"/>
          <w:color w:val="000000"/>
          <w:sz w:val="22"/>
          <w:szCs w:val="22"/>
          <w:u w:val="none"/>
          <w:shd w:fill="auto" w:val="clear"/>
        </w:rPr>
        <w:t xml:space="preserve"> a natureza e a gravidade da infração cometida;</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as peculiaridades do caso concreto;</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c)</w:t>
      </w:r>
      <w:r>
        <w:rPr>
          <w:rFonts w:eastAsia="Arial" w:cs="Arial" w:ascii="Arial" w:hAnsi="Arial"/>
          <w:color w:val="000000"/>
          <w:sz w:val="22"/>
          <w:szCs w:val="22"/>
          <w:u w:val="none"/>
          <w:shd w:fill="auto" w:val="clear"/>
        </w:rPr>
        <w:t xml:space="preserve"> as circunstâncias agravantes ou atenuantes;</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d)</w:t>
      </w:r>
      <w:r>
        <w:rPr>
          <w:rFonts w:eastAsia="Arial" w:cs="Arial" w:ascii="Arial" w:hAnsi="Arial"/>
          <w:color w:val="000000"/>
          <w:sz w:val="22"/>
          <w:szCs w:val="22"/>
          <w:u w:val="none"/>
          <w:shd w:fill="auto" w:val="clear"/>
        </w:rPr>
        <w:t xml:space="preserve"> os danos que dela provierem para o Contratante;</w:t>
      </w:r>
    </w:p>
    <w:p>
      <w:pPr>
        <w:pStyle w:val="Normal"/>
        <w:numPr>
          <w:ilvl w:val="0"/>
          <w:numId w:val="1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e)</w:t>
      </w:r>
      <w:r>
        <w:rPr>
          <w:rFonts w:eastAsia="Arial" w:cs="Arial" w:ascii="Arial" w:hAnsi="Arial"/>
          <w:color w:val="000000"/>
          <w:sz w:val="22"/>
          <w:szCs w:val="22"/>
          <w:u w:val="none"/>
          <w:shd w:fill="auto" w:val="clear"/>
        </w:rPr>
        <w:t xml:space="preserve"> a implantação ou o aperfeiçoamento de programa de integridade, conforme normas e orientações dos órgãos de controle.</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10.10</w:t>
      </w:r>
      <w:r>
        <w:rPr>
          <w:rFonts w:eastAsia="Arial" w:cs="Arial" w:ascii="Arial" w:hAnsi="Arial"/>
          <w:color w:val="000000"/>
          <w:sz w:val="22"/>
          <w:szCs w:val="22"/>
          <w:u w:val="none"/>
          <w:shd w:fill="auto" w:val="clear"/>
        </w:rPr>
        <w:t xml:space="preserve"> Os atos previstos como infrações administrativas na </w:t>
      </w:r>
      <w:r>
        <w:rPr>
          <w:rStyle w:val="LinkdaInternet"/>
          <w:rFonts w:eastAsia="Arial" w:cs="Arial" w:ascii="Arial" w:hAnsi="Arial"/>
          <w:color w:val="000000"/>
          <w:sz w:val="22"/>
          <w:szCs w:val="22"/>
          <w:u w:val="none"/>
          <w:shd w:fill="auto" w:val="clear"/>
        </w:rPr>
        <w:t>Lei nº 14.133, de 2021</w:t>
      </w:r>
      <w:r>
        <w:rPr>
          <w:rFonts w:eastAsia="Arial" w:cs="Arial" w:ascii="Arial" w:hAnsi="Arial"/>
          <w:color w:val="000000"/>
          <w:sz w:val="22"/>
          <w:szCs w:val="22"/>
          <w:u w:val="none"/>
          <w:shd w:fill="auto" w:val="clear"/>
        </w:rPr>
        <w:t>, ou</w:t>
      </w:r>
      <w:r>
        <w:rPr>
          <w:rFonts w:eastAsia="Arial" w:cs="Arial" w:ascii="Arial" w:hAnsi="Arial"/>
          <w:color w:val="000000"/>
          <w:sz w:val="22"/>
          <w:szCs w:val="22"/>
          <w:shd w:fill="auto" w:val="clear"/>
        </w:rPr>
        <w:t xml:space="preserve"> em outras </w:t>
      </w:r>
      <w:r>
        <w:rPr>
          <w:rFonts w:eastAsia="Arial" w:cs="Arial" w:ascii="Arial" w:hAnsi="Arial"/>
          <w:color w:val="000000"/>
          <w:sz w:val="22"/>
          <w:szCs w:val="22"/>
          <w:u w:val="none"/>
          <w:shd w:fill="auto" w:val="clear"/>
        </w:rPr>
        <w:t xml:space="preserve">leis de licitações e contratos da Administração Pública que também sejam tipificados como atos lesivos </w:t>
      </w:r>
      <w:r>
        <w:rPr>
          <w:rStyle w:val="LinkdaInternet"/>
          <w:rFonts w:eastAsia="Arial" w:cs="Arial" w:ascii="Arial" w:hAnsi="Arial"/>
          <w:color w:val="000000"/>
          <w:sz w:val="22"/>
          <w:szCs w:val="22"/>
          <w:u w:val="none"/>
          <w:shd w:fill="auto" w:val="clear"/>
        </w:rPr>
        <w:t>na Lei nº 12.846, de 2013</w:t>
      </w:r>
      <w:r>
        <w:rPr>
          <w:rFonts w:eastAsia="Arial" w:cs="Arial" w:ascii="Arial" w:hAnsi="Arial"/>
          <w:color w:val="000000"/>
          <w:sz w:val="22"/>
          <w:szCs w:val="22"/>
          <w:u w:val="none"/>
          <w:shd w:fill="auto" w:val="clear"/>
        </w:rPr>
        <w:t xml:space="preserve">, serão apurados e julgados conjuntamente, nos mesmos autos, observados o rito procedimental e autoridade competente definidos na referida </w:t>
      </w:r>
      <w:r>
        <w:rPr>
          <w:rStyle w:val="LinkdaInternet"/>
          <w:rFonts w:eastAsia="Arial" w:cs="Arial" w:ascii="Arial" w:hAnsi="Arial"/>
          <w:color w:val="000000"/>
          <w:sz w:val="22"/>
          <w:szCs w:val="22"/>
          <w:u w:val="none"/>
          <w:shd w:fill="auto" w:val="clear"/>
        </w:rPr>
        <w:t>Lei (art. 159</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pPr>
      <w:r>
        <w:rPr>
          <w:rFonts w:eastAsia="Arial" w:cs="Arial" w:ascii="Arial" w:hAnsi="Arial"/>
          <w:b/>
          <w:bCs/>
          <w:color w:val="000000"/>
          <w:sz w:val="22"/>
          <w:szCs w:val="22"/>
          <w:shd w:fill="auto" w:val="clear"/>
        </w:rPr>
        <w:t>10.11</w:t>
      </w:r>
      <w:r>
        <w:rPr>
          <w:rFonts w:eastAsia="Arial" w:cs="Arial" w:ascii="Arial" w:hAnsi="Arial"/>
          <w:color w:val="000000"/>
          <w:sz w:val="22"/>
          <w:szCs w:val="22"/>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w:t>
      </w:r>
      <w:r>
        <w:rPr>
          <w:rFonts w:eastAsia="Arial" w:cs="Arial" w:ascii="Arial" w:hAnsi="Arial"/>
          <w:color w:val="000000"/>
          <w:sz w:val="22"/>
          <w:szCs w:val="22"/>
          <w:u w:val="none"/>
          <w:shd w:fill="auto" w:val="clear"/>
        </w:rPr>
        <w:t>ireito, com o Contratado, observados, em todos os casos, o contraditório, a ampla defesa e a obrigatoriedade de análise jurídica prévia (</w:t>
      </w:r>
      <w:r>
        <w:rPr>
          <w:rStyle w:val="LinkdaInternet"/>
          <w:rFonts w:eastAsia="Arial" w:cs="Arial" w:ascii="Arial" w:hAnsi="Arial"/>
          <w:color w:val="000000"/>
          <w:sz w:val="22"/>
          <w:szCs w:val="22"/>
          <w:u w:val="none"/>
          <w:shd w:fill="auto" w:val="clear"/>
        </w:rPr>
        <w:t>art. 160,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10.12</w:t>
      </w:r>
      <w:r>
        <w:rPr>
          <w:rFonts w:eastAsia="Arial" w:cs="Arial" w:ascii="Arial" w:hAnsi="Arial"/>
          <w:color w:val="000000"/>
          <w:sz w:val="22"/>
          <w:szCs w:val="22"/>
          <w:u w:val="none"/>
          <w:shd w:fill="auto" w:val="clea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Style w:val="LinkdaInternet"/>
          <w:rFonts w:eastAsia="Arial" w:cs="Arial" w:ascii="Arial" w:hAnsi="Arial"/>
          <w:color w:val="000000"/>
          <w:sz w:val="22"/>
          <w:szCs w:val="22"/>
          <w:u w:val="none"/>
          <w:shd w:fill="auto" w:val="clear"/>
        </w:rPr>
        <w:t>Art. 161, da Lei nº 14.133, de 2021</w:t>
      </w:r>
      <w:r>
        <w:rPr>
          <w:rFonts w:eastAsia="Arial" w:cs="Arial" w:ascii="Arial" w:hAnsi="Arial"/>
          <w:color w:val="000000"/>
          <w:sz w:val="22"/>
          <w:szCs w:val="22"/>
          <w:u w:val="none"/>
          <w:shd w:fill="auto" w:val="clear"/>
        </w:rPr>
        <w:t>)</w:t>
      </w:r>
    </w:p>
    <w:p>
      <w:pPr>
        <w:pStyle w:val="Normal"/>
        <w:numPr>
          <w:ilvl w:val="0"/>
          <w:numId w:val="12"/>
        </w:numPr>
        <w:spacing w:lineRule="auto" w:line="360"/>
        <w:jc w:val="both"/>
        <w:rPr/>
      </w:pPr>
      <w:r>
        <w:rPr>
          <w:rFonts w:eastAsia="Arial" w:cs="Arial" w:ascii="Arial" w:hAnsi="Arial"/>
          <w:b/>
          <w:bCs/>
          <w:color w:val="000000"/>
          <w:sz w:val="22"/>
          <w:szCs w:val="22"/>
          <w:u w:val="none"/>
          <w:shd w:fill="auto" w:val="clear"/>
        </w:rPr>
        <w:t xml:space="preserve">10.13 </w:t>
      </w:r>
      <w:r>
        <w:rPr>
          <w:rFonts w:eastAsia="Arial" w:cs="Arial" w:ascii="Arial" w:hAnsi="Arial"/>
          <w:color w:val="000000"/>
          <w:sz w:val="22"/>
          <w:szCs w:val="22"/>
          <w:u w:val="none"/>
          <w:shd w:fill="auto" w:val="clear"/>
        </w:rPr>
        <w:t xml:space="preserve">As sanções de impedimento de licitar e contratar e declaração de inidoneidade para licitar ou contratar são passíveis de reabilitação na forma do </w:t>
      </w:r>
      <w:r>
        <w:rPr>
          <w:rStyle w:val="LinkdaInternet"/>
          <w:rFonts w:eastAsia="Arial" w:cs="Arial" w:ascii="Arial" w:hAnsi="Arial"/>
          <w:color w:val="000000"/>
          <w:sz w:val="22"/>
          <w:szCs w:val="22"/>
          <w:u w:val="none"/>
          <w:shd w:fill="auto" w:val="clear"/>
        </w:rPr>
        <w:t>art. 163 da Lei nº 14.133/21.</w:t>
      </w:r>
    </w:p>
    <w:p>
      <w:pPr>
        <w:pStyle w:val="Default"/>
        <w:numPr>
          <w:ilvl w:val="0"/>
          <w:numId w:val="12"/>
        </w:numPr>
        <w:spacing w:lineRule="auto" w:line="360"/>
        <w:jc w:val="both"/>
        <w:rPr>
          <w:rFonts w:ascii="Arial" w:hAnsi="Arial"/>
          <w:sz w:val="22"/>
          <w:szCs w:val="22"/>
        </w:rPr>
      </w:pPr>
      <w:r>
        <w:rPr>
          <w:rFonts w:cs="Arial" w:ascii="Arial" w:hAnsi="Arial"/>
          <w:b/>
          <w:bCs/>
          <w:color w:val="000000"/>
          <w:sz w:val="22"/>
          <w:szCs w:val="22"/>
          <w:u w:val="none"/>
          <w:shd w:fill="auto" w:val="clear"/>
        </w:rPr>
        <w:t xml:space="preserve">10.14 </w:t>
      </w:r>
      <w:r>
        <w:rPr>
          <w:rFonts w:cs="Arial" w:ascii="Arial" w:hAnsi="Arial"/>
          <w:color w:val="000000"/>
          <w:sz w:val="22"/>
          <w:szCs w:val="22"/>
          <w:u w:val="none"/>
          <w:shd w:fill="auto" w:val="clear"/>
        </w:rPr>
        <w:t>Os débitos do contratado para com a Administração contratante, resultantes de multa administrativa e/ou indenizações, não inscritos em dívida ativa, poderão ser compensad</w:t>
      </w:r>
      <w:r>
        <w:rPr>
          <w:rFonts w:cs="Arial" w:ascii="Arial" w:hAnsi="Arial"/>
          <w:color w:val="000000"/>
          <w:sz w:val="22"/>
          <w:szCs w:val="22"/>
          <w:shd w:fill="auto" w:val="clear"/>
        </w:rPr>
        <w:t>os, total ou parcialmente, com os créditos devidos pelo referido órgão decorrentes deste mesmo contrato ou de outros contratos administrativos que o contratado possua com o mesmo órgão ora contratante.</w:t>
      </w:r>
    </w:p>
    <w:p>
      <w:pPr>
        <w:pStyle w:val="Default"/>
        <w:numPr>
          <w:ilvl w:val="0"/>
          <w:numId w:val="12"/>
        </w:numPr>
        <w:spacing w:lineRule="auto" w:line="360"/>
        <w:jc w:val="both"/>
        <w:rPr>
          <w:rFonts w:cs="Arial"/>
          <w:b/>
          <w:color w:val="000000"/>
          <w:shd w:fill="auto" w:val="clear"/>
        </w:rPr>
      </w:pPr>
      <w:r>
        <w:rPr>
          <w:rFonts w:cs="Arial"/>
          <w:b/>
          <w:color w:val="000000"/>
          <w:shd w:fill="auto" w:val="clear"/>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11. CASOS FORTUITOS OU DE FORÇA MAIOR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 xml:space="preserve">Serão considerados casos fortuitos ou de força maior, para efeito de cancelamento da Ata de Registro de Preços ou não aplicação de sanções, os inadimplementos decorrentes das situações a seguir, quando vierem a atrasar a entrega dos produtos no local onde estiver sendo executado o objeto do contrato: </w:t>
      </w:r>
    </w:p>
    <w:p>
      <w:pPr>
        <w:pStyle w:val="Default"/>
        <w:numPr>
          <w:ilvl w:val="0"/>
          <w:numId w:val="12"/>
        </w:numPr>
        <w:spacing w:lineRule="auto" w:line="360"/>
        <w:jc w:val="both"/>
        <w:rPr>
          <w:rFonts w:ascii="Arial" w:hAnsi="Arial"/>
          <w:sz w:val="22"/>
          <w:szCs w:val="22"/>
        </w:rPr>
      </w:pPr>
      <w:r>
        <w:rPr>
          <w:rFonts w:cs="Arial" w:ascii="Arial" w:hAnsi="Arial"/>
          <w:color w:val="000000"/>
          <w:sz w:val="22"/>
          <w:szCs w:val="22"/>
          <w:shd w:fill="auto" w:val="clear"/>
        </w:rPr>
        <w:t xml:space="preserve">a) greve geral; </w:t>
      </w:r>
    </w:p>
    <w:p>
      <w:pPr>
        <w:pStyle w:val="Default"/>
        <w:numPr>
          <w:ilvl w:val="0"/>
          <w:numId w:val="12"/>
        </w:numPr>
        <w:spacing w:lineRule="auto" w:line="360"/>
        <w:jc w:val="both"/>
        <w:rPr>
          <w:rFonts w:ascii="Arial" w:hAnsi="Arial"/>
          <w:sz w:val="22"/>
          <w:szCs w:val="22"/>
        </w:rPr>
      </w:pPr>
      <w:r>
        <w:rPr>
          <w:rFonts w:cs="Arial" w:ascii="Arial" w:hAnsi="Arial"/>
          <w:color w:val="000000"/>
          <w:sz w:val="22"/>
          <w:szCs w:val="22"/>
          <w:shd w:fill="auto" w:val="clear"/>
        </w:rPr>
        <w:t xml:space="preserve">b) calamidade pública; </w:t>
      </w:r>
    </w:p>
    <w:p>
      <w:pPr>
        <w:pStyle w:val="Default"/>
        <w:numPr>
          <w:ilvl w:val="0"/>
          <w:numId w:val="12"/>
        </w:numPr>
        <w:spacing w:lineRule="auto" w:line="360"/>
        <w:jc w:val="both"/>
        <w:rPr>
          <w:rFonts w:ascii="Arial" w:hAnsi="Arial"/>
          <w:sz w:val="22"/>
          <w:szCs w:val="22"/>
        </w:rPr>
      </w:pPr>
      <w:r>
        <w:rPr>
          <w:rFonts w:cs="Arial" w:ascii="Arial" w:hAnsi="Arial"/>
          <w:color w:val="000000"/>
          <w:sz w:val="22"/>
          <w:szCs w:val="22"/>
          <w:shd w:fill="auto" w:val="clear"/>
        </w:rPr>
        <w:t xml:space="preserve">c) interrupção dos meios de transporte; </w:t>
      </w:r>
    </w:p>
    <w:p>
      <w:pPr>
        <w:pStyle w:val="Default"/>
        <w:numPr>
          <w:ilvl w:val="0"/>
          <w:numId w:val="12"/>
        </w:numPr>
        <w:spacing w:lineRule="auto" w:line="360"/>
        <w:jc w:val="both"/>
        <w:rPr>
          <w:rFonts w:ascii="Arial" w:hAnsi="Arial"/>
          <w:sz w:val="22"/>
          <w:szCs w:val="22"/>
        </w:rPr>
      </w:pPr>
      <w:r>
        <w:rPr>
          <w:rFonts w:cs="Arial" w:ascii="Arial" w:hAnsi="Arial"/>
          <w:color w:val="000000"/>
          <w:sz w:val="22"/>
          <w:szCs w:val="22"/>
          <w:shd w:fill="auto" w:val="clear"/>
        </w:rPr>
        <w:t xml:space="preserve">d) condições meteorológicas excepcionalmente prejudiciais, e; </w:t>
      </w:r>
    </w:p>
    <w:p>
      <w:pPr>
        <w:pStyle w:val="Default"/>
        <w:numPr>
          <w:ilvl w:val="0"/>
          <w:numId w:val="12"/>
        </w:numPr>
        <w:spacing w:lineRule="auto" w:line="360"/>
        <w:jc w:val="both"/>
        <w:rPr>
          <w:rFonts w:ascii="Arial" w:hAnsi="Arial"/>
          <w:sz w:val="22"/>
          <w:szCs w:val="22"/>
        </w:rPr>
      </w:pPr>
      <w:r>
        <w:rPr>
          <w:rFonts w:cs="Arial" w:ascii="Arial" w:hAnsi="Arial"/>
          <w:color w:val="000000"/>
          <w:sz w:val="22"/>
          <w:szCs w:val="22"/>
          <w:shd w:fill="auto" w:val="clear"/>
        </w:rPr>
        <w:t xml:space="preserve">e) outros casos que se enquadrem no parágrafo único do art. 393 do Código Civil Brasileiro (Lei nº 10.406/2002).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Os casos acima enumerados devem ser satisfatoriamente justificados pela contratada.</w:t>
      </w:r>
    </w:p>
    <w:p>
      <w:pPr>
        <w:pStyle w:val="Normal"/>
        <w:numPr>
          <w:ilvl w:val="0"/>
          <w:numId w:val="1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12. DAS DISPOSIÇÕES GERAIS </w:t>
      </w:r>
    </w:p>
    <w:p>
      <w:pPr>
        <w:pStyle w:val="Default"/>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 xml:space="preserve">A não utilização do registro de preços será admitida no interesse da Administração e nos casos em que as aquisições se revelarem antieconômicas ou naquelas em que se verificarem irregularidades que possam levar ao cancelamento do registro de preços.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 xml:space="preserve">A presente ata terá sua eficácia condicionada à publicação dos seus extratos e começará a vigorar a partir da publicação no PNCP. </w:t>
      </w:r>
    </w:p>
    <w:p>
      <w:pPr>
        <w:pStyle w:val="Normal"/>
        <w:numPr>
          <w:ilvl w:val="0"/>
          <w:numId w:val="12"/>
        </w:numPr>
        <w:spacing w:lineRule="auto" w:line="360"/>
        <w:jc w:val="both"/>
        <w:rPr>
          <w:rFonts w:ascii="Arial" w:hAnsi="Arial"/>
          <w:sz w:val="22"/>
          <w:szCs w:val="22"/>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 xml:space="preserve">Para solucionar quaisquer questões oriundas desta ata de registro de preços, fica eleito o Foro da Comarca de </w:t>
      </w:r>
      <w:r>
        <w:rPr>
          <w:rFonts w:eastAsia="Times New Roman" w:cs="Arial" w:ascii="Arial" w:hAnsi="Arial"/>
          <w:color w:val="000000"/>
          <w:sz w:val="22"/>
          <w:szCs w:val="22"/>
          <w:shd w:fill="auto" w:val="clear"/>
          <w:lang w:eastAsia="zh-CN"/>
        </w:rPr>
        <w:t>Vera Cruz</w:t>
      </w:r>
      <w:r>
        <w:rPr>
          <w:rFonts w:cs="Arial" w:ascii="Arial" w:hAnsi="Arial"/>
          <w:color w:val="000000"/>
          <w:sz w:val="22"/>
          <w:szCs w:val="22"/>
          <w:shd w:fill="auto" w:val="clear"/>
        </w:rPr>
        <w:t>/RS, com renúncia de quaisquer outros ainda que privilegiados. E por estarem as partes justas e acertadas assinam a presente Ata de Registro de Preços.</w:t>
      </w:r>
    </w:p>
    <w:p>
      <w:pPr>
        <w:pStyle w:val="Normal"/>
        <w:spacing w:lineRule="auto" w:line="360"/>
        <w:jc w:val="both"/>
        <w:rPr>
          <w:rFonts w:cs="Arial"/>
          <w:b/>
          <w:bCs/>
          <w:color w:val="000000"/>
          <w:shd w:fill="auto" w:val="clear"/>
        </w:rPr>
      </w:pPr>
      <w:r>
        <w:rPr>
          <w:rFonts w:cs="Arial"/>
          <w:b/>
          <w:bCs/>
          <w:color w:val="000000"/>
          <w:shd w:fill="auto" w:val="clear"/>
        </w:rPr>
      </w:r>
    </w:p>
    <w:p>
      <w:pPr>
        <w:pStyle w:val="Normal"/>
        <w:spacing w:lineRule="auto" w:line="360"/>
        <w:jc w:val="both"/>
        <w:rPr>
          <w:rFonts w:ascii="Arial" w:hAnsi="Arial"/>
          <w:sz w:val="22"/>
          <w:szCs w:val="22"/>
        </w:rPr>
      </w:pPr>
      <w:r>
        <w:rPr>
          <w:rFonts w:cs="Arial" w:ascii="Arial" w:hAnsi="Arial"/>
          <w:b/>
          <w:bCs/>
          <w:color w:val="000000"/>
          <w:sz w:val="22"/>
          <w:szCs w:val="22"/>
          <w:shd w:fill="auto" w:val="clear"/>
        </w:rPr>
        <w:t>13. DA ENTREGA DOS PRODUTOS / EXECU</w:t>
      </w:r>
      <w:r>
        <w:rPr>
          <w:rFonts w:cs="Arial" w:ascii="Arial" w:hAnsi="Arial"/>
          <w:b/>
          <w:bCs/>
          <w:color w:val="000000"/>
          <w:sz w:val="22"/>
          <w:szCs w:val="22"/>
        </w:rPr>
        <w:t>ÇÃO DO SERVIÇO</w:t>
      </w:r>
    </w:p>
    <w:p>
      <w:pPr>
        <w:pStyle w:val="Normal"/>
        <w:spacing w:lineRule="auto" w:line="360"/>
        <w:jc w:val="both"/>
        <w:rPr>
          <w:rFonts w:ascii="Arial" w:hAnsi="Arial"/>
          <w:sz w:val="22"/>
          <w:szCs w:val="22"/>
        </w:rPr>
      </w:pPr>
      <w:r>
        <w:rPr>
          <w:rFonts w:cs="Arial" w:ascii="Arial" w:hAnsi="Arial"/>
          <w:b/>
          <w:bCs/>
          <w:color w:val="000000"/>
          <w:sz w:val="22"/>
          <w:szCs w:val="22"/>
        </w:rPr>
        <w:t xml:space="preserve">13.1 </w:t>
      </w:r>
      <w:r>
        <w:rPr>
          <w:rFonts w:cs="Arial" w:ascii="Arial" w:hAnsi="Arial"/>
          <w:b w:val="false"/>
          <w:bCs w:val="false"/>
          <w:color w:val="000000"/>
          <w:sz w:val="22"/>
          <w:szCs w:val="22"/>
        </w:rPr>
        <w:t>Não poderá ser superior a 15 (quinze) dias corridos, contados a partir do recebimento do(s) empenho(s).</w:t>
      </w:r>
    </w:p>
    <w:p>
      <w:pPr>
        <w:pStyle w:val="Normal"/>
        <w:spacing w:lineRule="auto" w:line="360"/>
        <w:jc w:val="both"/>
        <w:rPr>
          <w:rFonts w:ascii="Arial" w:hAnsi="Arial"/>
          <w:sz w:val="22"/>
          <w:szCs w:val="22"/>
        </w:rPr>
      </w:pPr>
      <w:r>
        <w:rPr>
          <w:rFonts w:cs="Arial" w:ascii="Arial" w:hAnsi="Arial"/>
          <w:b/>
          <w:bCs/>
          <w:color w:val="000000"/>
          <w:sz w:val="22"/>
          <w:szCs w:val="22"/>
        </w:rPr>
        <w:t xml:space="preserve">13.2 </w:t>
      </w:r>
      <w:r>
        <w:rPr>
          <w:rFonts w:cs="Arial" w:ascii="Arial" w:hAnsi="Arial"/>
          <w:b w:val="false"/>
          <w:bCs w:val="false"/>
          <w:color w:val="000000"/>
          <w:sz w:val="22"/>
          <w:szCs w:val="22"/>
        </w:rPr>
        <w:t xml:space="preserve"> </w:t>
      </w:r>
      <w:r>
        <w:rPr>
          <w:rFonts w:cs="Arial" w:ascii="Arial" w:hAnsi="Arial"/>
          <w:b w:val="false"/>
          <w:bCs w:val="false"/>
          <w:color w:val="000000"/>
          <w:sz w:val="22"/>
          <w:szCs w:val="22"/>
          <w:shd w:fill="auto" w:val="clear"/>
        </w:rPr>
        <w:t>Os produtos deverão ser entregues na Secretaria de Educação ou de Esportes, cfe pedido</w:t>
      </w:r>
      <w:r>
        <w:rPr>
          <w:rStyle w:val="Strong"/>
          <w:rFonts w:cs="Arial" w:ascii="Arial" w:hAnsi="Arial"/>
          <w:b w:val="false"/>
          <w:bCs w:val="false"/>
          <w:color w:val="000000"/>
          <w:sz w:val="22"/>
          <w:szCs w:val="22"/>
          <w:shd w:fill="auto" w:val="clear"/>
        </w:rPr>
        <w:t>.</w:t>
      </w:r>
      <w:r>
        <w:rPr>
          <w:rFonts w:cs="Arial" w:ascii="Arial" w:hAnsi="Arial"/>
          <w:b w:val="false"/>
          <w:bCs w:val="false"/>
          <w:color w:val="000000"/>
          <w:sz w:val="22"/>
          <w:szCs w:val="22"/>
          <w:shd w:fill="auto" w:val="clear"/>
        </w:rPr>
        <w:t xml:space="preserve"> Contato: Ivan – (51) 3718-1700</w:t>
      </w:r>
    </w:p>
    <w:p>
      <w:pPr>
        <w:pStyle w:val="Normal"/>
        <w:numPr>
          <w:ilvl w:val="0"/>
          <w:numId w:val="1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2"/>
        </w:numPr>
        <w:spacing w:lineRule="auto" w:line="360"/>
        <w:jc w:val="center"/>
        <w:rPr>
          <w:rFonts w:ascii="Arial" w:hAnsi="Arial"/>
          <w:sz w:val="22"/>
          <w:szCs w:val="22"/>
        </w:rPr>
      </w:pPr>
      <w:r>
        <w:rPr>
          <w:rFonts w:cs="Arial" w:ascii="Arial" w:hAnsi="Arial"/>
          <w:b/>
          <w:bCs/>
          <w:color w:val="000000"/>
          <w:sz w:val="22"/>
          <w:szCs w:val="22"/>
          <w:shd w:fill="auto" w:val="clear"/>
        </w:rPr>
        <w:t>G</w:t>
      </w:r>
      <w:r>
        <w:rPr>
          <w:rFonts w:cs="Arial" w:ascii="Arial" w:hAnsi="Arial"/>
          <w:b/>
          <w:bCs/>
          <w:color w:val="000000"/>
          <w:sz w:val="22"/>
          <w:szCs w:val="22"/>
          <w:shd w:fill="auto" w:val="clear"/>
          <w:lang w:eastAsia="zh-CN"/>
        </w:rPr>
        <w:t>ILSON A. BECKER</w:t>
      </w:r>
    </w:p>
    <w:p>
      <w:pPr>
        <w:pStyle w:val="Normal"/>
        <w:numPr>
          <w:ilvl w:val="0"/>
          <w:numId w:val="12"/>
        </w:numPr>
        <w:spacing w:lineRule="auto" w:line="360"/>
        <w:jc w:val="center"/>
        <w:rPr>
          <w:rFonts w:ascii="Arial" w:hAnsi="Arial"/>
          <w:sz w:val="22"/>
          <w:szCs w:val="22"/>
        </w:rPr>
      </w:pPr>
      <w:r>
        <w:rPr>
          <w:rFonts w:cs="Arial" w:ascii="Arial" w:hAnsi="Arial"/>
          <w:color w:val="000000"/>
          <w:sz w:val="22"/>
          <w:szCs w:val="22"/>
          <w:shd w:fill="auto" w:val="clear"/>
        </w:rPr>
        <w:t>Prefeito Municipal de Vera Cruz, RS.</w:t>
      </w:r>
    </w:p>
    <w:p>
      <w:pPr>
        <w:pStyle w:val="Normal"/>
        <w:numPr>
          <w:ilvl w:val="0"/>
          <w:numId w:val="1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2"/>
        </w:numPr>
        <w:spacing w:lineRule="auto" w:line="360"/>
        <w:jc w:val="center"/>
        <w:rPr>
          <w:rFonts w:ascii="Arial" w:hAnsi="Arial"/>
          <w:sz w:val="22"/>
          <w:szCs w:val="22"/>
        </w:rPr>
      </w:pPr>
      <w:bookmarkStart w:id="9" w:name="art6xxiiic_Copia_1_Copia_1"/>
      <w:bookmarkStart w:id="10" w:name="art6xxiiic"/>
      <w:bookmarkStart w:id="11" w:name="30j0zll_Copia_1"/>
      <w:bookmarkStart w:id="12" w:name="30j0zll"/>
      <w:bookmarkStart w:id="13" w:name="art6xxiiig_Copia_1_Copia_1"/>
      <w:bookmarkStart w:id="14" w:name="art6xxiiig"/>
      <w:bookmarkStart w:id="15" w:name="art6xxiii.i_Copia_1_Copia_1"/>
      <w:bookmarkStart w:id="16" w:name="art6xxiii.i"/>
      <w:bookmarkStart w:id="17" w:name="art6xxiiij_Copia_1_Copia_1"/>
      <w:bookmarkStart w:id="18" w:name="art6xxiiij"/>
      <w:bookmarkStart w:id="19" w:name="art6xxiiif"/>
      <w:bookmarkStart w:id="20" w:name="art6xxiiid"/>
      <w:r>
        <w:rPr>
          <w:rFonts w:cs="Arial" w:ascii="Arial" w:hAnsi="Arial"/>
          <w:b/>
          <w:bCs/>
          <w:iCs/>
          <w:color w:val="000000"/>
          <w:sz w:val="22"/>
          <w:szCs w:val="22"/>
          <w:shd w:fill="auto" w:val="clear"/>
        </w:rPr>
        <w:t>EMPRESA</w:t>
      </w:r>
      <w:bookmarkEnd w:id="9"/>
      <w:bookmarkEnd w:id="10"/>
      <w:bookmarkEnd w:id="11"/>
      <w:bookmarkEnd w:id="12"/>
      <w:bookmarkEnd w:id="13"/>
      <w:bookmarkEnd w:id="14"/>
      <w:bookmarkEnd w:id="15"/>
      <w:bookmarkEnd w:id="16"/>
      <w:bookmarkEnd w:id="17"/>
      <w:bookmarkEnd w:id="18"/>
      <w:bookmarkEnd w:id="19"/>
      <w:bookmarkEnd w:id="20"/>
    </w:p>
    <w:sectPr>
      <w:type w:val="continuous"/>
      <w:pgSz w:w="11906" w:h="16838"/>
      <w:pgMar w:left="1134" w:right="504" w:gutter="0" w:header="454" w:top="2098" w:footer="225" w:bottom="1076"/>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Verdana">
    <w:charset w:val="00"/>
    <w:family w:val="roman"/>
    <w:pitch w:val="variable"/>
  </w:font>
  <w:font w:name="Arial MT">
    <w:charset w:val="00"/>
    <w:family w:val="roman"/>
    <w:pitch w:val="variable"/>
  </w:font>
  <w:font w:name="Google Sans">
    <w:altName w:val="Arial"/>
    <w:charset w:val="00"/>
    <w:family w:val="auto"/>
    <w:pitch w:val="default"/>
  </w:font>
  <w:font w:name="Calibri">
    <w:charset w:val="01"/>
    <w:family w:val="swiss"/>
    <w:pitch w:val="variable"/>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85">
          <wp:simplePos x="0" y="0"/>
          <wp:positionH relativeFrom="column">
            <wp:posOffset>1236980</wp:posOffset>
          </wp:positionH>
          <wp:positionV relativeFrom="paragraph">
            <wp:posOffset>-368935</wp:posOffset>
          </wp:positionV>
          <wp:extent cx="3515995" cy="494665"/>
          <wp:effectExtent l="0" t="0" r="0" b="0"/>
          <wp:wrapSquare wrapText="largest"/>
          <wp:docPr id="3"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5" descr=""/>
                  <pic:cNvPicPr>
                    <a:picLocks noChangeAspect="1" noChangeArrowheads="1"/>
                  </pic:cNvPicPr>
                </pic:nvPicPr>
                <pic:blipFill>
                  <a:blip r:embed="rId1"/>
                  <a:srcRect l="-161" t="-1301" r="-161" b="-1301"/>
                  <a:stretch>
                    <a:fillRect/>
                  </a:stretch>
                </pic:blipFill>
                <pic:spPr bwMode="auto">
                  <a:xfrm>
                    <a:off x="0" y="0"/>
                    <a:ext cx="3515995" cy="49466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85">
          <wp:simplePos x="0" y="0"/>
          <wp:positionH relativeFrom="column">
            <wp:posOffset>1236980</wp:posOffset>
          </wp:positionH>
          <wp:positionV relativeFrom="paragraph">
            <wp:posOffset>-368935</wp:posOffset>
          </wp:positionV>
          <wp:extent cx="3515995" cy="494665"/>
          <wp:effectExtent l="0" t="0" r="0" b="0"/>
          <wp:wrapSquare wrapText="largest"/>
          <wp:docPr id="4"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5" descr=""/>
                  <pic:cNvPicPr>
                    <a:picLocks noChangeAspect="1" noChangeArrowheads="1"/>
                  </pic:cNvPicPr>
                </pic:nvPicPr>
                <pic:blipFill>
                  <a:blip r:embed="rId1"/>
                  <a:srcRect l="-161" t="-1301" r="-161" b="-1301"/>
                  <a:stretch>
                    <a:fillRect/>
                  </a:stretch>
                </pic:blipFill>
                <pic:spPr bwMode="auto">
                  <a:xfrm>
                    <a:off x="0" y="0"/>
                    <a:ext cx="3515995" cy="49466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69">
          <wp:simplePos x="0" y="0"/>
          <wp:positionH relativeFrom="column">
            <wp:align>center</wp:align>
          </wp:positionH>
          <wp:positionV relativeFrom="paragraph">
            <wp:posOffset>635</wp:posOffset>
          </wp:positionV>
          <wp:extent cx="4231005" cy="856615"/>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4231005" cy="856615"/>
                  </a:xfrm>
                  <a:prstGeom prst="rect">
                    <a:avLst/>
                  </a:prstGeom>
                </pic:spPr>
              </pic:pic>
            </a:graphicData>
          </a:graphic>
        </wp:anchor>
      </w:drawing>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69">
          <wp:simplePos x="0" y="0"/>
          <wp:positionH relativeFrom="column">
            <wp:align>center</wp:align>
          </wp:positionH>
          <wp:positionV relativeFrom="paragraph">
            <wp:posOffset>635</wp:posOffset>
          </wp:positionV>
          <wp:extent cx="4231005" cy="856615"/>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170" t="-880" r="-170" b="-880"/>
                  <a:stretch>
                    <a:fillRect/>
                  </a:stretch>
                </pic:blipFill>
                <pic:spPr bwMode="auto">
                  <a:xfrm>
                    <a:off x="0" y="0"/>
                    <a:ext cx="4231005" cy="856615"/>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2">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3">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4">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5">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6">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7">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8">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9">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10">
    <w:lvl w:ilvl="0">
      <w:start w:val="1"/>
      <w:numFmt w:val="none"/>
      <w:suff w:val="nothing"/>
      <w:lvlText w:val="%1."/>
      <w:lvlJc w:val="left"/>
      <w:pPr>
        <w:tabs>
          <w:tab w:val="num" w:pos="720"/>
        </w:tabs>
        <w:ind w:left="720" w:hanging="360"/>
      </w:pPr>
    </w:lvl>
    <w:lvl w:ilvl="1">
      <w:start w:val="1"/>
      <w:numFmt w:val="none"/>
      <w:suff w:val="nothing"/>
      <w:lvlText w:val="%2."/>
      <w:lvlJc w:val="left"/>
      <w:pPr>
        <w:tabs>
          <w:tab w:val="num" w:pos="1080"/>
        </w:tabs>
        <w:ind w:left="1080" w:hanging="360"/>
      </w:pPr>
    </w:lvl>
    <w:lvl w:ilvl="2">
      <w:start w:val="1"/>
      <w:numFmt w:val="none"/>
      <w:suff w:val="nothing"/>
      <w:lvlText w:val="%3."/>
      <w:lvlJc w:val="left"/>
      <w:pPr>
        <w:tabs>
          <w:tab w:val="num" w:pos="1440"/>
        </w:tabs>
        <w:ind w:left="1440" w:hanging="360"/>
      </w:pPr>
    </w:lvl>
    <w:lvl w:ilvl="3">
      <w:start w:val="1"/>
      <w:numFmt w:val="none"/>
      <w:suff w:val="nothing"/>
      <w:lvlText w:val="%4."/>
      <w:lvlJc w:val="left"/>
      <w:pPr>
        <w:tabs>
          <w:tab w:val="num" w:pos="1800"/>
        </w:tabs>
        <w:ind w:left="1800" w:hanging="360"/>
      </w:pPr>
    </w:lvl>
    <w:lvl w:ilvl="4">
      <w:start w:val="1"/>
      <w:numFmt w:val="none"/>
      <w:suff w:val="nothing"/>
      <w:lvlText w:val="%5."/>
      <w:lvlJc w:val="left"/>
      <w:pPr>
        <w:tabs>
          <w:tab w:val="num" w:pos="2160"/>
        </w:tabs>
        <w:ind w:left="2160" w:hanging="360"/>
      </w:pPr>
    </w:lvl>
    <w:lvl w:ilvl="5">
      <w:start w:val="1"/>
      <w:numFmt w:val="none"/>
      <w:suff w:val="nothing"/>
      <w:lvlText w:val="%6."/>
      <w:lvlJc w:val="left"/>
      <w:pPr>
        <w:tabs>
          <w:tab w:val="num" w:pos="2520"/>
        </w:tabs>
        <w:ind w:left="2520" w:hanging="360"/>
      </w:pPr>
    </w:lvl>
    <w:lvl w:ilvl="6">
      <w:start w:val="1"/>
      <w:numFmt w:val="none"/>
      <w:suff w:val="nothing"/>
      <w:lvlText w:val="%7."/>
      <w:lvlJc w:val="left"/>
      <w:pPr>
        <w:tabs>
          <w:tab w:val="num" w:pos="2880"/>
        </w:tabs>
        <w:ind w:left="2880" w:hanging="360"/>
      </w:pPr>
    </w:lvl>
    <w:lvl w:ilvl="7">
      <w:start w:val="1"/>
      <w:numFmt w:val="none"/>
      <w:suff w:val="nothing"/>
      <w:lvlText w:val="%8."/>
      <w:lvlJc w:val="left"/>
      <w:pPr>
        <w:tabs>
          <w:tab w:val="num" w:pos="3240"/>
        </w:tabs>
        <w:ind w:left="3240" w:hanging="360"/>
      </w:pPr>
    </w:lvl>
    <w:lvl w:ilvl="8">
      <w:start w:val="1"/>
      <w:numFmt w:val="none"/>
      <w:suff w:val="nothing"/>
      <w:lvlText w:val="%9."/>
      <w:lvlJc w:val="left"/>
      <w:pPr>
        <w:tabs>
          <w:tab w:val="num" w:pos="3600"/>
        </w:tabs>
        <w:ind w:left="3600" w:hanging="360"/>
      </w:pPr>
    </w:lvl>
  </w:abstractNum>
  <w:abstractNum w:abstractNumId="1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80"/>
  <w:defaultTabStop w:val="408"/>
  <w:autoHyphenation w:val="true"/>
  <w:hyphenationZone w:val="360"/>
  <w:compat>
    <w:compatSetting w:name="compatibilityMode" w:uri="http://schemas.microsoft.com/office/word" w:val="12"/>
  </w:compat>
  <w:themeFontLang w:val="" w:eastAsia="" w:bidi=""/>
  <w:docVars>
    <w:docVar w:name="Npregão" w:val="102"/>
    <w:docVar w:name="Nprocesso" w:val="376"/>
    <w:docVar w:name="Tjulgamento" w:val="menor preço unitário"/>
    <w:docVar w:name="ObjPregão" w:val="AQUISIÇÃO DE MATERIAL ESPORTIVO"/>
    <w:docVar w:name="Nreq" w:val="1338"/>
    <w:docVar w:name="Qsecretaria" w:val="Secretaria Municipal de Obras, Saneamento e Trânsito"/>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3">
    <w:name w:val="Heading 3"/>
    <w:basedOn w:val="Ttulo21"/>
    <w:next w:val="Corpodotexto"/>
    <w:qFormat/>
    <w:pPr>
      <w:numPr>
        <w:ilvl w:val="0"/>
        <w:numId w:val="11"/>
      </w:numPr>
      <w:spacing w:before="140" w:after="120"/>
    </w:pPr>
    <w:rPr>
      <w:b/>
      <w:bCs/>
      <w:sz w:val="28"/>
      <w:szCs w:val="28"/>
    </w:rPr>
  </w:style>
  <w:style w:type="paragraph" w:styleId="Ttulo4">
    <w:name w:val="Heading 4"/>
    <w:basedOn w:val="Normal"/>
    <w:next w:val="Normal"/>
    <w:qFormat/>
    <w:pPr>
      <w:keepNext w:val="true"/>
      <w:jc w:val="center"/>
      <w:outlineLvl w:val="3"/>
    </w:pPr>
    <w:rPr>
      <w:b/>
      <w:bCs/>
      <w:sz w:val="52"/>
    </w:rPr>
  </w:style>
  <w:style w:type="paragraph" w:styleId="Ttulo5">
    <w:name w:val="Heading 5"/>
    <w:basedOn w:val="Ttulo"/>
    <w:next w:val="Corpodotexto"/>
    <w:qFormat/>
    <w:pPr>
      <w:spacing w:before="120" w:after="60"/>
      <w:outlineLvl w:val="4"/>
    </w:pPr>
    <w:rPr>
      <w:b/>
      <w:bCs/>
      <w:sz w:val="24"/>
      <w:szCs w:val="24"/>
    </w:rPr>
  </w:style>
  <w:style w:type="paragraph" w:styleId="Ttulo6">
    <w:name w:val="Heading 6"/>
    <w:basedOn w:val="Normal"/>
    <w:next w:val="Normal"/>
    <w:qFormat/>
    <w:pPr>
      <w:keepNext w:val="true"/>
      <w:overflowPunct w:val="tru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paragraph" w:styleId="Ttulo8">
    <w:name w:val="Heading 8"/>
    <w:basedOn w:val="Ttulo"/>
    <w:next w:val="Corpodotexto"/>
    <w:qFormat/>
    <w:pPr>
      <w:spacing w:before="60" w:after="60"/>
      <w:outlineLvl w:val="7"/>
    </w:pPr>
    <w:rPr>
      <w:b/>
      <w:bCs/>
      <w:i/>
      <w:iCs/>
      <w:sz w:val="22"/>
      <w:szCs w:val="22"/>
    </w:rPr>
  </w:style>
  <w:style w:type="paragraph" w:styleId="Ttulo9">
    <w:name w:val="Heading 9"/>
    <w:basedOn w:val="Ttulo"/>
    <w:next w:val="Corpodotexto"/>
    <w:qFormat/>
    <w:pPr>
      <w:spacing w:before="60" w:after="60"/>
      <w:outlineLvl w:val="8"/>
    </w:pPr>
    <w:rPr>
      <w:b/>
      <w:bCs/>
      <w:sz w:val="21"/>
      <w:szCs w:val="21"/>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character" w:styleId="Marcadores">
    <w:name w:val="Marcadores"/>
    <w:qFormat/>
    <w:rPr>
      <w:rFonts w:ascii="OpenSymbol;Arial Unicode MS" w:hAnsi="OpenSymbol;Arial Unicode MS" w:eastAsia="OpenSymbol;Arial Unicode MS" w:cs="OpenSymbol;Arial Unicode MS"/>
    </w:rPr>
  </w:style>
  <w:style w:type="character" w:styleId="Smbolosdenumerao">
    <w:name w:val="Símbolos de numeração"/>
    <w:qFormat/>
    <w:rPr/>
  </w:style>
  <w:style w:type="character" w:styleId="FootnoteCharacters">
    <w:name w:val="Footnote Characters"/>
    <w:qFormat/>
    <w:rPr>
      <w:vertAlign w:val="superscript"/>
    </w:rPr>
  </w:style>
  <w:style w:type="character" w:styleId="EndnoteCharacters">
    <w:name w:val="Endnote Characters"/>
    <w:qFormat/>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Ncoradanotaderodap">
    <w:name w:val="Footnote Reference"/>
    <w:rPr>
      <w:vertAlign w:val="superscript"/>
    </w:rPr>
  </w:style>
  <w:style w:type="character" w:styleId="EndnoteReference1">
    <w:name w:val="Endnote Reference1"/>
    <w:qFormat/>
    <w:rPr>
      <w:vertAlign w:val="superscript"/>
    </w:rPr>
  </w:style>
  <w:style w:type="character" w:styleId="FootnoteReference1">
    <w:name w:val="Footnote Reference1"/>
    <w:qFormat/>
    <w:rPr>
      <w:vertAlign w:val="superscript"/>
    </w:rPr>
  </w:style>
  <w:style w:type="character" w:styleId="WW8Num8z3">
    <w:name w:val="WW8Num8z3"/>
    <w:qFormat/>
    <w:rPr>
      <w:rFonts w:ascii="Symbol" w:hAnsi="Symbol" w:cs="OpenSymbol;Arial Unicode MS"/>
    </w:rPr>
  </w:style>
  <w:style w:type="character" w:styleId="Nfaseforte">
    <w:name w:val="Strong"/>
    <w:qFormat/>
    <w:rPr>
      <w:b/>
      <w:bCs/>
    </w:rPr>
  </w:style>
  <w:style w:type="paragraph" w:styleId="Ttulo">
    <w:name w:val="Título"/>
    <w:basedOn w:val="Normal"/>
    <w:next w:val="Corpodotexto"/>
    <w:qFormat/>
    <w:pPr>
      <w:keepNext w:val="true"/>
      <w:spacing w:before="240" w:after="120"/>
    </w:pPr>
    <w:rPr>
      <w:rFonts w:ascii="Liberation Sans;Arial" w:hAnsi="Liberation Sans;Arial"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
    <w:name w:val="Header"/>
    <w:basedOn w:val="Normal"/>
    <w:pPr>
      <w:tabs>
        <w:tab w:val="clear" w:pos="408"/>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408"/>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true"/>
      <w:ind w:left="0" w:right="0" w:firstLine="720"/>
      <w:jc w:val="both"/>
    </w:pPr>
    <w:rPr>
      <w:kern w:val="0"/>
      <w:sz w:val="24"/>
    </w:rPr>
  </w:style>
  <w:style w:type="paragraph" w:styleId="Normal1">
    <w:name w:val="Normal1"/>
    <w:basedOn w:val="Normal"/>
    <w:qFormat/>
    <w:pPr>
      <w:suppressAutoHyphens w:val="true"/>
      <w:overflowPunct w:val="fals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tru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fals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tru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tru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fals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fals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1">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408"/>
        <w:tab w:val="left" w:pos="567" w:leader="none"/>
      </w:tabs>
      <w:spacing w:lineRule="auto" w:line="276" w:before="120" w:after="120"/>
      <w:ind w:hanging="0"/>
      <w:jc w:val="both"/>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1">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
    <w:name w:val="Corpo de texto 2"/>
    <w:basedOn w:val="Normal"/>
    <w:qFormat/>
    <w:pPr>
      <w:jc w:val="both"/>
      <w:textAlignment w:val="baseline"/>
    </w:pPr>
    <w:rPr>
      <w:rFonts w:ascii="Times New Roman" w:hAnsi="Times New Roman" w:cs="Times New Roman"/>
      <w:sz w:val="28"/>
    </w:rPr>
  </w:style>
  <w:style w:type="paragraph" w:styleId="Recuodecorpodetexto2">
    <w:name w:val="Recuo de corpo de texto 2"/>
    <w:basedOn w:val="Normal"/>
    <w:qFormat/>
    <w:pPr>
      <w:ind w:firstLine="1701"/>
      <w:jc w:val="both"/>
      <w:textAlignment w:val="baseline"/>
    </w:pPr>
    <w:rPr>
      <w:szCs w:val="20"/>
    </w:rPr>
  </w:style>
  <w:style w:type="paragraph" w:styleId="LO-normal0">
    <w:name w:val="LO-normal0"/>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LO-normal2">
    <w:name w:val="LO-normal2"/>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LO-normal3">
    <w:name w:val="LO-normal3"/>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Notaderodap">
    <w:name w:val="Footnote Text"/>
    <w:basedOn w:val="Normal"/>
    <w:pPr>
      <w:suppressLineNumbers/>
      <w:ind w:left="339" w:right="0" w:hanging="339"/>
    </w:pPr>
    <w:rPr>
      <w:sz w:val="20"/>
      <w:szCs w:val="20"/>
    </w:rPr>
  </w:style>
  <w:style w:type="paragraph" w:styleId="FootnoteText1">
    <w:name w:val="Footnote Text1"/>
    <w:basedOn w:val="Normal"/>
    <w:qFormat/>
    <w:pPr>
      <w:suppressLineNumbers/>
      <w:ind w:left="340" w:right="0" w:hanging="340"/>
    </w:pPr>
    <w:rPr>
      <w:sz w:val="20"/>
      <w:szCs w:val="20"/>
    </w:rPr>
  </w:style>
  <w:style w:type="paragraph" w:styleId="Standard1">
    <w:name w:val="Standard1"/>
    <w:qFormat/>
    <w:pPr>
      <w:widowControl/>
      <w:suppressAutoHyphens w:val="true"/>
      <w:overflowPunct w:val="true"/>
      <w:bidi w:val="0"/>
      <w:spacing w:before="0" w:after="0"/>
      <w:jc w:val="left"/>
      <w:textAlignment w:val="baseline"/>
    </w:pPr>
    <w:rPr>
      <w:rFonts w:ascii="Liberation Serif;Times New Roman" w:hAnsi="Liberation Serif;Times New Roman" w:eastAsia="SimSun;宋体" w:cs="Mangal"/>
      <w:color w:val="auto"/>
      <w:kern w:val="2"/>
      <w:sz w:val="24"/>
      <w:szCs w:val="24"/>
      <w:lang w:val="pt-BR" w:eastAsia="zh-CN" w:bidi="hi-IN"/>
    </w:rPr>
  </w:style>
  <w:style w:type="paragraph" w:styleId="Footer1">
    <w:name w:val="Footer1"/>
    <w:basedOn w:val="Normal"/>
    <w:qFormat/>
    <w:pPr/>
    <w:rPr>
      <w:rFonts w:ascii="Calibri" w:hAnsi="Calibri" w:eastAsia="Calibri" w:cs="Calibri"/>
      <w:sz w:val="22"/>
      <w:szCs w:val="22"/>
    </w:rPr>
  </w:style>
  <w:style w:type="paragraph" w:styleId="Header1">
    <w:name w:val="Header1"/>
    <w:basedOn w:val="Normal"/>
    <w:qFormat/>
    <w:pPr/>
    <w:rPr>
      <w:rFonts w:ascii="Calibri" w:hAnsi="Calibri" w:eastAsia="Calibri" w:cs="Calibri"/>
      <w:sz w:val="22"/>
      <w:szCs w:val="22"/>
    </w:rPr>
  </w:style>
  <w:style w:type="paragraph" w:styleId="Caption1">
    <w:name w:val="Caption1"/>
    <w:basedOn w:val="Normal"/>
    <w:qFormat/>
    <w:pPr>
      <w:suppressLineNumbers/>
      <w:spacing w:before="120" w:after="120"/>
    </w:pPr>
    <w:rPr>
      <w:rFonts w:cs="Arial"/>
      <w:i/>
      <w:iCs/>
      <w:sz w:val="24"/>
      <w:szCs w:val="24"/>
    </w:rPr>
  </w:style>
  <w:style w:type="paragraph" w:styleId="Heading71">
    <w:name w:val="Heading 71"/>
    <w:basedOn w:val="Normal"/>
    <w:next w:val="Normal"/>
    <w:qFormat/>
    <w:pPr>
      <w:spacing w:before="240" w:after="60"/>
    </w:pPr>
    <w:rPr>
      <w:rFonts w:ascii="Calibri" w:hAnsi="Calibri" w:eastAsia="Times New Roman" w:cs="Times New Roman"/>
      <w:sz w:val="24"/>
      <w:szCs w:val="24"/>
    </w:rPr>
  </w:style>
  <w:style w:type="paragraph" w:styleId="Heading61">
    <w:name w:val="Heading 61"/>
    <w:basedOn w:val="Normal"/>
    <w:next w:val="Normal"/>
    <w:qFormat/>
    <w:pPr>
      <w:keepNext w:val="true"/>
      <w:numPr>
        <w:ilvl w:val="0"/>
        <w:numId w:val="11"/>
      </w:numPr>
      <w:overflowPunct w:val="true"/>
      <w:spacing w:lineRule="auto" w:line="360"/>
      <w:ind w:left="0" w:right="0" w:hanging="0"/>
      <w:jc w:val="center"/>
      <w:textAlignment w:val="baseline"/>
    </w:pPr>
    <w:rPr>
      <w:b/>
      <w:sz w:val="20"/>
      <w:szCs w:val="20"/>
    </w:rPr>
  </w:style>
  <w:style w:type="paragraph" w:styleId="Heading41">
    <w:name w:val="Heading 41"/>
    <w:basedOn w:val="Normal"/>
    <w:next w:val="Normal"/>
    <w:qFormat/>
    <w:pPr>
      <w:keepNext w:val="true"/>
      <w:numPr>
        <w:ilvl w:val="0"/>
        <w:numId w:val="11"/>
      </w:numPr>
      <w:jc w:val="center"/>
    </w:pPr>
    <w:rPr>
      <w:b/>
      <w:bCs/>
      <w:sz w:val="52"/>
    </w:rPr>
  </w:style>
  <w:style w:type="paragraph" w:styleId="Heading21">
    <w:name w:val="Heading 21"/>
    <w:basedOn w:val="Normal"/>
    <w:next w:val="Normal"/>
    <w:qFormat/>
    <w:pPr>
      <w:keepNext w:val="true"/>
      <w:numPr>
        <w:ilvl w:val="0"/>
        <w:numId w:val="11"/>
      </w:numPr>
      <w:ind w:left="0" w:right="0" w:hanging="0"/>
      <w:jc w:val="center"/>
    </w:pPr>
    <w:rPr>
      <w:b/>
      <w:sz w:val="28"/>
    </w:rPr>
  </w:style>
  <w:style w:type="paragraph" w:styleId="Heading11">
    <w:name w:val="Heading 11"/>
    <w:basedOn w:val="Normal"/>
    <w:next w:val="Normal"/>
    <w:qFormat/>
    <w:pPr>
      <w:keepNext w:val="true"/>
      <w:numPr>
        <w:ilvl w:val="0"/>
        <w:numId w:val="11"/>
      </w:numPr>
      <w:jc w:val="both"/>
    </w:pPr>
    <w:rPr>
      <w:b/>
      <w:bCs/>
    </w:rPr>
  </w:style>
  <w:style w:type="paragraph" w:styleId="Ttulo10">
    <w:name w:val="Título 10"/>
    <w:basedOn w:val="Ttulo"/>
    <w:next w:val="Corpodotexto"/>
    <w:qFormat/>
    <w:pPr>
      <w:spacing w:before="60" w:after="60"/>
      <w:outlineLvl w:val="8"/>
    </w:pPr>
    <w:rPr>
      <w:b/>
      <w:bCs/>
      <w:sz w:val="21"/>
      <w:szCs w:val="21"/>
    </w:rPr>
  </w:style>
  <w:style w:type="paragraph" w:styleId="Normal3">
    <w:name w:val="normal3"/>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yperlink" Target="https://www.google.com/search?q=padr&#245;es+rigorosos+de+qualidade+e+desempenho&amp;rlz=1C1FCXM_pt-PTBR996BR996&amp;oq=o+que+&#233;+uma+bola+chancelada+por+uma+federa&#231;&#227;o&amp;gs_lcrp=EgZjaHJvbWUyBggAEEUYOTIHCAEQIRigATIHCAIQIRigATIHCAMQIRigAdIBCzYyMTc2NmowajE1qAIIsAIB8QXFUs7RaxkvR_EFxVLO0WsZL0c&amp;sourceid=chrome&amp;ie=UTF-8&amp;mstk=AUtExfDvarniwPZNk5kWE6hxWN1DUq5i3CndQJtNcyx1gMiJKaTcVsg6pSNGbRUDq7gEUeJUV63Nmg2TFb3k8EA1FQ_7XKfu2x80sqN3CCecEDiL2BAmzqP_T9zcLkTjWUr2h02woAx2VeWYLFI1gzHm1K0IWdDvOmuedx71XqPHYgfXUkQ&amp;csui=3&amp;ved=2ahUKEwj1h_m62JKQAxVvLrkGHQF5FbMQgK4QegQIARAB" TargetMode="External"/><Relationship Id="rId9" Type="http://schemas.openxmlformats.org/officeDocument/2006/relationships/hyperlink" Target="https://blog.penalty.com.br/2023/06/09/bolas-reconhecidas-pela-fifa-da-marca-penalty/" TargetMode="External"/><Relationship Id="rId10" Type="http://schemas.openxmlformats.org/officeDocument/2006/relationships/hyperlink" Target="https://www.google.com/search?q=ACOOTRALI+(Associa&#231;&#227;o+Comunit&#225;ria+dos+Trabalhadores+na+Sele&#231;&#227;o+do+Lixo+de+Vera+Cruz)&amp;rlz=1C1FCXM_pt-PTBR996BR996&amp;oq=cooperativa+de+catadores+de+lixo+de+vera+cruz+rs&amp;gs_lcrp=EgZjaHJvbWUyBggAEEUYOTIHCAEQIRigATIHCAIQIRigATIHCAMQIRigATIHCAQQIRigAdIBCjEwMzUwajBqMTWoAgiwAgHxBfNWce-NK_w8&amp;sourceid=chrome&amp;ie=UTF-8&amp;mstk=AUtExfC2sIVHyFR1oyQHbebZz25g8gh3l02lMN7psPxR1TSqOLmgJRADkJ_RvFyjki-U-fR4zp7uC69VnP96TTgks8l38R7xYqc_IHe5rzzg6yyBHV20YNBiBbfofzNGSuhOKsqtI--HU27VftXKs6a-8RhLAKf7Rixmme5iytUhjPOx2gmhjFU9gVj5t_RioapI-dBRPnorpYthVm4mBf5hgZ0fYIqhtAdqoK90RQ6gjMYQgEwf0VwPbZAE0p1ao45iSe8XyRLrh6Vd1pXyPE24Isdw&amp;csui=3&amp;ved=2ahUKEwjvlZL625SQAxXeJ7kGHZAXMBEQgK4QegQIARAC"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3644</TotalTime>
  <Application>LibreOffice/7.5.5.2$Windows_X86_64 LibreOffice_project/ca8fe7424262805f223b9a2334bc7181abbcbf5e</Application>
  <AppVersion>15.0000</AppVersion>
  <Pages>84</Pages>
  <Words>31126</Words>
  <Characters>170928</Characters>
  <CharactersWithSpaces>200800</CharactersWithSpaces>
  <Paragraphs>1737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dcterms:modified xsi:type="dcterms:W3CDTF">2025-10-15T14:38:30Z</dcterms:modified>
  <cp:revision>242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